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E261E" w14:textId="18B68344" w:rsidR="00467BD7" w:rsidRPr="0072421D" w:rsidRDefault="00321E09" w:rsidP="00E84DD2">
      <w:pPr>
        <w:spacing w:after="120"/>
        <w:rPr>
          <w:rFonts w:ascii="AvantGarde" w:hAnsi="AvantGarde"/>
          <w:b/>
          <w:i/>
          <w:sz w:val="36"/>
          <w:szCs w:val="36"/>
        </w:rPr>
      </w:pPr>
      <w:bookmarkStart w:id="0" w:name="_Hlk699485"/>
      <w:bookmarkStart w:id="1" w:name="_GoBack"/>
      <w:bookmarkEnd w:id="0"/>
      <w:bookmarkEnd w:id="1"/>
      <w:r w:rsidRPr="002225A8">
        <w:rPr>
          <w:rFonts w:asciiTheme="minorHAnsi" w:hAnsiTheme="minorHAnsi"/>
          <w:b/>
          <w:sz w:val="36"/>
          <w:szCs w:val="36"/>
        </w:rPr>
        <w:t>20</w:t>
      </w:r>
      <w:r w:rsidR="00467BD7" w:rsidRPr="002225A8">
        <w:rPr>
          <w:rFonts w:asciiTheme="minorHAnsi" w:hAnsiTheme="minorHAnsi"/>
          <w:b/>
          <w:sz w:val="36"/>
          <w:szCs w:val="36"/>
        </w:rPr>
        <w:t>1</w:t>
      </w:r>
      <w:r w:rsidR="00075969">
        <w:rPr>
          <w:rFonts w:asciiTheme="minorHAnsi" w:hAnsiTheme="minorHAnsi"/>
          <w:b/>
          <w:sz w:val="36"/>
          <w:szCs w:val="36"/>
        </w:rPr>
        <w:t>8</w:t>
      </w:r>
      <w:r w:rsidR="007B05B9" w:rsidRPr="002225A8">
        <w:rPr>
          <w:rFonts w:asciiTheme="minorHAnsi" w:hAnsiTheme="minorHAnsi"/>
          <w:b/>
          <w:sz w:val="36"/>
          <w:szCs w:val="36"/>
        </w:rPr>
        <w:t xml:space="preserve"> </w:t>
      </w:r>
      <w:r w:rsidR="002225A8" w:rsidRPr="002225A8">
        <w:rPr>
          <w:b/>
          <w:sz w:val="36"/>
          <w:szCs w:val="36"/>
        </w:rPr>
        <w:t>Load Impact Evaluation f</w:t>
      </w:r>
      <w:r w:rsidR="00E24EF4">
        <w:rPr>
          <w:b/>
          <w:sz w:val="36"/>
          <w:szCs w:val="36"/>
        </w:rPr>
        <w:t>or</w:t>
      </w:r>
      <w:r w:rsidR="002225A8" w:rsidRPr="002225A8">
        <w:rPr>
          <w:b/>
          <w:sz w:val="36"/>
          <w:szCs w:val="36"/>
        </w:rPr>
        <w:t xml:space="preserve"> </w:t>
      </w:r>
      <w:r w:rsidR="00075969">
        <w:rPr>
          <w:b/>
          <w:sz w:val="36"/>
          <w:szCs w:val="36"/>
        </w:rPr>
        <w:t>Pacific Gas &amp; Electric</w:t>
      </w:r>
      <w:r w:rsidR="00E24EF4">
        <w:rPr>
          <w:b/>
          <w:sz w:val="36"/>
          <w:szCs w:val="36"/>
        </w:rPr>
        <w:t xml:space="preserve"> Company</w:t>
      </w:r>
      <w:r w:rsidR="00075969">
        <w:rPr>
          <w:b/>
          <w:sz w:val="36"/>
          <w:szCs w:val="36"/>
        </w:rPr>
        <w:t>’s SmartAC</w:t>
      </w:r>
      <w:r w:rsidR="00E24EF4">
        <w:rPr>
          <w:rFonts w:cs="Calibri"/>
          <w:b/>
          <w:sz w:val="36"/>
          <w:szCs w:val="36"/>
        </w:rPr>
        <w:t>™</w:t>
      </w:r>
      <w:r w:rsidR="00075969">
        <w:rPr>
          <w:b/>
          <w:sz w:val="36"/>
          <w:szCs w:val="36"/>
        </w:rPr>
        <w:t xml:space="preserve"> Program</w:t>
      </w:r>
      <w:r w:rsidR="00F213E5">
        <w:rPr>
          <w:b/>
          <w:sz w:val="36"/>
          <w:szCs w:val="36"/>
        </w:rPr>
        <w:t xml:space="preserve"> </w:t>
      </w:r>
    </w:p>
    <w:p w14:paraId="361B56DC" w14:textId="77777777" w:rsidR="00321E09" w:rsidRPr="0072421D" w:rsidRDefault="00321E09" w:rsidP="00E84DD2">
      <w:pPr>
        <w:spacing w:after="120"/>
        <w:rPr>
          <w:rFonts w:ascii="AvantGarde" w:hAnsi="AvantGarde"/>
        </w:rPr>
      </w:pPr>
    </w:p>
    <w:p w14:paraId="51E00618" w14:textId="11B00542" w:rsidR="00321E09" w:rsidRDefault="005651D3" w:rsidP="00E84DD2">
      <w:pPr>
        <w:spacing w:after="120"/>
        <w:rPr>
          <w:rFonts w:ascii="AvantGarde" w:hAnsi="AvantGarde"/>
          <w:b/>
          <w:sz w:val="28"/>
          <w:szCs w:val="28"/>
        </w:rPr>
      </w:pPr>
      <w:r w:rsidRPr="0072421D">
        <w:rPr>
          <w:rFonts w:ascii="AvantGarde" w:hAnsi="AvantGarde"/>
          <w:b/>
          <w:sz w:val="28"/>
          <w:szCs w:val="28"/>
        </w:rPr>
        <w:t xml:space="preserve">CALMAC Study ID </w:t>
      </w:r>
      <w:r w:rsidR="00E24EF4">
        <w:rPr>
          <w:rFonts w:ascii="AvantGarde" w:hAnsi="AvantGarde"/>
          <w:b/>
          <w:sz w:val="28"/>
          <w:szCs w:val="28"/>
        </w:rPr>
        <w:t>PGE0429</w:t>
      </w:r>
    </w:p>
    <w:p w14:paraId="01DE8A18" w14:textId="516466ED" w:rsidR="00075969" w:rsidRDefault="00075969" w:rsidP="00E84DD2">
      <w:pPr>
        <w:spacing w:after="120"/>
        <w:rPr>
          <w:rFonts w:ascii="AvantGarde" w:hAnsi="AvantGarde"/>
          <w:b/>
          <w:sz w:val="28"/>
          <w:szCs w:val="28"/>
        </w:rPr>
      </w:pPr>
    </w:p>
    <w:p w14:paraId="4BA9F3BD" w14:textId="77CE5680" w:rsidR="00075969" w:rsidRDefault="00075969" w:rsidP="00075969">
      <w:pPr>
        <w:spacing w:after="120"/>
        <w:rPr>
          <w:rFonts w:ascii="AvantGarde" w:hAnsi="AvantGarde"/>
          <w:b/>
          <w:sz w:val="28"/>
          <w:szCs w:val="28"/>
        </w:rPr>
      </w:pPr>
    </w:p>
    <w:p w14:paraId="13CD7263" w14:textId="77777777" w:rsidR="00075969" w:rsidRDefault="00075969" w:rsidP="00E84DD2">
      <w:pPr>
        <w:spacing w:after="120"/>
        <w:rPr>
          <w:rFonts w:ascii="AvantGarde" w:hAnsi="AvantGarde"/>
          <w:b/>
          <w:sz w:val="28"/>
          <w:szCs w:val="28"/>
        </w:rPr>
      </w:pPr>
    </w:p>
    <w:p w14:paraId="74227840" w14:textId="2F432745" w:rsidR="000B3C39" w:rsidRPr="0072421D" w:rsidRDefault="000B3C39" w:rsidP="00E84DD2">
      <w:pPr>
        <w:spacing w:after="120"/>
        <w:rPr>
          <w:rFonts w:ascii="AvantGarde" w:hAnsi="AvantGarde"/>
          <w:lang w:val="nb-NO"/>
        </w:rPr>
      </w:pPr>
      <w:r w:rsidRPr="0072421D">
        <w:rPr>
          <w:rFonts w:ascii="AvantGarde" w:hAnsi="AvantGarde"/>
          <w:lang w:val="nb-NO"/>
        </w:rPr>
        <w:t>Daniel G. Hansen</w:t>
      </w:r>
    </w:p>
    <w:p w14:paraId="4662EE1B" w14:textId="23E0A391" w:rsidR="00214534" w:rsidRDefault="00172E38" w:rsidP="00E84DD2">
      <w:pPr>
        <w:spacing w:after="120"/>
        <w:rPr>
          <w:rFonts w:ascii="AvantGarde" w:hAnsi="AvantGarde"/>
        </w:rPr>
      </w:pPr>
      <w:r>
        <w:rPr>
          <w:rFonts w:ascii="AvantGarde" w:hAnsi="AvantGarde"/>
        </w:rPr>
        <w:t>Corey Lott</w:t>
      </w:r>
    </w:p>
    <w:p w14:paraId="3985B67C" w14:textId="26E3A7E9" w:rsidR="00075969" w:rsidRDefault="00075969" w:rsidP="00E84DD2">
      <w:pPr>
        <w:spacing w:after="120"/>
        <w:rPr>
          <w:rFonts w:ascii="AvantGarde" w:hAnsi="AvantGarde"/>
        </w:rPr>
      </w:pPr>
    </w:p>
    <w:p w14:paraId="314B1095" w14:textId="77777777" w:rsidR="00247FE8" w:rsidRPr="0072421D" w:rsidRDefault="00247FE8" w:rsidP="00E84DD2">
      <w:pPr>
        <w:spacing w:after="120"/>
        <w:rPr>
          <w:rFonts w:ascii="AvantGarde" w:hAnsi="AvantGarde"/>
        </w:rPr>
      </w:pPr>
    </w:p>
    <w:p w14:paraId="748F4814" w14:textId="5EA173B2" w:rsidR="00321E09" w:rsidRDefault="00445DF3" w:rsidP="00E84DD2">
      <w:pPr>
        <w:spacing w:after="120"/>
        <w:rPr>
          <w:rFonts w:ascii="AvantGarde" w:hAnsi="AvantGarde"/>
          <w:i/>
        </w:rPr>
      </w:pPr>
      <w:r>
        <w:rPr>
          <w:rFonts w:ascii="AvantGarde" w:hAnsi="AvantGarde"/>
          <w:i/>
        </w:rPr>
        <w:t>April 1</w:t>
      </w:r>
      <w:r w:rsidR="00EF2F8F">
        <w:rPr>
          <w:rFonts w:ascii="AvantGarde" w:hAnsi="AvantGarde"/>
          <w:i/>
        </w:rPr>
        <w:t>,</w:t>
      </w:r>
      <w:r w:rsidR="00075969">
        <w:rPr>
          <w:rFonts w:ascii="AvantGarde" w:hAnsi="AvantGarde"/>
          <w:i/>
        </w:rPr>
        <w:t xml:space="preserve"> 2019</w:t>
      </w:r>
    </w:p>
    <w:p w14:paraId="07C169C7" w14:textId="22039EB5" w:rsidR="00E77874" w:rsidRDefault="00E77874" w:rsidP="00E84DD2">
      <w:pPr>
        <w:spacing w:after="120"/>
        <w:rPr>
          <w:rFonts w:ascii="AvantGarde" w:hAnsi="AvantGarde"/>
          <w:i/>
        </w:rPr>
      </w:pPr>
    </w:p>
    <w:p w14:paraId="7FEC4E0E" w14:textId="4952136C" w:rsidR="00E77874" w:rsidRPr="0001162E" w:rsidRDefault="00E77874" w:rsidP="00E84DD2">
      <w:pPr>
        <w:spacing w:after="120"/>
        <w:rPr>
          <w:rFonts w:ascii="AvantGarde" w:hAnsi="AvantGarde"/>
          <w:i/>
          <w:sz w:val="20"/>
          <w:szCs w:val="20"/>
        </w:rPr>
      </w:pPr>
    </w:p>
    <w:p w14:paraId="70B1A49C" w14:textId="77777777" w:rsidR="00BF5CF6" w:rsidRDefault="00BF5CF6" w:rsidP="00BF5CF6">
      <w:pPr>
        <w:ind w:left="-5040" w:right="644"/>
        <w:rPr>
          <w:b/>
          <w:bCs/>
          <w:color w:val="FF0000"/>
          <w:sz w:val="20"/>
          <w:szCs w:val="20"/>
        </w:rPr>
      </w:pPr>
    </w:p>
    <w:p w14:paraId="1C054E99" w14:textId="7E460600" w:rsidR="00BF5CF6" w:rsidRPr="003601DE" w:rsidRDefault="00BF5CF6" w:rsidP="00E84DD2">
      <w:pPr>
        <w:spacing w:after="120"/>
        <w:rPr>
          <w:rFonts w:ascii="AvantGarde" w:hAnsi="AvantGarde"/>
          <w:i/>
        </w:rPr>
        <w:sectPr w:rsidR="00BF5CF6" w:rsidRPr="003601DE" w:rsidSect="003601DE">
          <w:headerReference w:type="default" r:id="rId8"/>
          <w:footerReference w:type="even" r:id="rId9"/>
          <w:footerReference w:type="default" r:id="rId10"/>
          <w:pgSz w:w="12240" w:h="15840"/>
          <w:pgMar w:top="4863" w:right="432" w:bottom="2520" w:left="6754" w:header="2880" w:footer="1890" w:gutter="0"/>
          <w:pgNumType w:fmt="lowerRoman"/>
          <w:cols w:space="720"/>
          <w:docGrid w:linePitch="360"/>
        </w:sectPr>
      </w:pPr>
    </w:p>
    <w:p w14:paraId="37CD273E" w14:textId="77777777" w:rsidR="00321E09" w:rsidRPr="009D1511" w:rsidRDefault="00321E09" w:rsidP="00265EE5">
      <w:pPr>
        <w:pStyle w:val="TOC1"/>
      </w:pPr>
      <w:r w:rsidRPr="00A22636">
        <w:lastRenderedPageBreak/>
        <w:t>Table of Contents</w:t>
      </w:r>
    </w:p>
    <w:p w14:paraId="546758A7" w14:textId="77777777" w:rsidR="00321E09" w:rsidRDefault="00321E09" w:rsidP="00E84DD2">
      <w:pPr>
        <w:pStyle w:val="TOC3"/>
        <w:spacing w:after="120"/>
      </w:pPr>
    </w:p>
    <w:p w14:paraId="64EFBDA2" w14:textId="3FED7811" w:rsidR="00445DF3" w:rsidRDefault="00321E09">
      <w:pPr>
        <w:pStyle w:val="TOC1"/>
        <w:rPr>
          <w:rFonts w:asciiTheme="minorHAnsi" w:eastAsiaTheme="minorEastAsia" w:hAnsiTheme="minorHAnsi" w:cstheme="minorBidi"/>
          <w:b w:val="0"/>
          <w:noProof/>
          <w:sz w:val="22"/>
          <w:szCs w:val="22"/>
        </w:rPr>
      </w:pPr>
      <w:r w:rsidRPr="00421999">
        <w:rPr>
          <w:sz w:val="22"/>
          <w:szCs w:val="22"/>
        </w:rPr>
        <w:fldChar w:fldCharType="begin"/>
      </w:r>
      <w:r w:rsidRPr="00421999">
        <w:rPr>
          <w:sz w:val="22"/>
          <w:szCs w:val="22"/>
        </w:rPr>
        <w:instrText xml:space="preserve"> TOC \o "1-3" \h \z \u </w:instrText>
      </w:r>
      <w:r w:rsidRPr="00421999">
        <w:rPr>
          <w:sz w:val="22"/>
          <w:szCs w:val="22"/>
        </w:rPr>
        <w:fldChar w:fldCharType="separate"/>
      </w:r>
      <w:hyperlink w:anchor="_Toc4578141" w:history="1">
        <w:r w:rsidR="00445DF3" w:rsidRPr="00717656">
          <w:rPr>
            <w:rStyle w:val="Hyperlink"/>
            <w:noProof/>
          </w:rPr>
          <w:t>Executive Summary</w:t>
        </w:r>
        <w:r w:rsidR="00445DF3">
          <w:rPr>
            <w:noProof/>
            <w:webHidden/>
          </w:rPr>
          <w:tab/>
        </w:r>
        <w:r w:rsidR="00445DF3">
          <w:rPr>
            <w:noProof/>
            <w:webHidden/>
          </w:rPr>
          <w:fldChar w:fldCharType="begin"/>
        </w:r>
        <w:r w:rsidR="00445DF3">
          <w:rPr>
            <w:noProof/>
            <w:webHidden/>
          </w:rPr>
          <w:instrText xml:space="preserve"> PAGEREF _Toc4578141 \h </w:instrText>
        </w:r>
        <w:r w:rsidR="00445DF3">
          <w:rPr>
            <w:noProof/>
            <w:webHidden/>
          </w:rPr>
        </w:r>
        <w:r w:rsidR="00445DF3">
          <w:rPr>
            <w:noProof/>
            <w:webHidden/>
          </w:rPr>
          <w:fldChar w:fldCharType="separate"/>
        </w:r>
        <w:r w:rsidR="00445DF3">
          <w:rPr>
            <w:noProof/>
            <w:webHidden/>
          </w:rPr>
          <w:t>1</w:t>
        </w:r>
        <w:r w:rsidR="00445DF3">
          <w:rPr>
            <w:noProof/>
            <w:webHidden/>
          </w:rPr>
          <w:fldChar w:fldCharType="end"/>
        </w:r>
      </w:hyperlink>
    </w:p>
    <w:p w14:paraId="5C4AD7DA" w14:textId="2D79772F"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42" w:history="1">
        <w:r w:rsidRPr="00717656">
          <w:rPr>
            <w:rStyle w:val="Hyperlink"/>
            <w:noProof/>
          </w:rPr>
          <w:t>ES.1 Resources Covered</w:t>
        </w:r>
        <w:r>
          <w:rPr>
            <w:noProof/>
            <w:webHidden/>
          </w:rPr>
          <w:tab/>
        </w:r>
        <w:r>
          <w:rPr>
            <w:noProof/>
            <w:webHidden/>
          </w:rPr>
          <w:fldChar w:fldCharType="begin"/>
        </w:r>
        <w:r>
          <w:rPr>
            <w:noProof/>
            <w:webHidden/>
          </w:rPr>
          <w:instrText xml:space="preserve"> PAGEREF _Toc4578142 \h </w:instrText>
        </w:r>
        <w:r>
          <w:rPr>
            <w:noProof/>
            <w:webHidden/>
          </w:rPr>
        </w:r>
        <w:r>
          <w:rPr>
            <w:noProof/>
            <w:webHidden/>
          </w:rPr>
          <w:fldChar w:fldCharType="separate"/>
        </w:r>
        <w:r>
          <w:rPr>
            <w:noProof/>
            <w:webHidden/>
          </w:rPr>
          <w:t>1</w:t>
        </w:r>
        <w:r>
          <w:rPr>
            <w:noProof/>
            <w:webHidden/>
          </w:rPr>
          <w:fldChar w:fldCharType="end"/>
        </w:r>
      </w:hyperlink>
    </w:p>
    <w:p w14:paraId="3E47A488" w14:textId="0C256C18"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43" w:history="1">
        <w:r w:rsidRPr="00717656">
          <w:rPr>
            <w:rStyle w:val="Hyperlink"/>
            <w:noProof/>
          </w:rPr>
          <w:t>ES.2 Evaluation Methodologies</w:t>
        </w:r>
        <w:r>
          <w:rPr>
            <w:noProof/>
            <w:webHidden/>
          </w:rPr>
          <w:tab/>
        </w:r>
        <w:r>
          <w:rPr>
            <w:noProof/>
            <w:webHidden/>
          </w:rPr>
          <w:fldChar w:fldCharType="begin"/>
        </w:r>
        <w:r>
          <w:rPr>
            <w:noProof/>
            <w:webHidden/>
          </w:rPr>
          <w:instrText xml:space="preserve"> PAGEREF _Toc4578143 \h </w:instrText>
        </w:r>
        <w:r>
          <w:rPr>
            <w:noProof/>
            <w:webHidden/>
          </w:rPr>
        </w:r>
        <w:r>
          <w:rPr>
            <w:noProof/>
            <w:webHidden/>
          </w:rPr>
          <w:fldChar w:fldCharType="separate"/>
        </w:r>
        <w:r>
          <w:rPr>
            <w:noProof/>
            <w:webHidden/>
          </w:rPr>
          <w:t>2</w:t>
        </w:r>
        <w:r>
          <w:rPr>
            <w:noProof/>
            <w:webHidden/>
          </w:rPr>
          <w:fldChar w:fldCharType="end"/>
        </w:r>
      </w:hyperlink>
    </w:p>
    <w:p w14:paraId="5D7FC32E" w14:textId="18C79EF4"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44" w:history="1">
        <w:r w:rsidRPr="00717656">
          <w:rPr>
            <w:rStyle w:val="Hyperlink"/>
            <w:noProof/>
          </w:rPr>
          <w:t>ES.3 Ex-Post Load Impacts</w:t>
        </w:r>
        <w:r>
          <w:rPr>
            <w:noProof/>
            <w:webHidden/>
          </w:rPr>
          <w:tab/>
        </w:r>
        <w:r>
          <w:rPr>
            <w:noProof/>
            <w:webHidden/>
          </w:rPr>
          <w:fldChar w:fldCharType="begin"/>
        </w:r>
        <w:r>
          <w:rPr>
            <w:noProof/>
            <w:webHidden/>
          </w:rPr>
          <w:instrText xml:space="preserve"> PAGEREF _Toc4578144 \h </w:instrText>
        </w:r>
        <w:r>
          <w:rPr>
            <w:noProof/>
            <w:webHidden/>
          </w:rPr>
        </w:r>
        <w:r>
          <w:rPr>
            <w:noProof/>
            <w:webHidden/>
          </w:rPr>
          <w:fldChar w:fldCharType="separate"/>
        </w:r>
        <w:r>
          <w:rPr>
            <w:noProof/>
            <w:webHidden/>
          </w:rPr>
          <w:t>2</w:t>
        </w:r>
        <w:r>
          <w:rPr>
            <w:noProof/>
            <w:webHidden/>
          </w:rPr>
          <w:fldChar w:fldCharType="end"/>
        </w:r>
      </w:hyperlink>
    </w:p>
    <w:p w14:paraId="096FAA62" w14:textId="01D7B96E"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45" w:history="1">
        <w:r w:rsidRPr="00717656">
          <w:rPr>
            <w:rStyle w:val="Hyperlink"/>
            <w:noProof/>
          </w:rPr>
          <w:t>ES.4 Ex-Ante Load Impacts</w:t>
        </w:r>
        <w:r>
          <w:rPr>
            <w:noProof/>
            <w:webHidden/>
          </w:rPr>
          <w:tab/>
        </w:r>
        <w:r>
          <w:rPr>
            <w:noProof/>
            <w:webHidden/>
          </w:rPr>
          <w:fldChar w:fldCharType="begin"/>
        </w:r>
        <w:r>
          <w:rPr>
            <w:noProof/>
            <w:webHidden/>
          </w:rPr>
          <w:instrText xml:space="preserve"> PAGEREF _Toc4578145 \h </w:instrText>
        </w:r>
        <w:r>
          <w:rPr>
            <w:noProof/>
            <w:webHidden/>
          </w:rPr>
        </w:r>
        <w:r>
          <w:rPr>
            <w:noProof/>
            <w:webHidden/>
          </w:rPr>
          <w:fldChar w:fldCharType="separate"/>
        </w:r>
        <w:r>
          <w:rPr>
            <w:noProof/>
            <w:webHidden/>
          </w:rPr>
          <w:t>3</w:t>
        </w:r>
        <w:r>
          <w:rPr>
            <w:noProof/>
            <w:webHidden/>
          </w:rPr>
          <w:fldChar w:fldCharType="end"/>
        </w:r>
      </w:hyperlink>
    </w:p>
    <w:p w14:paraId="1BE82FF2" w14:textId="04D26372" w:rsidR="00445DF3" w:rsidRDefault="00445DF3">
      <w:pPr>
        <w:pStyle w:val="TOC1"/>
        <w:rPr>
          <w:rFonts w:asciiTheme="minorHAnsi" w:eastAsiaTheme="minorEastAsia" w:hAnsiTheme="minorHAnsi" w:cstheme="minorBidi"/>
          <w:b w:val="0"/>
          <w:noProof/>
          <w:sz w:val="22"/>
          <w:szCs w:val="22"/>
        </w:rPr>
      </w:pPr>
      <w:hyperlink w:anchor="_Toc4578146" w:history="1">
        <w:r w:rsidRPr="00717656">
          <w:rPr>
            <w:rStyle w:val="Hyperlink"/>
            <w:noProof/>
          </w:rPr>
          <w:t>1. Introduction and Purpose of the Study</w:t>
        </w:r>
        <w:r>
          <w:rPr>
            <w:noProof/>
            <w:webHidden/>
          </w:rPr>
          <w:tab/>
        </w:r>
        <w:r>
          <w:rPr>
            <w:noProof/>
            <w:webHidden/>
          </w:rPr>
          <w:fldChar w:fldCharType="begin"/>
        </w:r>
        <w:r>
          <w:rPr>
            <w:noProof/>
            <w:webHidden/>
          </w:rPr>
          <w:instrText xml:space="preserve"> PAGEREF _Toc4578146 \h </w:instrText>
        </w:r>
        <w:r>
          <w:rPr>
            <w:noProof/>
            <w:webHidden/>
          </w:rPr>
        </w:r>
        <w:r>
          <w:rPr>
            <w:noProof/>
            <w:webHidden/>
          </w:rPr>
          <w:fldChar w:fldCharType="separate"/>
        </w:r>
        <w:r>
          <w:rPr>
            <w:noProof/>
            <w:webHidden/>
          </w:rPr>
          <w:t>5</w:t>
        </w:r>
        <w:r>
          <w:rPr>
            <w:noProof/>
            <w:webHidden/>
          </w:rPr>
          <w:fldChar w:fldCharType="end"/>
        </w:r>
      </w:hyperlink>
    </w:p>
    <w:p w14:paraId="35840F30" w14:textId="5A871908" w:rsidR="00445DF3" w:rsidRDefault="00445DF3">
      <w:pPr>
        <w:pStyle w:val="TOC1"/>
        <w:rPr>
          <w:rFonts w:asciiTheme="minorHAnsi" w:eastAsiaTheme="minorEastAsia" w:hAnsiTheme="minorHAnsi" w:cstheme="minorBidi"/>
          <w:b w:val="0"/>
          <w:noProof/>
          <w:sz w:val="22"/>
          <w:szCs w:val="22"/>
        </w:rPr>
      </w:pPr>
      <w:hyperlink w:anchor="_Toc4578147" w:history="1">
        <w:r w:rsidRPr="00717656">
          <w:rPr>
            <w:rStyle w:val="Hyperlink"/>
            <w:noProof/>
          </w:rPr>
          <w:t>2. Study Methodology</w:t>
        </w:r>
        <w:r>
          <w:rPr>
            <w:noProof/>
            <w:webHidden/>
          </w:rPr>
          <w:tab/>
        </w:r>
        <w:r>
          <w:rPr>
            <w:noProof/>
            <w:webHidden/>
          </w:rPr>
          <w:fldChar w:fldCharType="begin"/>
        </w:r>
        <w:r>
          <w:rPr>
            <w:noProof/>
            <w:webHidden/>
          </w:rPr>
          <w:instrText xml:space="preserve"> PAGEREF _Toc4578147 \h </w:instrText>
        </w:r>
        <w:r>
          <w:rPr>
            <w:noProof/>
            <w:webHidden/>
          </w:rPr>
        </w:r>
        <w:r>
          <w:rPr>
            <w:noProof/>
            <w:webHidden/>
          </w:rPr>
          <w:fldChar w:fldCharType="separate"/>
        </w:r>
        <w:r>
          <w:rPr>
            <w:noProof/>
            <w:webHidden/>
          </w:rPr>
          <w:t>8</w:t>
        </w:r>
        <w:r>
          <w:rPr>
            <w:noProof/>
            <w:webHidden/>
          </w:rPr>
          <w:fldChar w:fldCharType="end"/>
        </w:r>
      </w:hyperlink>
    </w:p>
    <w:p w14:paraId="264767BA" w14:textId="011FC532"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48" w:history="1">
        <w:r w:rsidRPr="00717656">
          <w:rPr>
            <w:rStyle w:val="Hyperlink"/>
            <w:noProof/>
          </w:rPr>
          <w:t>2.1 Ex-post Load Impact Evaluation</w:t>
        </w:r>
        <w:r>
          <w:rPr>
            <w:noProof/>
            <w:webHidden/>
          </w:rPr>
          <w:tab/>
        </w:r>
        <w:r>
          <w:rPr>
            <w:noProof/>
            <w:webHidden/>
          </w:rPr>
          <w:fldChar w:fldCharType="begin"/>
        </w:r>
        <w:r>
          <w:rPr>
            <w:noProof/>
            <w:webHidden/>
          </w:rPr>
          <w:instrText xml:space="preserve"> PAGEREF _Toc4578148 \h </w:instrText>
        </w:r>
        <w:r>
          <w:rPr>
            <w:noProof/>
            <w:webHidden/>
          </w:rPr>
        </w:r>
        <w:r>
          <w:rPr>
            <w:noProof/>
            <w:webHidden/>
          </w:rPr>
          <w:fldChar w:fldCharType="separate"/>
        </w:r>
        <w:r>
          <w:rPr>
            <w:noProof/>
            <w:webHidden/>
          </w:rPr>
          <w:t>8</w:t>
        </w:r>
        <w:r>
          <w:rPr>
            <w:noProof/>
            <w:webHidden/>
          </w:rPr>
          <w:fldChar w:fldCharType="end"/>
        </w:r>
      </w:hyperlink>
    </w:p>
    <w:p w14:paraId="1C630265" w14:textId="42631C68" w:rsidR="00445DF3" w:rsidRDefault="00445DF3">
      <w:pPr>
        <w:pStyle w:val="TOC3"/>
        <w:rPr>
          <w:rFonts w:asciiTheme="minorHAnsi" w:eastAsiaTheme="minorEastAsia" w:hAnsiTheme="minorHAnsi" w:cstheme="minorBidi"/>
          <w:noProof/>
          <w:sz w:val="22"/>
          <w:szCs w:val="22"/>
        </w:rPr>
      </w:pPr>
      <w:hyperlink w:anchor="_Toc4578149" w:history="1">
        <w:r w:rsidRPr="00717656">
          <w:rPr>
            <w:rStyle w:val="Hyperlink"/>
            <w:noProof/>
            <w14:scene3d>
              <w14:camera w14:prst="orthographicFront"/>
              <w14:lightRig w14:rig="threePt" w14:dir="t">
                <w14:rot w14:lat="0" w14:lon="0" w14:rev="0"/>
              </w14:lightRig>
            </w14:scene3d>
          </w:rPr>
          <w:t>2.1.1</w:t>
        </w:r>
        <w:r w:rsidRPr="00717656">
          <w:rPr>
            <w:rStyle w:val="Hyperlink"/>
            <w:noProof/>
          </w:rPr>
          <w:t xml:space="preserve"> Data</w:t>
        </w:r>
        <w:r>
          <w:rPr>
            <w:noProof/>
            <w:webHidden/>
          </w:rPr>
          <w:tab/>
        </w:r>
        <w:r>
          <w:rPr>
            <w:noProof/>
            <w:webHidden/>
          </w:rPr>
          <w:fldChar w:fldCharType="begin"/>
        </w:r>
        <w:r>
          <w:rPr>
            <w:noProof/>
            <w:webHidden/>
          </w:rPr>
          <w:instrText xml:space="preserve"> PAGEREF _Toc4578149 \h </w:instrText>
        </w:r>
        <w:r>
          <w:rPr>
            <w:noProof/>
            <w:webHidden/>
          </w:rPr>
        </w:r>
        <w:r>
          <w:rPr>
            <w:noProof/>
            <w:webHidden/>
          </w:rPr>
          <w:fldChar w:fldCharType="separate"/>
        </w:r>
        <w:r>
          <w:rPr>
            <w:noProof/>
            <w:webHidden/>
          </w:rPr>
          <w:t>8</w:t>
        </w:r>
        <w:r>
          <w:rPr>
            <w:noProof/>
            <w:webHidden/>
          </w:rPr>
          <w:fldChar w:fldCharType="end"/>
        </w:r>
      </w:hyperlink>
    </w:p>
    <w:p w14:paraId="1D5F9C88" w14:textId="5BFFD97A" w:rsidR="00445DF3" w:rsidRDefault="00445DF3">
      <w:pPr>
        <w:pStyle w:val="TOC3"/>
        <w:rPr>
          <w:rFonts w:asciiTheme="minorHAnsi" w:eastAsiaTheme="minorEastAsia" w:hAnsiTheme="minorHAnsi" w:cstheme="minorBidi"/>
          <w:noProof/>
          <w:sz w:val="22"/>
          <w:szCs w:val="22"/>
        </w:rPr>
      </w:pPr>
      <w:hyperlink w:anchor="_Toc4578150" w:history="1">
        <w:r w:rsidRPr="00717656">
          <w:rPr>
            <w:rStyle w:val="Hyperlink"/>
            <w:noProof/>
            <w14:scene3d>
              <w14:camera w14:prst="orthographicFront"/>
              <w14:lightRig w14:rig="threePt" w14:dir="t">
                <w14:rot w14:lat="0" w14:lon="0" w14:rev="0"/>
              </w14:lightRig>
            </w14:scene3d>
          </w:rPr>
          <w:t>2.1.2</w:t>
        </w:r>
        <w:r w:rsidRPr="00717656">
          <w:rPr>
            <w:rStyle w:val="Hyperlink"/>
            <w:noProof/>
          </w:rPr>
          <w:t xml:space="preserve"> Control Group Selection</w:t>
        </w:r>
        <w:r>
          <w:rPr>
            <w:noProof/>
            <w:webHidden/>
          </w:rPr>
          <w:tab/>
        </w:r>
        <w:r>
          <w:rPr>
            <w:noProof/>
            <w:webHidden/>
          </w:rPr>
          <w:fldChar w:fldCharType="begin"/>
        </w:r>
        <w:r>
          <w:rPr>
            <w:noProof/>
            <w:webHidden/>
          </w:rPr>
          <w:instrText xml:space="preserve"> PAGEREF _Toc4578150 \h </w:instrText>
        </w:r>
        <w:r>
          <w:rPr>
            <w:noProof/>
            <w:webHidden/>
          </w:rPr>
        </w:r>
        <w:r>
          <w:rPr>
            <w:noProof/>
            <w:webHidden/>
          </w:rPr>
          <w:fldChar w:fldCharType="separate"/>
        </w:r>
        <w:r>
          <w:rPr>
            <w:noProof/>
            <w:webHidden/>
          </w:rPr>
          <w:t>8</w:t>
        </w:r>
        <w:r>
          <w:rPr>
            <w:noProof/>
            <w:webHidden/>
          </w:rPr>
          <w:fldChar w:fldCharType="end"/>
        </w:r>
      </w:hyperlink>
    </w:p>
    <w:p w14:paraId="7804DDF3" w14:textId="1B8D25AC" w:rsidR="00445DF3" w:rsidRDefault="00445DF3">
      <w:pPr>
        <w:pStyle w:val="TOC3"/>
        <w:rPr>
          <w:rFonts w:asciiTheme="minorHAnsi" w:eastAsiaTheme="minorEastAsia" w:hAnsiTheme="minorHAnsi" w:cstheme="minorBidi"/>
          <w:noProof/>
          <w:sz w:val="22"/>
          <w:szCs w:val="22"/>
        </w:rPr>
      </w:pPr>
      <w:hyperlink w:anchor="_Toc4578151" w:history="1">
        <w:r w:rsidRPr="00717656">
          <w:rPr>
            <w:rStyle w:val="Hyperlink"/>
            <w:noProof/>
            <w14:scene3d>
              <w14:camera w14:prst="orthographicFront"/>
              <w14:lightRig w14:rig="threePt" w14:dir="t">
                <w14:rot w14:lat="0" w14:lon="0" w14:rev="0"/>
              </w14:lightRig>
            </w14:scene3d>
          </w:rPr>
          <w:t>2.1.3</w:t>
        </w:r>
        <w:r w:rsidRPr="00717656">
          <w:rPr>
            <w:rStyle w:val="Hyperlink"/>
            <w:noProof/>
          </w:rPr>
          <w:t xml:space="preserve"> Analysis Methods</w:t>
        </w:r>
        <w:r>
          <w:rPr>
            <w:noProof/>
            <w:webHidden/>
          </w:rPr>
          <w:tab/>
        </w:r>
        <w:r>
          <w:rPr>
            <w:noProof/>
            <w:webHidden/>
          </w:rPr>
          <w:fldChar w:fldCharType="begin"/>
        </w:r>
        <w:r>
          <w:rPr>
            <w:noProof/>
            <w:webHidden/>
          </w:rPr>
          <w:instrText xml:space="preserve"> PAGEREF _Toc4578151 \h </w:instrText>
        </w:r>
        <w:r>
          <w:rPr>
            <w:noProof/>
            <w:webHidden/>
          </w:rPr>
        </w:r>
        <w:r>
          <w:rPr>
            <w:noProof/>
            <w:webHidden/>
          </w:rPr>
          <w:fldChar w:fldCharType="separate"/>
        </w:r>
        <w:r>
          <w:rPr>
            <w:noProof/>
            <w:webHidden/>
          </w:rPr>
          <w:t>10</w:t>
        </w:r>
        <w:r>
          <w:rPr>
            <w:noProof/>
            <w:webHidden/>
          </w:rPr>
          <w:fldChar w:fldCharType="end"/>
        </w:r>
      </w:hyperlink>
    </w:p>
    <w:p w14:paraId="6DC3BD98" w14:textId="1FDFF58F"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52" w:history="1">
        <w:r w:rsidRPr="00717656">
          <w:rPr>
            <w:rStyle w:val="Hyperlink"/>
            <w:noProof/>
          </w:rPr>
          <w:t>2.2 Developing Ex-Ante Load Impacts</w:t>
        </w:r>
        <w:r>
          <w:rPr>
            <w:noProof/>
            <w:webHidden/>
          </w:rPr>
          <w:tab/>
        </w:r>
        <w:r>
          <w:rPr>
            <w:noProof/>
            <w:webHidden/>
          </w:rPr>
          <w:fldChar w:fldCharType="begin"/>
        </w:r>
        <w:r>
          <w:rPr>
            <w:noProof/>
            <w:webHidden/>
          </w:rPr>
          <w:instrText xml:space="preserve"> PAGEREF _Toc4578152 \h </w:instrText>
        </w:r>
        <w:r>
          <w:rPr>
            <w:noProof/>
            <w:webHidden/>
          </w:rPr>
        </w:r>
        <w:r>
          <w:rPr>
            <w:noProof/>
            <w:webHidden/>
          </w:rPr>
          <w:fldChar w:fldCharType="separate"/>
        </w:r>
        <w:r>
          <w:rPr>
            <w:noProof/>
            <w:webHidden/>
          </w:rPr>
          <w:t>11</w:t>
        </w:r>
        <w:r>
          <w:rPr>
            <w:noProof/>
            <w:webHidden/>
          </w:rPr>
          <w:fldChar w:fldCharType="end"/>
        </w:r>
      </w:hyperlink>
    </w:p>
    <w:p w14:paraId="094D560D" w14:textId="34676B92" w:rsidR="00445DF3" w:rsidRDefault="00445DF3">
      <w:pPr>
        <w:pStyle w:val="TOC3"/>
        <w:rPr>
          <w:rFonts w:asciiTheme="minorHAnsi" w:eastAsiaTheme="minorEastAsia" w:hAnsiTheme="minorHAnsi" w:cstheme="minorBidi"/>
          <w:noProof/>
          <w:sz w:val="22"/>
          <w:szCs w:val="22"/>
        </w:rPr>
      </w:pPr>
      <w:hyperlink w:anchor="_Toc4578153" w:history="1">
        <w:r w:rsidRPr="00717656">
          <w:rPr>
            <w:rStyle w:val="Hyperlink"/>
            <w:noProof/>
            <w14:scene3d>
              <w14:camera w14:prst="orthographicFront"/>
              <w14:lightRig w14:rig="threePt" w14:dir="t">
                <w14:rot w14:lat="0" w14:lon="0" w14:rev="0"/>
              </w14:lightRig>
            </w14:scene3d>
          </w:rPr>
          <w:t>2.2.1</w:t>
        </w:r>
        <w:r w:rsidRPr="00717656">
          <w:rPr>
            <w:rStyle w:val="Hyperlink"/>
            <w:noProof/>
          </w:rPr>
          <w:t xml:space="preserve"> Reference Loads</w:t>
        </w:r>
        <w:r>
          <w:rPr>
            <w:noProof/>
            <w:webHidden/>
          </w:rPr>
          <w:tab/>
        </w:r>
        <w:r>
          <w:rPr>
            <w:noProof/>
            <w:webHidden/>
          </w:rPr>
          <w:fldChar w:fldCharType="begin"/>
        </w:r>
        <w:r>
          <w:rPr>
            <w:noProof/>
            <w:webHidden/>
          </w:rPr>
          <w:instrText xml:space="preserve"> PAGEREF _Toc4578153 \h </w:instrText>
        </w:r>
        <w:r>
          <w:rPr>
            <w:noProof/>
            <w:webHidden/>
          </w:rPr>
        </w:r>
        <w:r>
          <w:rPr>
            <w:noProof/>
            <w:webHidden/>
          </w:rPr>
          <w:fldChar w:fldCharType="separate"/>
        </w:r>
        <w:r>
          <w:rPr>
            <w:noProof/>
            <w:webHidden/>
          </w:rPr>
          <w:t>12</w:t>
        </w:r>
        <w:r>
          <w:rPr>
            <w:noProof/>
            <w:webHidden/>
          </w:rPr>
          <w:fldChar w:fldCharType="end"/>
        </w:r>
      </w:hyperlink>
    </w:p>
    <w:p w14:paraId="76EADE80" w14:textId="739CD2C5" w:rsidR="00445DF3" w:rsidRDefault="00445DF3">
      <w:pPr>
        <w:pStyle w:val="TOC3"/>
        <w:rPr>
          <w:rFonts w:asciiTheme="minorHAnsi" w:eastAsiaTheme="minorEastAsia" w:hAnsiTheme="minorHAnsi" w:cstheme="minorBidi"/>
          <w:noProof/>
          <w:sz w:val="22"/>
          <w:szCs w:val="22"/>
        </w:rPr>
      </w:pPr>
      <w:hyperlink w:anchor="_Toc4578154" w:history="1">
        <w:r w:rsidRPr="00717656">
          <w:rPr>
            <w:rStyle w:val="Hyperlink"/>
            <w:noProof/>
            <w14:scene3d>
              <w14:camera w14:prst="orthographicFront"/>
              <w14:lightRig w14:rig="threePt" w14:dir="t">
                <w14:rot w14:lat="0" w14:lon="0" w14:rev="0"/>
              </w14:lightRig>
            </w14:scene3d>
          </w:rPr>
          <w:t>2.2.2</w:t>
        </w:r>
        <w:r w:rsidRPr="00717656">
          <w:rPr>
            <w:rStyle w:val="Hyperlink"/>
            <w:noProof/>
          </w:rPr>
          <w:t xml:space="preserve"> Load Impacts</w:t>
        </w:r>
        <w:r>
          <w:rPr>
            <w:noProof/>
            <w:webHidden/>
          </w:rPr>
          <w:tab/>
        </w:r>
        <w:r>
          <w:rPr>
            <w:noProof/>
            <w:webHidden/>
          </w:rPr>
          <w:fldChar w:fldCharType="begin"/>
        </w:r>
        <w:r>
          <w:rPr>
            <w:noProof/>
            <w:webHidden/>
          </w:rPr>
          <w:instrText xml:space="preserve"> PAGEREF _Toc4578154 \h </w:instrText>
        </w:r>
        <w:r>
          <w:rPr>
            <w:noProof/>
            <w:webHidden/>
          </w:rPr>
        </w:r>
        <w:r>
          <w:rPr>
            <w:noProof/>
            <w:webHidden/>
          </w:rPr>
          <w:fldChar w:fldCharType="separate"/>
        </w:r>
        <w:r>
          <w:rPr>
            <w:noProof/>
            <w:webHidden/>
          </w:rPr>
          <w:t>13</w:t>
        </w:r>
        <w:r>
          <w:rPr>
            <w:noProof/>
            <w:webHidden/>
          </w:rPr>
          <w:fldChar w:fldCharType="end"/>
        </w:r>
      </w:hyperlink>
    </w:p>
    <w:p w14:paraId="2B66D408" w14:textId="009D3753" w:rsidR="00445DF3" w:rsidRDefault="00445DF3">
      <w:pPr>
        <w:pStyle w:val="TOC1"/>
        <w:rPr>
          <w:rFonts w:asciiTheme="minorHAnsi" w:eastAsiaTheme="minorEastAsia" w:hAnsiTheme="minorHAnsi" w:cstheme="minorBidi"/>
          <w:b w:val="0"/>
          <w:noProof/>
          <w:sz w:val="22"/>
          <w:szCs w:val="22"/>
        </w:rPr>
      </w:pPr>
      <w:hyperlink w:anchor="_Toc4578155" w:history="1">
        <w:r w:rsidRPr="00717656">
          <w:rPr>
            <w:rStyle w:val="Hyperlink"/>
            <w:noProof/>
          </w:rPr>
          <w:t>3.</w:t>
        </w:r>
        <w:r w:rsidRPr="00717656">
          <w:rPr>
            <w:rStyle w:val="Hyperlink"/>
            <w:i/>
            <w:noProof/>
          </w:rPr>
          <w:t xml:space="preserve"> Ex-Post</w:t>
        </w:r>
        <w:r w:rsidRPr="00717656">
          <w:rPr>
            <w:rStyle w:val="Hyperlink"/>
            <w:noProof/>
          </w:rPr>
          <w:t xml:space="preserve"> Load Impacts</w:t>
        </w:r>
        <w:r>
          <w:rPr>
            <w:noProof/>
            <w:webHidden/>
          </w:rPr>
          <w:tab/>
        </w:r>
        <w:r>
          <w:rPr>
            <w:noProof/>
            <w:webHidden/>
          </w:rPr>
          <w:fldChar w:fldCharType="begin"/>
        </w:r>
        <w:r>
          <w:rPr>
            <w:noProof/>
            <w:webHidden/>
          </w:rPr>
          <w:instrText xml:space="preserve"> PAGEREF _Toc4578155 \h </w:instrText>
        </w:r>
        <w:r>
          <w:rPr>
            <w:noProof/>
            <w:webHidden/>
          </w:rPr>
        </w:r>
        <w:r>
          <w:rPr>
            <w:noProof/>
            <w:webHidden/>
          </w:rPr>
          <w:fldChar w:fldCharType="separate"/>
        </w:r>
        <w:r>
          <w:rPr>
            <w:noProof/>
            <w:webHidden/>
          </w:rPr>
          <w:t>14</w:t>
        </w:r>
        <w:r>
          <w:rPr>
            <w:noProof/>
            <w:webHidden/>
          </w:rPr>
          <w:fldChar w:fldCharType="end"/>
        </w:r>
      </w:hyperlink>
    </w:p>
    <w:p w14:paraId="22E0F061" w14:textId="41F195C7"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56" w:history="1">
        <w:r w:rsidRPr="00717656">
          <w:rPr>
            <w:rStyle w:val="Hyperlink"/>
            <w:noProof/>
          </w:rPr>
          <w:t>3.1 Control Group Matching Results</w:t>
        </w:r>
        <w:r>
          <w:rPr>
            <w:noProof/>
            <w:webHidden/>
          </w:rPr>
          <w:tab/>
        </w:r>
        <w:r>
          <w:rPr>
            <w:noProof/>
            <w:webHidden/>
          </w:rPr>
          <w:fldChar w:fldCharType="begin"/>
        </w:r>
        <w:r>
          <w:rPr>
            <w:noProof/>
            <w:webHidden/>
          </w:rPr>
          <w:instrText xml:space="preserve"> PAGEREF _Toc4578156 \h </w:instrText>
        </w:r>
        <w:r>
          <w:rPr>
            <w:noProof/>
            <w:webHidden/>
          </w:rPr>
        </w:r>
        <w:r>
          <w:rPr>
            <w:noProof/>
            <w:webHidden/>
          </w:rPr>
          <w:fldChar w:fldCharType="separate"/>
        </w:r>
        <w:r>
          <w:rPr>
            <w:noProof/>
            <w:webHidden/>
          </w:rPr>
          <w:t>15</w:t>
        </w:r>
        <w:r>
          <w:rPr>
            <w:noProof/>
            <w:webHidden/>
          </w:rPr>
          <w:fldChar w:fldCharType="end"/>
        </w:r>
      </w:hyperlink>
    </w:p>
    <w:p w14:paraId="2A7278EE" w14:textId="1B241A6D"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57" w:history="1">
        <w:r w:rsidRPr="00717656">
          <w:rPr>
            <w:rStyle w:val="Hyperlink"/>
            <w:noProof/>
          </w:rPr>
          <w:t>3.2 Overall Load Impacts</w:t>
        </w:r>
        <w:r>
          <w:rPr>
            <w:noProof/>
            <w:webHidden/>
          </w:rPr>
          <w:tab/>
        </w:r>
        <w:r>
          <w:rPr>
            <w:noProof/>
            <w:webHidden/>
          </w:rPr>
          <w:fldChar w:fldCharType="begin"/>
        </w:r>
        <w:r>
          <w:rPr>
            <w:noProof/>
            <w:webHidden/>
          </w:rPr>
          <w:instrText xml:space="preserve"> PAGEREF _Toc4578157 \h </w:instrText>
        </w:r>
        <w:r>
          <w:rPr>
            <w:noProof/>
            <w:webHidden/>
          </w:rPr>
        </w:r>
        <w:r>
          <w:rPr>
            <w:noProof/>
            <w:webHidden/>
          </w:rPr>
          <w:fldChar w:fldCharType="separate"/>
        </w:r>
        <w:r>
          <w:rPr>
            <w:noProof/>
            <w:webHidden/>
          </w:rPr>
          <w:t>16</w:t>
        </w:r>
        <w:r>
          <w:rPr>
            <w:noProof/>
            <w:webHidden/>
          </w:rPr>
          <w:fldChar w:fldCharType="end"/>
        </w:r>
      </w:hyperlink>
    </w:p>
    <w:p w14:paraId="04960513" w14:textId="20EF5467"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58" w:history="1">
        <w:r w:rsidRPr="00717656">
          <w:rPr>
            <w:rStyle w:val="Hyperlink"/>
            <w:noProof/>
          </w:rPr>
          <w:t>3.3 Subgroup Load Impacts</w:t>
        </w:r>
        <w:r>
          <w:rPr>
            <w:noProof/>
            <w:webHidden/>
          </w:rPr>
          <w:tab/>
        </w:r>
        <w:r>
          <w:rPr>
            <w:noProof/>
            <w:webHidden/>
          </w:rPr>
          <w:fldChar w:fldCharType="begin"/>
        </w:r>
        <w:r>
          <w:rPr>
            <w:noProof/>
            <w:webHidden/>
          </w:rPr>
          <w:instrText xml:space="preserve"> PAGEREF _Toc4578158 \h </w:instrText>
        </w:r>
        <w:r>
          <w:rPr>
            <w:noProof/>
            <w:webHidden/>
          </w:rPr>
        </w:r>
        <w:r>
          <w:rPr>
            <w:noProof/>
            <w:webHidden/>
          </w:rPr>
          <w:fldChar w:fldCharType="separate"/>
        </w:r>
        <w:r>
          <w:rPr>
            <w:noProof/>
            <w:webHidden/>
          </w:rPr>
          <w:t>26</w:t>
        </w:r>
        <w:r>
          <w:rPr>
            <w:noProof/>
            <w:webHidden/>
          </w:rPr>
          <w:fldChar w:fldCharType="end"/>
        </w:r>
      </w:hyperlink>
    </w:p>
    <w:p w14:paraId="0A4D6FBD" w14:textId="5E5A0315" w:rsidR="00445DF3" w:rsidRDefault="00445DF3">
      <w:pPr>
        <w:pStyle w:val="TOC3"/>
        <w:rPr>
          <w:rFonts w:asciiTheme="minorHAnsi" w:eastAsiaTheme="minorEastAsia" w:hAnsiTheme="minorHAnsi" w:cstheme="minorBidi"/>
          <w:noProof/>
          <w:sz w:val="22"/>
          <w:szCs w:val="22"/>
        </w:rPr>
      </w:pPr>
      <w:hyperlink w:anchor="_Toc4578159" w:history="1">
        <w:r w:rsidRPr="00717656">
          <w:rPr>
            <w:rStyle w:val="Hyperlink"/>
            <w:noProof/>
            <w14:scene3d>
              <w14:camera w14:prst="orthographicFront"/>
              <w14:lightRig w14:rig="threePt" w14:dir="t">
                <w14:rot w14:lat="0" w14:lon="0" w14:rev="0"/>
              </w14:lightRig>
            </w14:scene3d>
          </w:rPr>
          <w:t>3.3.1</w:t>
        </w:r>
        <w:r w:rsidRPr="00717656">
          <w:rPr>
            <w:rStyle w:val="Hyperlink"/>
            <w:noProof/>
          </w:rPr>
          <w:t xml:space="preserve"> Dually Enrolled Customers</w:t>
        </w:r>
        <w:r>
          <w:rPr>
            <w:noProof/>
            <w:webHidden/>
          </w:rPr>
          <w:tab/>
        </w:r>
        <w:r>
          <w:rPr>
            <w:noProof/>
            <w:webHidden/>
          </w:rPr>
          <w:fldChar w:fldCharType="begin"/>
        </w:r>
        <w:r>
          <w:rPr>
            <w:noProof/>
            <w:webHidden/>
          </w:rPr>
          <w:instrText xml:space="preserve"> PAGEREF _Toc4578159 \h </w:instrText>
        </w:r>
        <w:r>
          <w:rPr>
            <w:noProof/>
            <w:webHidden/>
          </w:rPr>
        </w:r>
        <w:r>
          <w:rPr>
            <w:noProof/>
            <w:webHidden/>
          </w:rPr>
          <w:fldChar w:fldCharType="separate"/>
        </w:r>
        <w:r>
          <w:rPr>
            <w:noProof/>
            <w:webHidden/>
          </w:rPr>
          <w:t>29</w:t>
        </w:r>
        <w:r>
          <w:rPr>
            <w:noProof/>
            <w:webHidden/>
          </w:rPr>
          <w:fldChar w:fldCharType="end"/>
        </w:r>
      </w:hyperlink>
    </w:p>
    <w:p w14:paraId="57C46439" w14:textId="15724DDB"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60" w:history="1">
        <w:r w:rsidRPr="00717656">
          <w:rPr>
            <w:rStyle w:val="Hyperlink"/>
            <w:noProof/>
          </w:rPr>
          <w:t>3.4 Event Override Rate</w:t>
        </w:r>
        <w:r>
          <w:rPr>
            <w:noProof/>
            <w:webHidden/>
          </w:rPr>
          <w:tab/>
        </w:r>
        <w:r>
          <w:rPr>
            <w:noProof/>
            <w:webHidden/>
          </w:rPr>
          <w:fldChar w:fldCharType="begin"/>
        </w:r>
        <w:r>
          <w:rPr>
            <w:noProof/>
            <w:webHidden/>
          </w:rPr>
          <w:instrText xml:space="preserve"> PAGEREF _Toc4578160 \h </w:instrText>
        </w:r>
        <w:r>
          <w:rPr>
            <w:noProof/>
            <w:webHidden/>
          </w:rPr>
        </w:r>
        <w:r>
          <w:rPr>
            <w:noProof/>
            <w:webHidden/>
          </w:rPr>
          <w:fldChar w:fldCharType="separate"/>
        </w:r>
        <w:r>
          <w:rPr>
            <w:noProof/>
            <w:webHidden/>
          </w:rPr>
          <w:t>30</w:t>
        </w:r>
        <w:r>
          <w:rPr>
            <w:noProof/>
            <w:webHidden/>
          </w:rPr>
          <w:fldChar w:fldCharType="end"/>
        </w:r>
      </w:hyperlink>
    </w:p>
    <w:p w14:paraId="2445D240" w14:textId="69B627E3" w:rsidR="00445DF3" w:rsidRDefault="00445DF3">
      <w:pPr>
        <w:pStyle w:val="TOC1"/>
        <w:rPr>
          <w:rFonts w:asciiTheme="minorHAnsi" w:eastAsiaTheme="minorEastAsia" w:hAnsiTheme="minorHAnsi" w:cstheme="minorBidi"/>
          <w:b w:val="0"/>
          <w:noProof/>
          <w:sz w:val="22"/>
          <w:szCs w:val="22"/>
        </w:rPr>
      </w:pPr>
      <w:hyperlink w:anchor="_Toc4578161" w:history="1">
        <w:r w:rsidRPr="00717656">
          <w:rPr>
            <w:rStyle w:val="Hyperlink"/>
            <w:noProof/>
          </w:rPr>
          <w:t>4.</w:t>
        </w:r>
        <w:r w:rsidRPr="00717656">
          <w:rPr>
            <w:rStyle w:val="Hyperlink"/>
            <w:i/>
            <w:noProof/>
          </w:rPr>
          <w:t xml:space="preserve"> Ex-Ante</w:t>
        </w:r>
        <w:r w:rsidRPr="00717656">
          <w:rPr>
            <w:rStyle w:val="Hyperlink"/>
            <w:noProof/>
          </w:rPr>
          <w:t xml:space="preserve"> Load Impacts</w:t>
        </w:r>
        <w:r>
          <w:rPr>
            <w:noProof/>
            <w:webHidden/>
          </w:rPr>
          <w:tab/>
        </w:r>
        <w:r>
          <w:rPr>
            <w:noProof/>
            <w:webHidden/>
          </w:rPr>
          <w:fldChar w:fldCharType="begin"/>
        </w:r>
        <w:r>
          <w:rPr>
            <w:noProof/>
            <w:webHidden/>
          </w:rPr>
          <w:instrText xml:space="preserve"> PAGEREF _Toc4578161 \h </w:instrText>
        </w:r>
        <w:r>
          <w:rPr>
            <w:noProof/>
            <w:webHidden/>
          </w:rPr>
        </w:r>
        <w:r>
          <w:rPr>
            <w:noProof/>
            <w:webHidden/>
          </w:rPr>
          <w:fldChar w:fldCharType="separate"/>
        </w:r>
        <w:r>
          <w:rPr>
            <w:noProof/>
            <w:webHidden/>
          </w:rPr>
          <w:t>32</w:t>
        </w:r>
        <w:r>
          <w:rPr>
            <w:noProof/>
            <w:webHidden/>
          </w:rPr>
          <w:fldChar w:fldCharType="end"/>
        </w:r>
      </w:hyperlink>
    </w:p>
    <w:p w14:paraId="259F982D" w14:textId="0694A7F9" w:rsidR="00445DF3" w:rsidRDefault="00445DF3">
      <w:pPr>
        <w:pStyle w:val="TOC1"/>
        <w:rPr>
          <w:rFonts w:asciiTheme="minorHAnsi" w:eastAsiaTheme="minorEastAsia" w:hAnsiTheme="minorHAnsi" w:cstheme="minorBidi"/>
          <w:b w:val="0"/>
          <w:noProof/>
          <w:sz w:val="22"/>
          <w:szCs w:val="22"/>
        </w:rPr>
      </w:pPr>
      <w:hyperlink w:anchor="_Toc4578162" w:history="1">
        <w:r w:rsidRPr="00717656">
          <w:rPr>
            <w:rStyle w:val="Hyperlink"/>
            <w:noProof/>
          </w:rPr>
          <w:t>5. Load Impact Reconciliations</w:t>
        </w:r>
        <w:r>
          <w:rPr>
            <w:noProof/>
            <w:webHidden/>
          </w:rPr>
          <w:tab/>
        </w:r>
        <w:r>
          <w:rPr>
            <w:noProof/>
            <w:webHidden/>
          </w:rPr>
          <w:fldChar w:fldCharType="begin"/>
        </w:r>
        <w:r>
          <w:rPr>
            <w:noProof/>
            <w:webHidden/>
          </w:rPr>
          <w:instrText xml:space="preserve"> PAGEREF _Toc4578162 \h </w:instrText>
        </w:r>
        <w:r>
          <w:rPr>
            <w:noProof/>
            <w:webHidden/>
          </w:rPr>
        </w:r>
        <w:r>
          <w:rPr>
            <w:noProof/>
            <w:webHidden/>
          </w:rPr>
          <w:fldChar w:fldCharType="separate"/>
        </w:r>
        <w:r>
          <w:rPr>
            <w:noProof/>
            <w:webHidden/>
          </w:rPr>
          <w:t>39</w:t>
        </w:r>
        <w:r>
          <w:rPr>
            <w:noProof/>
            <w:webHidden/>
          </w:rPr>
          <w:fldChar w:fldCharType="end"/>
        </w:r>
      </w:hyperlink>
    </w:p>
    <w:p w14:paraId="769DAF4A" w14:textId="6D008AC9"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63" w:history="1">
        <w:r w:rsidRPr="00717656">
          <w:rPr>
            <w:rStyle w:val="Hyperlink"/>
            <w:noProof/>
          </w:rPr>
          <w:t>5.1 Previous vs. Current Ex-Post</w:t>
        </w:r>
        <w:r>
          <w:rPr>
            <w:noProof/>
            <w:webHidden/>
          </w:rPr>
          <w:tab/>
        </w:r>
        <w:r>
          <w:rPr>
            <w:noProof/>
            <w:webHidden/>
          </w:rPr>
          <w:fldChar w:fldCharType="begin"/>
        </w:r>
        <w:r>
          <w:rPr>
            <w:noProof/>
            <w:webHidden/>
          </w:rPr>
          <w:instrText xml:space="preserve"> PAGEREF _Toc4578163 \h </w:instrText>
        </w:r>
        <w:r>
          <w:rPr>
            <w:noProof/>
            <w:webHidden/>
          </w:rPr>
        </w:r>
        <w:r>
          <w:rPr>
            <w:noProof/>
            <w:webHidden/>
          </w:rPr>
          <w:fldChar w:fldCharType="separate"/>
        </w:r>
        <w:r>
          <w:rPr>
            <w:noProof/>
            <w:webHidden/>
          </w:rPr>
          <w:t>40</w:t>
        </w:r>
        <w:r>
          <w:rPr>
            <w:noProof/>
            <w:webHidden/>
          </w:rPr>
          <w:fldChar w:fldCharType="end"/>
        </w:r>
      </w:hyperlink>
    </w:p>
    <w:p w14:paraId="1A5AABE3" w14:textId="4F5D93D6"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64" w:history="1">
        <w:r w:rsidRPr="00717656">
          <w:rPr>
            <w:rStyle w:val="Hyperlink"/>
            <w:noProof/>
          </w:rPr>
          <w:t>5.2 Previous vs. Current Ex-Ante</w:t>
        </w:r>
        <w:r>
          <w:rPr>
            <w:noProof/>
            <w:webHidden/>
          </w:rPr>
          <w:tab/>
        </w:r>
        <w:r>
          <w:rPr>
            <w:noProof/>
            <w:webHidden/>
          </w:rPr>
          <w:fldChar w:fldCharType="begin"/>
        </w:r>
        <w:r>
          <w:rPr>
            <w:noProof/>
            <w:webHidden/>
          </w:rPr>
          <w:instrText xml:space="preserve"> PAGEREF _Toc4578164 \h </w:instrText>
        </w:r>
        <w:r>
          <w:rPr>
            <w:noProof/>
            <w:webHidden/>
          </w:rPr>
        </w:r>
        <w:r>
          <w:rPr>
            <w:noProof/>
            <w:webHidden/>
          </w:rPr>
          <w:fldChar w:fldCharType="separate"/>
        </w:r>
        <w:r>
          <w:rPr>
            <w:noProof/>
            <w:webHidden/>
          </w:rPr>
          <w:t>41</w:t>
        </w:r>
        <w:r>
          <w:rPr>
            <w:noProof/>
            <w:webHidden/>
          </w:rPr>
          <w:fldChar w:fldCharType="end"/>
        </w:r>
      </w:hyperlink>
    </w:p>
    <w:p w14:paraId="2380DCA3" w14:textId="38D18A3E"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65" w:history="1">
        <w:r w:rsidRPr="00717656">
          <w:rPr>
            <w:rStyle w:val="Hyperlink"/>
            <w:noProof/>
          </w:rPr>
          <w:t>5.3 Previous Ex-ante vs. Current Ex-Post</w:t>
        </w:r>
        <w:r>
          <w:rPr>
            <w:noProof/>
            <w:webHidden/>
          </w:rPr>
          <w:tab/>
        </w:r>
        <w:r>
          <w:rPr>
            <w:noProof/>
            <w:webHidden/>
          </w:rPr>
          <w:fldChar w:fldCharType="begin"/>
        </w:r>
        <w:r>
          <w:rPr>
            <w:noProof/>
            <w:webHidden/>
          </w:rPr>
          <w:instrText xml:space="preserve"> PAGEREF _Toc4578165 \h </w:instrText>
        </w:r>
        <w:r>
          <w:rPr>
            <w:noProof/>
            <w:webHidden/>
          </w:rPr>
        </w:r>
        <w:r>
          <w:rPr>
            <w:noProof/>
            <w:webHidden/>
          </w:rPr>
          <w:fldChar w:fldCharType="separate"/>
        </w:r>
        <w:r>
          <w:rPr>
            <w:noProof/>
            <w:webHidden/>
          </w:rPr>
          <w:t>41</w:t>
        </w:r>
        <w:r>
          <w:rPr>
            <w:noProof/>
            <w:webHidden/>
          </w:rPr>
          <w:fldChar w:fldCharType="end"/>
        </w:r>
      </w:hyperlink>
    </w:p>
    <w:p w14:paraId="219D2365" w14:textId="7D44B93A"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66" w:history="1">
        <w:r w:rsidRPr="00717656">
          <w:rPr>
            <w:rStyle w:val="Hyperlink"/>
            <w:noProof/>
          </w:rPr>
          <w:t>5.4 Current Ex-Post vs. Current Ex-Ante</w:t>
        </w:r>
        <w:r>
          <w:rPr>
            <w:noProof/>
            <w:webHidden/>
          </w:rPr>
          <w:tab/>
        </w:r>
        <w:r>
          <w:rPr>
            <w:noProof/>
            <w:webHidden/>
          </w:rPr>
          <w:fldChar w:fldCharType="begin"/>
        </w:r>
        <w:r>
          <w:rPr>
            <w:noProof/>
            <w:webHidden/>
          </w:rPr>
          <w:instrText xml:space="preserve"> PAGEREF _Toc4578166 \h </w:instrText>
        </w:r>
        <w:r>
          <w:rPr>
            <w:noProof/>
            <w:webHidden/>
          </w:rPr>
        </w:r>
        <w:r>
          <w:rPr>
            <w:noProof/>
            <w:webHidden/>
          </w:rPr>
          <w:fldChar w:fldCharType="separate"/>
        </w:r>
        <w:r>
          <w:rPr>
            <w:noProof/>
            <w:webHidden/>
          </w:rPr>
          <w:t>43</w:t>
        </w:r>
        <w:r>
          <w:rPr>
            <w:noProof/>
            <w:webHidden/>
          </w:rPr>
          <w:fldChar w:fldCharType="end"/>
        </w:r>
      </w:hyperlink>
    </w:p>
    <w:p w14:paraId="2463ACCA" w14:textId="46FA1213" w:rsidR="00445DF3" w:rsidRDefault="00445DF3">
      <w:pPr>
        <w:pStyle w:val="TOC1"/>
        <w:rPr>
          <w:rFonts w:asciiTheme="minorHAnsi" w:eastAsiaTheme="minorEastAsia" w:hAnsiTheme="minorHAnsi" w:cstheme="minorBidi"/>
          <w:b w:val="0"/>
          <w:noProof/>
          <w:sz w:val="22"/>
          <w:szCs w:val="22"/>
        </w:rPr>
      </w:pPr>
      <w:hyperlink w:anchor="_Toc4578167" w:history="1">
        <w:r w:rsidRPr="00717656">
          <w:rPr>
            <w:rStyle w:val="Hyperlink"/>
            <w:noProof/>
          </w:rPr>
          <w:t>6. Recommendations</w:t>
        </w:r>
        <w:r>
          <w:rPr>
            <w:noProof/>
            <w:webHidden/>
          </w:rPr>
          <w:tab/>
        </w:r>
        <w:r>
          <w:rPr>
            <w:noProof/>
            <w:webHidden/>
          </w:rPr>
          <w:fldChar w:fldCharType="begin"/>
        </w:r>
        <w:r>
          <w:rPr>
            <w:noProof/>
            <w:webHidden/>
          </w:rPr>
          <w:instrText xml:space="preserve"> PAGEREF _Toc4578167 \h </w:instrText>
        </w:r>
        <w:r>
          <w:rPr>
            <w:noProof/>
            <w:webHidden/>
          </w:rPr>
        </w:r>
        <w:r>
          <w:rPr>
            <w:noProof/>
            <w:webHidden/>
          </w:rPr>
          <w:fldChar w:fldCharType="separate"/>
        </w:r>
        <w:r>
          <w:rPr>
            <w:noProof/>
            <w:webHidden/>
          </w:rPr>
          <w:t>46</w:t>
        </w:r>
        <w:r>
          <w:rPr>
            <w:noProof/>
            <w:webHidden/>
          </w:rPr>
          <w:fldChar w:fldCharType="end"/>
        </w:r>
      </w:hyperlink>
    </w:p>
    <w:p w14:paraId="1EE885B8" w14:textId="09E2CE1B" w:rsidR="00445DF3" w:rsidRDefault="00445DF3">
      <w:pPr>
        <w:pStyle w:val="TOC1"/>
        <w:rPr>
          <w:rFonts w:asciiTheme="minorHAnsi" w:eastAsiaTheme="minorEastAsia" w:hAnsiTheme="minorHAnsi" w:cstheme="minorBidi"/>
          <w:b w:val="0"/>
          <w:noProof/>
          <w:sz w:val="22"/>
          <w:szCs w:val="22"/>
        </w:rPr>
      </w:pPr>
      <w:hyperlink w:anchor="_Toc4578168" w:history="1">
        <w:r w:rsidRPr="00717656">
          <w:rPr>
            <w:rStyle w:val="Hyperlink"/>
            <w:noProof/>
          </w:rPr>
          <w:t>Appendices</w:t>
        </w:r>
        <w:r>
          <w:rPr>
            <w:noProof/>
            <w:webHidden/>
          </w:rPr>
          <w:tab/>
        </w:r>
        <w:r>
          <w:rPr>
            <w:noProof/>
            <w:webHidden/>
          </w:rPr>
          <w:fldChar w:fldCharType="begin"/>
        </w:r>
        <w:r>
          <w:rPr>
            <w:noProof/>
            <w:webHidden/>
          </w:rPr>
          <w:instrText xml:space="preserve"> PAGEREF _Toc4578168 \h </w:instrText>
        </w:r>
        <w:r>
          <w:rPr>
            <w:noProof/>
            <w:webHidden/>
          </w:rPr>
        </w:r>
        <w:r>
          <w:rPr>
            <w:noProof/>
            <w:webHidden/>
          </w:rPr>
          <w:fldChar w:fldCharType="separate"/>
        </w:r>
        <w:r>
          <w:rPr>
            <w:noProof/>
            <w:webHidden/>
          </w:rPr>
          <w:t>47</w:t>
        </w:r>
        <w:r>
          <w:rPr>
            <w:noProof/>
            <w:webHidden/>
          </w:rPr>
          <w:fldChar w:fldCharType="end"/>
        </w:r>
      </w:hyperlink>
    </w:p>
    <w:p w14:paraId="595EB07F" w14:textId="562C3D9A"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69" w:history="1">
        <w:r w:rsidRPr="00717656">
          <w:rPr>
            <w:rStyle w:val="Hyperlink"/>
            <w:noProof/>
          </w:rPr>
          <w:t>Appendix A. Additional Control Group Matching Results</w:t>
        </w:r>
        <w:r>
          <w:rPr>
            <w:noProof/>
            <w:webHidden/>
          </w:rPr>
          <w:tab/>
        </w:r>
        <w:r>
          <w:rPr>
            <w:noProof/>
            <w:webHidden/>
          </w:rPr>
          <w:fldChar w:fldCharType="begin"/>
        </w:r>
        <w:r>
          <w:rPr>
            <w:noProof/>
            <w:webHidden/>
          </w:rPr>
          <w:instrText xml:space="preserve"> PAGEREF _Toc4578169 \h </w:instrText>
        </w:r>
        <w:r>
          <w:rPr>
            <w:noProof/>
            <w:webHidden/>
          </w:rPr>
        </w:r>
        <w:r>
          <w:rPr>
            <w:noProof/>
            <w:webHidden/>
          </w:rPr>
          <w:fldChar w:fldCharType="separate"/>
        </w:r>
        <w:r>
          <w:rPr>
            <w:noProof/>
            <w:webHidden/>
          </w:rPr>
          <w:t>48</w:t>
        </w:r>
        <w:r>
          <w:rPr>
            <w:noProof/>
            <w:webHidden/>
          </w:rPr>
          <w:fldChar w:fldCharType="end"/>
        </w:r>
      </w:hyperlink>
    </w:p>
    <w:p w14:paraId="20A5CB02" w14:textId="24B18616" w:rsidR="00445DF3" w:rsidRDefault="00445DF3">
      <w:pPr>
        <w:pStyle w:val="TOC2"/>
        <w:tabs>
          <w:tab w:val="right" w:leader="dot" w:pos="8630"/>
        </w:tabs>
        <w:rPr>
          <w:rFonts w:asciiTheme="minorHAnsi" w:eastAsiaTheme="minorEastAsia" w:hAnsiTheme="minorHAnsi" w:cstheme="minorBidi"/>
          <w:noProof/>
          <w:sz w:val="22"/>
          <w:szCs w:val="22"/>
        </w:rPr>
      </w:pPr>
      <w:hyperlink w:anchor="_Toc4578170" w:history="1">
        <w:r w:rsidRPr="00717656">
          <w:rPr>
            <w:rStyle w:val="Hyperlink"/>
            <w:noProof/>
          </w:rPr>
          <w:t>Appendix B. Additional Ex-Ante Results</w:t>
        </w:r>
        <w:r>
          <w:rPr>
            <w:noProof/>
            <w:webHidden/>
          </w:rPr>
          <w:tab/>
        </w:r>
        <w:r>
          <w:rPr>
            <w:noProof/>
            <w:webHidden/>
          </w:rPr>
          <w:fldChar w:fldCharType="begin"/>
        </w:r>
        <w:r>
          <w:rPr>
            <w:noProof/>
            <w:webHidden/>
          </w:rPr>
          <w:instrText xml:space="preserve"> PAGEREF _Toc4578170 \h </w:instrText>
        </w:r>
        <w:r>
          <w:rPr>
            <w:noProof/>
            <w:webHidden/>
          </w:rPr>
        </w:r>
        <w:r>
          <w:rPr>
            <w:noProof/>
            <w:webHidden/>
          </w:rPr>
          <w:fldChar w:fldCharType="separate"/>
        </w:r>
        <w:r>
          <w:rPr>
            <w:noProof/>
            <w:webHidden/>
          </w:rPr>
          <w:t>49</w:t>
        </w:r>
        <w:r>
          <w:rPr>
            <w:noProof/>
            <w:webHidden/>
          </w:rPr>
          <w:fldChar w:fldCharType="end"/>
        </w:r>
      </w:hyperlink>
    </w:p>
    <w:p w14:paraId="73E122E8" w14:textId="0A07B678" w:rsidR="00321E09" w:rsidRDefault="00321E09" w:rsidP="00E84DD2">
      <w:pPr>
        <w:spacing w:after="120"/>
        <w:jc w:val="center"/>
        <w:rPr>
          <w:b/>
          <w:sz w:val="28"/>
          <w:szCs w:val="28"/>
        </w:rPr>
        <w:sectPr w:rsidR="00321E09" w:rsidSect="00656C04">
          <w:headerReference w:type="default" r:id="rId11"/>
          <w:footerReference w:type="default" r:id="rId12"/>
          <w:pgSz w:w="12240" w:h="15840"/>
          <w:pgMar w:top="1440" w:right="1800" w:bottom="1296" w:left="1800" w:header="720" w:footer="720" w:gutter="0"/>
          <w:pgNumType w:fmt="lowerRoman" w:start="1"/>
          <w:cols w:space="720"/>
          <w:docGrid w:linePitch="360"/>
        </w:sectPr>
      </w:pPr>
      <w:r w:rsidRPr="00421999">
        <w:rPr>
          <w:sz w:val="22"/>
          <w:szCs w:val="22"/>
        </w:rPr>
        <w:fldChar w:fldCharType="end"/>
      </w:r>
    </w:p>
    <w:p w14:paraId="10CF0268" w14:textId="77777777" w:rsidR="00CB7974" w:rsidRDefault="00CB7974" w:rsidP="00E84DD2">
      <w:pPr>
        <w:spacing w:after="120"/>
        <w:rPr>
          <w:b/>
        </w:rPr>
      </w:pPr>
      <w:r>
        <w:rPr>
          <w:b/>
        </w:rPr>
        <w:br w:type="page"/>
      </w:r>
    </w:p>
    <w:p w14:paraId="1C3B1E62" w14:textId="77777777" w:rsidR="008C53F9" w:rsidRPr="006B553B" w:rsidRDefault="008C53F9" w:rsidP="00E84DD2">
      <w:pPr>
        <w:spacing w:after="120"/>
        <w:jc w:val="center"/>
        <w:rPr>
          <w:b/>
        </w:rPr>
      </w:pPr>
      <w:r w:rsidRPr="006B553B">
        <w:rPr>
          <w:b/>
        </w:rPr>
        <w:t>List of Tables</w:t>
      </w:r>
    </w:p>
    <w:p w14:paraId="23095B83" w14:textId="77777777" w:rsidR="008C53F9" w:rsidRDefault="008C53F9" w:rsidP="00E84DD2">
      <w:pPr>
        <w:spacing w:after="120"/>
      </w:pPr>
    </w:p>
    <w:p w14:paraId="0442728A" w14:textId="6AE98D5A" w:rsidR="00445DF3" w:rsidRDefault="008C53F9">
      <w:pPr>
        <w:pStyle w:val="TableofFigures"/>
        <w:tabs>
          <w:tab w:val="right" w:leader="dot" w:pos="8630"/>
        </w:tabs>
        <w:rPr>
          <w:rFonts w:asciiTheme="minorHAnsi" w:eastAsiaTheme="minorEastAsia" w:hAnsiTheme="minorHAnsi" w:cstheme="minorBidi"/>
          <w:noProof/>
          <w:sz w:val="22"/>
          <w:szCs w:val="22"/>
        </w:rPr>
      </w:pPr>
      <w:r w:rsidRPr="006B1FF9">
        <w:rPr>
          <w:sz w:val="22"/>
          <w:szCs w:val="22"/>
        </w:rPr>
        <w:fldChar w:fldCharType="begin"/>
      </w:r>
      <w:r w:rsidRPr="006B1FF9">
        <w:rPr>
          <w:sz w:val="22"/>
          <w:szCs w:val="22"/>
        </w:rPr>
        <w:instrText xml:space="preserve"> TOC \h \z \t "Table Caption" \c </w:instrText>
      </w:r>
      <w:r w:rsidRPr="006B1FF9">
        <w:rPr>
          <w:sz w:val="22"/>
          <w:szCs w:val="22"/>
        </w:rPr>
        <w:fldChar w:fldCharType="separate"/>
      </w:r>
      <w:hyperlink w:anchor="_Toc4578171" w:history="1">
        <w:r w:rsidR="00445DF3" w:rsidRPr="009961C8">
          <w:rPr>
            <w:rStyle w:val="Hyperlink"/>
            <w:noProof/>
          </w:rPr>
          <w:t>Table 1</w:t>
        </w:r>
        <w:r w:rsidR="00445DF3" w:rsidRPr="009961C8">
          <w:rPr>
            <w:rStyle w:val="Hyperlink"/>
            <w:noProof/>
          </w:rPr>
          <w:noBreakHyphen/>
          <w:t>1: PY2018 SmartAC™ Events</w:t>
        </w:r>
        <w:r w:rsidR="00445DF3">
          <w:rPr>
            <w:noProof/>
            <w:webHidden/>
          </w:rPr>
          <w:tab/>
        </w:r>
        <w:r w:rsidR="00445DF3">
          <w:rPr>
            <w:noProof/>
            <w:webHidden/>
          </w:rPr>
          <w:fldChar w:fldCharType="begin"/>
        </w:r>
        <w:r w:rsidR="00445DF3">
          <w:rPr>
            <w:noProof/>
            <w:webHidden/>
          </w:rPr>
          <w:instrText xml:space="preserve"> PAGEREF _Toc4578171 \h </w:instrText>
        </w:r>
        <w:r w:rsidR="00445DF3">
          <w:rPr>
            <w:noProof/>
            <w:webHidden/>
          </w:rPr>
        </w:r>
        <w:r w:rsidR="00445DF3">
          <w:rPr>
            <w:noProof/>
            <w:webHidden/>
          </w:rPr>
          <w:fldChar w:fldCharType="separate"/>
        </w:r>
        <w:r w:rsidR="00445DF3">
          <w:rPr>
            <w:noProof/>
            <w:webHidden/>
          </w:rPr>
          <w:t>6</w:t>
        </w:r>
        <w:r w:rsidR="00445DF3">
          <w:rPr>
            <w:noProof/>
            <w:webHidden/>
          </w:rPr>
          <w:fldChar w:fldCharType="end"/>
        </w:r>
      </w:hyperlink>
    </w:p>
    <w:p w14:paraId="0430D188" w14:textId="6F849A34"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72" w:history="1">
        <w:r w:rsidRPr="009961C8">
          <w:rPr>
            <w:rStyle w:val="Hyperlink"/>
            <w:noProof/>
          </w:rPr>
          <w:t>Table 2</w:t>
        </w:r>
        <w:r w:rsidRPr="009961C8">
          <w:rPr>
            <w:rStyle w:val="Hyperlink"/>
            <w:noProof/>
          </w:rPr>
          <w:noBreakHyphen/>
          <w:t>1: Propensity Score Model Terms</w:t>
        </w:r>
        <w:r>
          <w:rPr>
            <w:noProof/>
            <w:webHidden/>
          </w:rPr>
          <w:tab/>
        </w:r>
        <w:r>
          <w:rPr>
            <w:noProof/>
            <w:webHidden/>
          </w:rPr>
          <w:fldChar w:fldCharType="begin"/>
        </w:r>
        <w:r>
          <w:rPr>
            <w:noProof/>
            <w:webHidden/>
          </w:rPr>
          <w:instrText xml:space="preserve"> PAGEREF _Toc4578172 \h </w:instrText>
        </w:r>
        <w:r>
          <w:rPr>
            <w:noProof/>
            <w:webHidden/>
          </w:rPr>
        </w:r>
        <w:r>
          <w:rPr>
            <w:noProof/>
            <w:webHidden/>
          </w:rPr>
          <w:fldChar w:fldCharType="separate"/>
        </w:r>
        <w:r>
          <w:rPr>
            <w:noProof/>
            <w:webHidden/>
          </w:rPr>
          <w:t>9</w:t>
        </w:r>
        <w:r>
          <w:rPr>
            <w:noProof/>
            <w:webHidden/>
          </w:rPr>
          <w:fldChar w:fldCharType="end"/>
        </w:r>
      </w:hyperlink>
    </w:p>
    <w:p w14:paraId="5FE30720" w14:textId="61A63E04"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73" w:history="1">
        <w:r w:rsidRPr="009961C8">
          <w:rPr>
            <w:rStyle w:val="Hyperlink"/>
            <w:noProof/>
          </w:rPr>
          <w:t>Table 2</w:t>
        </w:r>
        <w:r w:rsidRPr="009961C8">
          <w:rPr>
            <w:rStyle w:val="Hyperlink"/>
            <w:noProof/>
          </w:rPr>
          <w:noBreakHyphen/>
          <w:t xml:space="preserve">2: </w:t>
        </w:r>
        <w:r w:rsidRPr="009961C8">
          <w:rPr>
            <w:rStyle w:val="Hyperlink"/>
            <w:i/>
            <w:noProof/>
          </w:rPr>
          <w:t>Ex-Post</w:t>
        </w:r>
        <w:r w:rsidRPr="009961C8">
          <w:rPr>
            <w:rStyle w:val="Hyperlink"/>
            <w:noProof/>
          </w:rPr>
          <w:t xml:space="preserve"> Load Impacts Model Terms</w:t>
        </w:r>
        <w:r>
          <w:rPr>
            <w:noProof/>
            <w:webHidden/>
          </w:rPr>
          <w:tab/>
        </w:r>
        <w:r>
          <w:rPr>
            <w:noProof/>
            <w:webHidden/>
          </w:rPr>
          <w:fldChar w:fldCharType="begin"/>
        </w:r>
        <w:r>
          <w:rPr>
            <w:noProof/>
            <w:webHidden/>
          </w:rPr>
          <w:instrText xml:space="preserve"> PAGEREF _Toc4578173 \h </w:instrText>
        </w:r>
        <w:r>
          <w:rPr>
            <w:noProof/>
            <w:webHidden/>
          </w:rPr>
        </w:r>
        <w:r>
          <w:rPr>
            <w:noProof/>
            <w:webHidden/>
          </w:rPr>
          <w:fldChar w:fldCharType="separate"/>
        </w:r>
        <w:r>
          <w:rPr>
            <w:noProof/>
            <w:webHidden/>
          </w:rPr>
          <w:t>10</w:t>
        </w:r>
        <w:r>
          <w:rPr>
            <w:noProof/>
            <w:webHidden/>
          </w:rPr>
          <w:fldChar w:fldCharType="end"/>
        </w:r>
      </w:hyperlink>
    </w:p>
    <w:p w14:paraId="239543B9" w14:textId="17A7206E"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74" w:history="1">
        <w:r w:rsidRPr="009961C8">
          <w:rPr>
            <w:rStyle w:val="Hyperlink"/>
            <w:noProof/>
          </w:rPr>
          <w:t>Table 2</w:t>
        </w:r>
        <w:r w:rsidRPr="009961C8">
          <w:rPr>
            <w:rStyle w:val="Hyperlink"/>
            <w:noProof/>
          </w:rPr>
          <w:noBreakHyphen/>
          <w:t xml:space="preserve">3: </w:t>
        </w:r>
        <w:r w:rsidRPr="009961C8">
          <w:rPr>
            <w:rStyle w:val="Hyperlink"/>
            <w:i/>
            <w:noProof/>
          </w:rPr>
          <w:t>Ex-Ante</w:t>
        </w:r>
        <w:r w:rsidRPr="009961C8">
          <w:rPr>
            <w:rStyle w:val="Hyperlink"/>
            <w:noProof/>
          </w:rPr>
          <w:t xml:space="preserve"> Reference Loads Model Terms</w:t>
        </w:r>
        <w:r>
          <w:rPr>
            <w:noProof/>
            <w:webHidden/>
          </w:rPr>
          <w:tab/>
        </w:r>
        <w:r>
          <w:rPr>
            <w:noProof/>
            <w:webHidden/>
          </w:rPr>
          <w:fldChar w:fldCharType="begin"/>
        </w:r>
        <w:r>
          <w:rPr>
            <w:noProof/>
            <w:webHidden/>
          </w:rPr>
          <w:instrText xml:space="preserve"> PAGEREF _Toc4578174 \h </w:instrText>
        </w:r>
        <w:r>
          <w:rPr>
            <w:noProof/>
            <w:webHidden/>
          </w:rPr>
        </w:r>
        <w:r>
          <w:rPr>
            <w:noProof/>
            <w:webHidden/>
          </w:rPr>
          <w:fldChar w:fldCharType="separate"/>
        </w:r>
        <w:r>
          <w:rPr>
            <w:noProof/>
            <w:webHidden/>
          </w:rPr>
          <w:t>12</w:t>
        </w:r>
        <w:r>
          <w:rPr>
            <w:noProof/>
            <w:webHidden/>
          </w:rPr>
          <w:fldChar w:fldCharType="end"/>
        </w:r>
      </w:hyperlink>
    </w:p>
    <w:p w14:paraId="3053D5AB" w14:textId="1F0B278B"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75" w:history="1">
        <w:r w:rsidRPr="009961C8">
          <w:rPr>
            <w:rStyle w:val="Hyperlink"/>
            <w:noProof/>
          </w:rPr>
          <w:t>Table 2</w:t>
        </w:r>
        <w:r w:rsidRPr="009961C8">
          <w:rPr>
            <w:rStyle w:val="Hyperlink"/>
            <w:noProof/>
          </w:rPr>
          <w:noBreakHyphen/>
          <w:t xml:space="preserve">4: </w:t>
        </w:r>
        <w:r w:rsidRPr="009961C8">
          <w:rPr>
            <w:rStyle w:val="Hyperlink"/>
            <w:i/>
            <w:noProof/>
          </w:rPr>
          <w:t>Ex-Ante</w:t>
        </w:r>
        <w:r w:rsidRPr="009961C8">
          <w:rPr>
            <w:rStyle w:val="Hyperlink"/>
            <w:noProof/>
          </w:rPr>
          <w:t xml:space="preserve"> Load Impacts Model Terms</w:t>
        </w:r>
        <w:r>
          <w:rPr>
            <w:noProof/>
            <w:webHidden/>
          </w:rPr>
          <w:tab/>
        </w:r>
        <w:r>
          <w:rPr>
            <w:noProof/>
            <w:webHidden/>
          </w:rPr>
          <w:fldChar w:fldCharType="begin"/>
        </w:r>
        <w:r>
          <w:rPr>
            <w:noProof/>
            <w:webHidden/>
          </w:rPr>
          <w:instrText xml:space="preserve"> PAGEREF _Toc4578175 \h </w:instrText>
        </w:r>
        <w:r>
          <w:rPr>
            <w:noProof/>
            <w:webHidden/>
          </w:rPr>
        </w:r>
        <w:r>
          <w:rPr>
            <w:noProof/>
            <w:webHidden/>
          </w:rPr>
          <w:fldChar w:fldCharType="separate"/>
        </w:r>
        <w:r>
          <w:rPr>
            <w:noProof/>
            <w:webHidden/>
          </w:rPr>
          <w:t>13</w:t>
        </w:r>
        <w:r>
          <w:rPr>
            <w:noProof/>
            <w:webHidden/>
          </w:rPr>
          <w:fldChar w:fldCharType="end"/>
        </w:r>
      </w:hyperlink>
    </w:p>
    <w:p w14:paraId="1B38C336" w14:textId="25D9ED6A"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76" w:history="1">
        <w:r w:rsidRPr="009961C8">
          <w:rPr>
            <w:rStyle w:val="Hyperlink"/>
            <w:noProof/>
          </w:rPr>
          <w:t>Table 3</w:t>
        </w:r>
        <w:r w:rsidRPr="009961C8">
          <w:rPr>
            <w:rStyle w:val="Hyperlink"/>
            <w:noProof/>
          </w:rPr>
          <w:noBreakHyphen/>
          <w:t>1: Match Quality Statistics</w:t>
        </w:r>
        <w:r>
          <w:rPr>
            <w:noProof/>
            <w:webHidden/>
          </w:rPr>
          <w:tab/>
        </w:r>
        <w:r>
          <w:rPr>
            <w:noProof/>
            <w:webHidden/>
          </w:rPr>
          <w:fldChar w:fldCharType="begin"/>
        </w:r>
        <w:r>
          <w:rPr>
            <w:noProof/>
            <w:webHidden/>
          </w:rPr>
          <w:instrText xml:space="preserve"> PAGEREF _Toc4578176 \h </w:instrText>
        </w:r>
        <w:r>
          <w:rPr>
            <w:noProof/>
            <w:webHidden/>
          </w:rPr>
        </w:r>
        <w:r>
          <w:rPr>
            <w:noProof/>
            <w:webHidden/>
          </w:rPr>
          <w:fldChar w:fldCharType="separate"/>
        </w:r>
        <w:r>
          <w:rPr>
            <w:noProof/>
            <w:webHidden/>
          </w:rPr>
          <w:t>15</w:t>
        </w:r>
        <w:r>
          <w:rPr>
            <w:noProof/>
            <w:webHidden/>
          </w:rPr>
          <w:fldChar w:fldCharType="end"/>
        </w:r>
      </w:hyperlink>
    </w:p>
    <w:p w14:paraId="6BA5AA08" w14:textId="26DB80B3"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77" w:history="1">
        <w:r w:rsidRPr="009961C8">
          <w:rPr>
            <w:rStyle w:val="Hyperlink"/>
            <w:noProof/>
          </w:rPr>
          <w:t>Table 3</w:t>
        </w:r>
        <w:r w:rsidRPr="009961C8">
          <w:rPr>
            <w:rStyle w:val="Hyperlink"/>
            <w:noProof/>
          </w:rPr>
          <w:noBreakHyphen/>
          <w:t>2: Average Event-Hour Load Impacts by Event</w:t>
        </w:r>
        <w:r>
          <w:rPr>
            <w:noProof/>
            <w:webHidden/>
          </w:rPr>
          <w:tab/>
        </w:r>
        <w:r>
          <w:rPr>
            <w:noProof/>
            <w:webHidden/>
          </w:rPr>
          <w:fldChar w:fldCharType="begin"/>
        </w:r>
        <w:r>
          <w:rPr>
            <w:noProof/>
            <w:webHidden/>
          </w:rPr>
          <w:instrText xml:space="preserve"> PAGEREF _Toc4578177 \h </w:instrText>
        </w:r>
        <w:r>
          <w:rPr>
            <w:noProof/>
            <w:webHidden/>
          </w:rPr>
        </w:r>
        <w:r>
          <w:rPr>
            <w:noProof/>
            <w:webHidden/>
          </w:rPr>
          <w:fldChar w:fldCharType="separate"/>
        </w:r>
        <w:r>
          <w:rPr>
            <w:noProof/>
            <w:webHidden/>
          </w:rPr>
          <w:t>19</w:t>
        </w:r>
        <w:r>
          <w:rPr>
            <w:noProof/>
            <w:webHidden/>
          </w:rPr>
          <w:fldChar w:fldCharType="end"/>
        </w:r>
      </w:hyperlink>
    </w:p>
    <w:p w14:paraId="4D78F6AE" w14:textId="6B464A46"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78" w:history="1">
        <w:r w:rsidRPr="009961C8">
          <w:rPr>
            <w:rStyle w:val="Hyperlink"/>
            <w:noProof/>
          </w:rPr>
          <w:t>Table 3</w:t>
        </w:r>
        <w:r w:rsidRPr="009961C8">
          <w:rPr>
            <w:rStyle w:val="Hyperlink"/>
            <w:noProof/>
          </w:rPr>
          <w:noBreakHyphen/>
          <w:t>3: Average Event-Hour Load Impacts by Sub-LAP and Event</w:t>
        </w:r>
        <w:r>
          <w:rPr>
            <w:noProof/>
            <w:webHidden/>
          </w:rPr>
          <w:tab/>
        </w:r>
        <w:r>
          <w:rPr>
            <w:noProof/>
            <w:webHidden/>
          </w:rPr>
          <w:fldChar w:fldCharType="begin"/>
        </w:r>
        <w:r>
          <w:rPr>
            <w:noProof/>
            <w:webHidden/>
          </w:rPr>
          <w:instrText xml:space="preserve"> PAGEREF _Toc4578178 \h </w:instrText>
        </w:r>
        <w:r>
          <w:rPr>
            <w:noProof/>
            <w:webHidden/>
          </w:rPr>
        </w:r>
        <w:r>
          <w:rPr>
            <w:noProof/>
            <w:webHidden/>
          </w:rPr>
          <w:fldChar w:fldCharType="separate"/>
        </w:r>
        <w:r>
          <w:rPr>
            <w:noProof/>
            <w:webHidden/>
          </w:rPr>
          <w:t>22</w:t>
        </w:r>
        <w:r>
          <w:rPr>
            <w:noProof/>
            <w:webHidden/>
          </w:rPr>
          <w:fldChar w:fldCharType="end"/>
        </w:r>
      </w:hyperlink>
    </w:p>
    <w:p w14:paraId="349C6221" w14:textId="3EDAB767"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79" w:history="1">
        <w:r w:rsidRPr="009961C8">
          <w:rPr>
            <w:rStyle w:val="Hyperlink"/>
            <w:noProof/>
          </w:rPr>
          <w:t>Table 3</w:t>
        </w:r>
        <w:r w:rsidRPr="009961C8">
          <w:rPr>
            <w:rStyle w:val="Hyperlink"/>
            <w:noProof/>
          </w:rPr>
          <w:noBreakHyphen/>
          <w:t>4: Sub-LAPs with Consecutive Events</w:t>
        </w:r>
        <w:r>
          <w:rPr>
            <w:noProof/>
            <w:webHidden/>
          </w:rPr>
          <w:tab/>
        </w:r>
        <w:r>
          <w:rPr>
            <w:noProof/>
            <w:webHidden/>
          </w:rPr>
          <w:fldChar w:fldCharType="begin"/>
        </w:r>
        <w:r>
          <w:rPr>
            <w:noProof/>
            <w:webHidden/>
          </w:rPr>
          <w:instrText xml:space="preserve"> PAGEREF _Toc4578179 \h </w:instrText>
        </w:r>
        <w:r>
          <w:rPr>
            <w:noProof/>
            <w:webHidden/>
          </w:rPr>
        </w:r>
        <w:r>
          <w:rPr>
            <w:noProof/>
            <w:webHidden/>
          </w:rPr>
          <w:fldChar w:fldCharType="separate"/>
        </w:r>
        <w:r>
          <w:rPr>
            <w:noProof/>
            <w:webHidden/>
          </w:rPr>
          <w:t>23</w:t>
        </w:r>
        <w:r>
          <w:rPr>
            <w:noProof/>
            <w:webHidden/>
          </w:rPr>
          <w:fldChar w:fldCharType="end"/>
        </w:r>
      </w:hyperlink>
    </w:p>
    <w:p w14:paraId="6E6D5B8F" w14:textId="0172B2E4"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0" w:history="1">
        <w:r w:rsidRPr="009961C8">
          <w:rPr>
            <w:rStyle w:val="Hyperlink"/>
            <w:noProof/>
          </w:rPr>
          <w:t>Table 3</w:t>
        </w:r>
        <w:r w:rsidRPr="009961C8">
          <w:rPr>
            <w:rStyle w:val="Hyperlink"/>
            <w:noProof/>
          </w:rPr>
          <w:noBreakHyphen/>
          <w:t>5: Hourly Load Impacts and Uncertainty Adjusted Estimates on August 9, 2018</w:t>
        </w:r>
        <w:r>
          <w:rPr>
            <w:noProof/>
            <w:webHidden/>
          </w:rPr>
          <w:tab/>
        </w:r>
        <w:r>
          <w:rPr>
            <w:noProof/>
            <w:webHidden/>
          </w:rPr>
          <w:fldChar w:fldCharType="begin"/>
        </w:r>
        <w:r>
          <w:rPr>
            <w:noProof/>
            <w:webHidden/>
          </w:rPr>
          <w:instrText xml:space="preserve"> PAGEREF _Toc4578180 \h </w:instrText>
        </w:r>
        <w:r>
          <w:rPr>
            <w:noProof/>
            <w:webHidden/>
          </w:rPr>
        </w:r>
        <w:r>
          <w:rPr>
            <w:noProof/>
            <w:webHidden/>
          </w:rPr>
          <w:fldChar w:fldCharType="separate"/>
        </w:r>
        <w:r>
          <w:rPr>
            <w:noProof/>
            <w:webHidden/>
          </w:rPr>
          <w:t>26</w:t>
        </w:r>
        <w:r>
          <w:rPr>
            <w:noProof/>
            <w:webHidden/>
          </w:rPr>
          <w:fldChar w:fldCharType="end"/>
        </w:r>
      </w:hyperlink>
    </w:p>
    <w:p w14:paraId="745E7967" w14:textId="0DF570BD"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1" w:history="1">
        <w:r w:rsidRPr="009961C8">
          <w:rPr>
            <w:rStyle w:val="Hyperlink"/>
            <w:noProof/>
          </w:rPr>
          <w:t>Table 3</w:t>
        </w:r>
        <w:r w:rsidRPr="009961C8">
          <w:rPr>
            <w:rStyle w:val="Hyperlink"/>
            <w:noProof/>
          </w:rPr>
          <w:noBreakHyphen/>
          <w:t>6: Average HE 18 (5-6 p.m.) Load Impacts by Subgroup</w:t>
        </w:r>
        <w:r>
          <w:rPr>
            <w:noProof/>
            <w:webHidden/>
          </w:rPr>
          <w:tab/>
        </w:r>
        <w:r>
          <w:rPr>
            <w:noProof/>
            <w:webHidden/>
          </w:rPr>
          <w:fldChar w:fldCharType="begin"/>
        </w:r>
        <w:r>
          <w:rPr>
            <w:noProof/>
            <w:webHidden/>
          </w:rPr>
          <w:instrText xml:space="preserve"> PAGEREF _Toc4578181 \h </w:instrText>
        </w:r>
        <w:r>
          <w:rPr>
            <w:noProof/>
            <w:webHidden/>
          </w:rPr>
        </w:r>
        <w:r>
          <w:rPr>
            <w:noProof/>
            <w:webHidden/>
          </w:rPr>
          <w:fldChar w:fldCharType="separate"/>
        </w:r>
        <w:r>
          <w:rPr>
            <w:noProof/>
            <w:webHidden/>
          </w:rPr>
          <w:t>29</w:t>
        </w:r>
        <w:r>
          <w:rPr>
            <w:noProof/>
            <w:webHidden/>
          </w:rPr>
          <w:fldChar w:fldCharType="end"/>
        </w:r>
      </w:hyperlink>
    </w:p>
    <w:p w14:paraId="67645961" w14:textId="4888C6BA"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2" w:history="1">
        <w:r w:rsidRPr="009961C8">
          <w:rPr>
            <w:rStyle w:val="Hyperlink"/>
            <w:noProof/>
          </w:rPr>
          <w:t>Table 3</w:t>
        </w:r>
        <w:r w:rsidRPr="009961C8">
          <w:rPr>
            <w:rStyle w:val="Hyperlink"/>
            <w:noProof/>
          </w:rPr>
          <w:noBreakHyphen/>
          <w:t>7: Average Event-Hour Load Impacts by Event,                                                   SmartAC™ Only vs. Dually Enrolled</w:t>
        </w:r>
        <w:r>
          <w:rPr>
            <w:noProof/>
            <w:webHidden/>
          </w:rPr>
          <w:tab/>
        </w:r>
        <w:r>
          <w:rPr>
            <w:noProof/>
            <w:webHidden/>
          </w:rPr>
          <w:fldChar w:fldCharType="begin"/>
        </w:r>
        <w:r>
          <w:rPr>
            <w:noProof/>
            <w:webHidden/>
          </w:rPr>
          <w:instrText xml:space="preserve"> PAGEREF _Toc4578182 \h </w:instrText>
        </w:r>
        <w:r>
          <w:rPr>
            <w:noProof/>
            <w:webHidden/>
          </w:rPr>
        </w:r>
        <w:r>
          <w:rPr>
            <w:noProof/>
            <w:webHidden/>
          </w:rPr>
          <w:fldChar w:fldCharType="separate"/>
        </w:r>
        <w:r>
          <w:rPr>
            <w:noProof/>
            <w:webHidden/>
          </w:rPr>
          <w:t>30</w:t>
        </w:r>
        <w:r>
          <w:rPr>
            <w:noProof/>
            <w:webHidden/>
          </w:rPr>
          <w:fldChar w:fldCharType="end"/>
        </w:r>
      </w:hyperlink>
    </w:p>
    <w:p w14:paraId="0FC5CCE9" w14:textId="2E54ED3F"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3" w:history="1">
        <w:r w:rsidRPr="009961C8">
          <w:rPr>
            <w:rStyle w:val="Hyperlink"/>
            <w:noProof/>
          </w:rPr>
          <w:t>Table 3</w:t>
        </w:r>
        <w:r w:rsidRPr="009961C8">
          <w:rPr>
            <w:rStyle w:val="Hyperlink"/>
            <w:noProof/>
          </w:rPr>
          <w:noBreakHyphen/>
          <w:t>8: Customer Overrides by Event Day</w:t>
        </w:r>
        <w:r>
          <w:rPr>
            <w:noProof/>
            <w:webHidden/>
          </w:rPr>
          <w:tab/>
        </w:r>
        <w:r>
          <w:rPr>
            <w:noProof/>
            <w:webHidden/>
          </w:rPr>
          <w:fldChar w:fldCharType="begin"/>
        </w:r>
        <w:r>
          <w:rPr>
            <w:noProof/>
            <w:webHidden/>
          </w:rPr>
          <w:instrText xml:space="preserve"> PAGEREF _Toc4578183 \h </w:instrText>
        </w:r>
        <w:r>
          <w:rPr>
            <w:noProof/>
            <w:webHidden/>
          </w:rPr>
        </w:r>
        <w:r>
          <w:rPr>
            <w:noProof/>
            <w:webHidden/>
          </w:rPr>
          <w:fldChar w:fldCharType="separate"/>
        </w:r>
        <w:r>
          <w:rPr>
            <w:noProof/>
            <w:webHidden/>
          </w:rPr>
          <w:t>31</w:t>
        </w:r>
        <w:r>
          <w:rPr>
            <w:noProof/>
            <w:webHidden/>
          </w:rPr>
          <w:fldChar w:fldCharType="end"/>
        </w:r>
      </w:hyperlink>
    </w:p>
    <w:p w14:paraId="3252C4FC" w14:textId="22F9A0E4"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4" w:history="1">
        <w:r w:rsidRPr="009961C8">
          <w:rPr>
            <w:rStyle w:val="Hyperlink"/>
            <w:noProof/>
          </w:rPr>
          <w:t>Table 4</w:t>
        </w:r>
        <w:r w:rsidRPr="009961C8">
          <w:rPr>
            <w:rStyle w:val="Hyperlink"/>
            <w:noProof/>
          </w:rPr>
          <w:noBreakHyphen/>
          <w:t>1: Changes in Enrollment by LCA and Enrollment Segment: 2018-2019</w:t>
        </w:r>
        <w:r>
          <w:rPr>
            <w:noProof/>
            <w:webHidden/>
          </w:rPr>
          <w:tab/>
        </w:r>
        <w:r>
          <w:rPr>
            <w:noProof/>
            <w:webHidden/>
          </w:rPr>
          <w:fldChar w:fldCharType="begin"/>
        </w:r>
        <w:r>
          <w:rPr>
            <w:noProof/>
            <w:webHidden/>
          </w:rPr>
          <w:instrText xml:space="preserve"> PAGEREF _Toc4578184 \h </w:instrText>
        </w:r>
        <w:r>
          <w:rPr>
            <w:noProof/>
            <w:webHidden/>
          </w:rPr>
        </w:r>
        <w:r>
          <w:rPr>
            <w:noProof/>
            <w:webHidden/>
          </w:rPr>
          <w:fldChar w:fldCharType="separate"/>
        </w:r>
        <w:r>
          <w:rPr>
            <w:noProof/>
            <w:webHidden/>
          </w:rPr>
          <w:t>33</w:t>
        </w:r>
        <w:r>
          <w:rPr>
            <w:noProof/>
            <w:webHidden/>
          </w:rPr>
          <w:fldChar w:fldCharType="end"/>
        </w:r>
      </w:hyperlink>
    </w:p>
    <w:p w14:paraId="2C5BD62F" w14:textId="116B456D"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5" w:history="1">
        <w:r w:rsidRPr="009961C8">
          <w:rPr>
            <w:rStyle w:val="Hyperlink"/>
            <w:noProof/>
          </w:rPr>
          <w:t>Table 4</w:t>
        </w:r>
        <w:r w:rsidRPr="009961C8">
          <w:rPr>
            <w:rStyle w:val="Hyperlink"/>
            <w:noProof/>
          </w:rPr>
          <w:noBreakHyphen/>
          <w:t xml:space="preserve">2: Average RA Window Load Impacts for </w:t>
        </w:r>
        <w:r w:rsidRPr="009961C8">
          <w:rPr>
            <w:rStyle w:val="Hyperlink"/>
            <w:i/>
            <w:noProof/>
          </w:rPr>
          <w:t xml:space="preserve">PG&amp;E 1-in-2 </w:t>
        </w:r>
        <w:r w:rsidRPr="009961C8">
          <w:rPr>
            <w:rStyle w:val="Hyperlink"/>
            <w:noProof/>
          </w:rPr>
          <w:t>Typical Event Day by LCA and Enrollment Segment</w:t>
        </w:r>
        <w:r>
          <w:rPr>
            <w:noProof/>
            <w:webHidden/>
          </w:rPr>
          <w:tab/>
        </w:r>
        <w:r>
          <w:rPr>
            <w:noProof/>
            <w:webHidden/>
          </w:rPr>
          <w:fldChar w:fldCharType="begin"/>
        </w:r>
        <w:r>
          <w:rPr>
            <w:noProof/>
            <w:webHidden/>
          </w:rPr>
          <w:instrText xml:space="preserve"> PAGEREF _Toc4578185 \h </w:instrText>
        </w:r>
        <w:r>
          <w:rPr>
            <w:noProof/>
            <w:webHidden/>
          </w:rPr>
        </w:r>
        <w:r>
          <w:rPr>
            <w:noProof/>
            <w:webHidden/>
          </w:rPr>
          <w:fldChar w:fldCharType="separate"/>
        </w:r>
        <w:r>
          <w:rPr>
            <w:noProof/>
            <w:webHidden/>
          </w:rPr>
          <w:t>37</w:t>
        </w:r>
        <w:r>
          <w:rPr>
            <w:noProof/>
            <w:webHidden/>
          </w:rPr>
          <w:fldChar w:fldCharType="end"/>
        </w:r>
      </w:hyperlink>
    </w:p>
    <w:p w14:paraId="5A348C5C" w14:textId="1D30672E"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6" w:history="1">
        <w:r w:rsidRPr="009961C8">
          <w:rPr>
            <w:rStyle w:val="Hyperlink"/>
            <w:noProof/>
          </w:rPr>
          <w:t>Table 5</w:t>
        </w:r>
        <w:r w:rsidRPr="009961C8">
          <w:rPr>
            <w:rStyle w:val="Hyperlink"/>
            <w:noProof/>
          </w:rPr>
          <w:noBreakHyphen/>
          <w:t xml:space="preserve">1: Current vs. Previous </w:t>
        </w:r>
        <w:r w:rsidRPr="009961C8">
          <w:rPr>
            <w:rStyle w:val="Hyperlink"/>
            <w:i/>
            <w:noProof/>
          </w:rPr>
          <w:t>Ex-Post</w:t>
        </w:r>
        <w:r w:rsidRPr="009961C8">
          <w:rPr>
            <w:rStyle w:val="Hyperlink"/>
            <w:noProof/>
          </w:rPr>
          <w:t xml:space="preserve"> Load Impacts for the HE 18 by sub-LAP</w:t>
        </w:r>
        <w:r>
          <w:rPr>
            <w:noProof/>
            <w:webHidden/>
          </w:rPr>
          <w:tab/>
        </w:r>
        <w:r>
          <w:rPr>
            <w:noProof/>
            <w:webHidden/>
          </w:rPr>
          <w:fldChar w:fldCharType="begin"/>
        </w:r>
        <w:r>
          <w:rPr>
            <w:noProof/>
            <w:webHidden/>
          </w:rPr>
          <w:instrText xml:space="preserve"> PAGEREF _Toc4578186 \h </w:instrText>
        </w:r>
        <w:r>
          <w:rPr>
            <w:noProof/>
            <w:webHidden/>
          </w:rPr>
        </w:r>
        <w:r>
          <w:rPr>
            <w:noProof/>
            <w:webHidden/>
          </w:rPr>
          <w:fldChar w:fldCharType="separate"/>
        </w:r>
        <w:r>
          <w:rPr>
            <w:noProof/>
            <w:webHidden/>
          </w:rPr>
          <w:t>40</w:t>
        </w:r>
        <w:r>
          <w:rPr>
            <w:noProof/>
            <w:webHidden/>
          </w:rPr>
          <w:fldChar w:fldCharType="end"/>
        </w:r>
      </w:hyperlink>
    </w:p>
    <w:p w14:paraId="2CF9839C" w14:textId="5E62E558"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7" w:history="1">
        <w:r w:rsidRPr="009961C8">
          <w:rPr>
            <w:rStyle w:val="Hyperlink"/>
            <w:noProof/>
          </w:rPr>
          <w:t>Table 5</w:t>
        </w:r>
        <w:r w:rsidRPr="009961C8">
          <w:rPr>
            <w:rStyle w:val="Hyperlink"/>
            <w:noProof/>
          </w:rPr>
          <w:noBreakHyphen/>
          <w:t xml:space="preserve">2: Previous vs. Current </w:t>
        </w:r>
        <w:r w:rsidRPr="009961C8">
          <w:rPr>
            <w:rStyle w:val="Hyperlink"/>
            <w:i/>
            <w:noProof/>
          </w:rPr>
          <w:t>Ex-Ante</w:t>
        </w:r>
        <w:r w:rsidRPr="009961C8">
          <w:rPr>
            <w:rStyle w:val="Hyperlink"/>
            <w:noProof/>
          </w:rPr>
          <w:t xml:space="preserve"> Load Impacts, </w:t>
        </w:r>
        <w:r w:rsidRPr="009961C8">
          <w:rPr>
            <w:rStyle w:val="Hyperlink"/>
            <w:i/>
            <w:noProof/>
          </w:rPr>
          <w:t>PG&amp;E 1-in-2 July 2019 Peak Day</w:t>
        </w:r>
        <w:r>
          <w:rPr>
            <w:noProof/>
            <w:webHidden/>
          </w:rPr>
          <w:tab/>
        </w:r>
        <w:r>
          <w:rPr>
            <w:noProof/>
            <w:webHidden/>
          </w:rPr>
          <w:fldChar w:fldCharType="begin"/>
        </w:r>
        <w:r>
          <w:rPr>
            <w:noProof/>
            <w:webHidden/>
          </w:rPr>
          <w:instrText xml:space="preserve"> PAGEREF _Toc4578187 \h </w:instrText>
        </w:r>
        <w:r>
          <w:rPr>
            <w:noProof/>
            <w:webHidden/>
          </w:rPr>
        </w:r>
        <w:r>
          <w:rPr>
            <w:noProof/>
            <w:webHidden/>
          </w:rPr>
          <w:fldChar w:fldCharType="separate"/>
        </w:r>
        <w:r>
          <w:rPr>
            <w:noProof/>
            <w:webHidden/>
          </w:rPr>
          <w:t>41</w:t>
        </w:r>
        <w:r>
          <w:rPr>
            <w:noProof/>
            <w:webHidden/>
          </w:rPr>
          <w:fldChar w:fldCharType="end"/>
        </w:r>
      </w:hyperlink>
    </w:p>
    <w:p w14:paraId="7B3AB782" w14:textId="4B999E44"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8" w:history="1">
        <w:r w:rsidRPr="009961C8">
          <w:rPr>
            <w:rStyle w:val="Hyperlink"/>
            <w:noProof/>
          </w:rPr>
          <w:t>Table 5</w:t>
        </w:r>
        <w:r w:rsidRPr="009961C8">
          <w:rPr>
            <w:rStyle w:val="Hyperlink"/>
            <w:noProof/>
          </w:rPr>
          <w:noBreakHyphen/>
          <w:t xml:space="preserve">3: Comparison of Previous </w:t>
        </w:r>
        <w:r w:rsidRPr="009961C8">
          <w:rPr>
            <w:rStyle w:val="Hyperlink"/>
            <w:i/>
            <w:noProof/>
          </w:rPr>
          <w:t>Ex-Ante</w:t>
        </w:r>
        <w:r w:rsidRPr="009961C8">
          <w:rPr>
            <w:rStyle w:val="Hyperlink"/>
            <w:noProof/>
          </w:rPr>
          <w:t xml:space="preserve"> and Current </w:t>
        </w:r>
        <w:r w:rsidRPr="009961C8">
          <w:rPr>
            <w:rStyle w:val="Hyperlink"/>
            <w:i/>
            <w:noProof/>
          </w:rPr>
          <w:t>Ex-Post</w:t>
        </w:r>
        <w:r w:rsidRPr="009961C8">
          <w:rPr>
            <w:rStyle w:val="Hyperlink"/>
            <w:noProof/>
          </w:rPr>
          <w:t xml:space="preserve"> Impacts</w:t>
        </w:r>
        <w:r>
          <w:rPr>
            <w:noProof/>
            <w:webHidden/>
          </w:rPr>
          <w:tab/>
        </w:r>
        <w:r>
          <w:rPr>
            <w:noProof/>
            <w:webHidden/>
          </w:rPr>
          <w:fldChar w:fldCharType="begin"/>
        </w:r>
        <w:r>
          <w:rPr>
            <w:noProof/>
            <w:webHidden/>
          </w:rPr>
          <w:instrText xml:space="preserve"> PAGEREF _Toc4578188 \h </w:instrText>
        </w:r>
        <w:r>
          <w:rPr>
            <w:noProof/>
            <w:webHidden/>
          </w:rPr>
        </w:r>
        <w:r>
          <w:rPr>
            <w:noProof/>
            <w:webHidden/>
          </w:rPr>
          <w:fldChar w:fldCharType="separate"/>
        </w:r>
        <w:r>
          <w:rPr>
            <w:noProof/>
            <w:webHidden/>
          </w:rPr>
          <w:t>43</w:t>
        </w:r>
        <w:r>
          <w:rPr>
            <w:noProof/>
            <w:webHidden/>
          </w:rPr>
          <w:fldChar w:fldCharType="end"/>
        </w:r>
      </w:hyperlink>
    </w:p>
    <w:p w14:paraId="169EED24" w14:textId="0647CA46"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89" w:history="1">
        <w:r w:rsidRPr="009961C8">
          <w:rPr>
            <w:rStyle w:val="Hyperlink"/>
            <w:noProof/>
          </w:rPr>
          <w:t>Table 5</w:t>
        </w:r>
        <w:r w:rsidRPr="009961C8">
          <w:rPr>
            <w:rStyle w:val="Hyperlink"/>
            <w:noProof/>
          </w:rPr>
          <w:noBreakHyphen/>
          <w:t xml:space="preserve">4: Comparison of Current </w:t>
        </w:r>
        <w:r w:rsidRPr="009961C8">
          <w:rPr>
            <w:rStyle w:val="Hyperlink"/>
            <w:i/>
            <w:noProof/>
          </w:rPr>
          <w:t>Ex-Post</w:t>
        </w:r>
        <w:r w:rsidRPr="009961C8">
          <w:rPr>
            <w:rStyle w:val="Hyperlink"/>
            <w:noProof/>
          </w:rPr>
          <w:t xml:space="preserve"> and </w:t>
        </w:r>
        <w:r w:rsidRPr="009961C8">
          <w:rPr>
            <w:rStyle w:val="Hyperlink"/>
            <w:i/>
            <w:noProof/>
          </w:rPr>
          <w:t>Ex-Ante</w:t>
        </w:r>
        <w:r w:rsidRPr="009961C8">
          <w:rPr>
            <w:rStyle w:val="Hyperlink"/>
            <w:noProof/>
          </w:rPr>
          <w:t xml:space="preserve"> Load Impacts</w:t>
        </w:r>
        <w:r>
          <w:rPr>
            <w:noProof/>
            <w:webHidden/>
          </w:rPr>
          <w:tab/>
        </w:r>
        <w:r>
          <w:rPr>
            <w:noProof/>
            <w:webHidden/>
          </w:rPr>
          <w:fldChar w:fldCharType="begin"/>
        </w:r>
        <w:r>
          <w:rPr>
            <w:noProof/>
            <w:webHidden/>
          </w:rPr>
          <w:instrText xml:space="preserve"> PAGEREF _Toc4578189 \h </w:instrText>
        </w:r>
        <w:r>
          <w:rPr>
            <w:noProof/>
            <w:webHidden/>
          </w:rPr>
        </w:r>
        <w:r>
          <w:rPr>
            <w:noProof/>
            <w:webHidden/>
          </w:rPr>
          <w:fldChar w:fldCharType="separate"/>
        </w:r>
        <w:r>
          <w:rPr>
            <w:noProof/>
            <w:webHidden/>
          </w:rPr>
          <w:t>44</w:t>
        </w:r>
        <w:r>
          <w:rPr>
            <w:noProof/>
            <w:webHidden/>
          </w:rPr>
          <w:fldChar w:fldCharType="end"/>
        </w:r>
      </w:hyperlink>
    </w:p>
    <w:p w14:paraId="69FC3BBE" w14:textId="08D6D8F9"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90" w:history="1">
        <w:r w:rsidRPr="009961C8">
          <w:rPr>
            <w:rStyle w:val="Hyperlink"/>
            <w:noProof/>
          </w:rPr>
          <w:t>Table 5</w:t>
        </w:r>
        <w:r w:rsidRPr="009961C8">
          <w:rPr>
            <w:rStyle w:val="Hyperlink"/>
            <w:noProof/>
          </w:rPr>
          <w:noBreakHyphen/>
          <w:t xml:space="preserve">5: Comparison of </w:t>
        </w:r>
        <w:r w:rsidRPr="009961C8">
          <w:rPr>
            <w:rStyle w:val="Hyperlink"/>
            <w:i/>
            <w:noProof/>
          </w:rPr>
          <w:t>Ex-Post</w:t>
        </w:r>
        <w:r w:rsidRPr="009961C8">
          <w:rPr>
            <w:rStyle w:val="Hyperlink"/>
            <w:noProof/>
          </w:rPr>
          <w:t xml:space="preserve"> and </w:t>
        </w:r>
        <w:r w:rsidRPr="009961C8">
          <w:rPr>
            <w:rStyle w:val="Hyperlink"/>
            <w:i/>
            <w:noProof/>
          </w:rPr>
          <w:t>Ex-Ante</w:t>
        </w:r>
        <w:r w:rsidRPr="009961C8">
          <w:rPr>
            <w:rStyle w:val="Hyperlink"/>
            <w:noProof/>
          </w:rPr>
          <w:t xml:space="preserve"> Factors</w:t>
        </w:r>
        <w:r>
          <w:rPr>
            <w:noProof/>
            <w:webHidden/>
          </w:rPr>
          <w:tab/>
        </w:r>
        <w:r>
          <w:rPr>
            <w:noProof/>
            <w:webHidden/>
          </w:rPr>
          <w:fldChar w:fldCharType="begin"/>
        </w:r>
        <w:r>
          <w:rPr>
            <w:noProof/>
            <w:webHidden/>
          </w:rPr>
          <w:instrText xml:space="preserve"> PAGEREF _Toc4578190 \h </w:instrText>
        </w:r>
        <w:r>
          <w:rPr>
            <w:noProof/>
            <w:webHidden/>
          </w:rPr>
        </w:r>
        <w:r>
          <w:rPr>
            <w:noProof/>
            <w:webHidden/>
          </w:rPr>
          <w:fldChar w:fldCharType="separate"/>
        </w:r>
        <w:r>
          <w:rPr>
            <w:noProof/>
            <w:webHidden/>
          </w:rPr>
          <w:t>45</w:t>
        </w:r>
        <w:r>
          <w:rPr>
            <w:noProof/>
            <w:webHidden/>
          </w:rPr>
          <w:fldChar w:fldCharType="end"/>
        </w:r>
      </w:hyperlink>
    </w:p>
    <w:p w14:paraId="0C8CD4AC" w14:textId="20094515"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91" w:history="1">
        <w:r w:rsidRPr="009961C8">
          <w:rPr>
            <w:rStyle w:val="Hyperlink"/>
            <w:noProof/>
          </w:rPr>
          <w:t>Table A-1: Match Quality Statistics by Sub-LAP</w:t>
        </w:r>
        <w:r>
          <w:rPr>
            <w:noProof/>
            <w:webHidden/>
          </w:rPr>
          <w:tab/>
        </w:r>
        <w:r>
          <w:rPr>
            <w:noProof/>
            <w:webHidden/>
          </w:rPr>
          <w:fldChar w:fldCharType="begin"/>
        </w:r>
        <w:r>
          <w:rPr>
            <w:noProof/>
            <w:webHidden/>
          </w:rPr>
          <w:instrText xml:space="preserve"> PAGEREF _Toc4578191 \h </w:instrText>
        </w:r>
        <w:r>
          <w:rPr>
            <w:noProof/>
            <w:webHidden/>
          </w:rPr>
        </w:r>
        <w:r>
          <w:rPr>
            <w:noProof/>
            <w:webHidden/>
          </w:rPr>
          <w:fldChar w:fldCharType="separate"/>
        </w:r>
        <w:r>
          <w:rPr>
            <w:noProof/>
            <w:webHidden/>
          </w:rPr>
          <w:t>48</w:t>
        </w:r>
        <w:r>
          <w:rPr>
            <w:noProof/>
            <w:webHidden/>
          </w:rPr>
          <w:fldChar w:fldCharType="end"/>
        </w:r>
      </w:hyperlink>
    </w:p>
    <w:p w14:paraId="5C8A427D" w14:textId="325BBBDA" w:rsidR="008C53F9" w:rsidRDefault="008C53F9" w:rsidP="00E84DD2">
      <w:pPr>
        <w:spacing w:after="120"/>
      </w:pPr>
      <w:r w:rsidRPr="006B1FF9">
        <w:rPr>
          <w:b/>
          <w:bCs/>
          <w:noProof/>
          <w:sz w:val="22"/>
          <w:szCs w:val="22"/>
        </w:rPr>
        <w:fldChar w:fldCharType="end"/>
      </w:r>
    </w:p>
    <w:p w14:paraId="3F25A248" w14:textId="77777777" w:rsidR="008C53F9" w:rsidRPr="006B553B" w:rsidRDefault="008C53F9" w:rsidP="00E84DD2">
      <w:pPr>
        <w:spacing w:after="120"/>
        <w:jc w:val="center"/>
        <w:rPr>
          <w:b/>
        </w:rPr>
      </w:pPr>
      <w:r>
        <w:br w:type="page"/>
      </w:r>
      <w:r w:rsidRPr="006B553B">
        <w:rPr>
          <w:b/>
        </w:rPr>
        <w:t>List of Figures</w:t>
      </w:r>
    </w:p>
    <w:p w14:paraId="21CF7B13" w14:textId="77777777" w:rsidR="008C53F9" w:rsidRDefault="008C53F9" w:rsidP="00E84DD2">
      <w:pPr>
        <w:spacing w:after="120"/>
      </w:pPr>
    </w:p>
    <w:p w14:paraId="53A55752" w14:textId="482372BC" w:rsidR="00445DF3" w:rsidRDefault="008C53F9">
      <w:pPr>
        <w:pStyle w:val="TableofFigures"/>
        <w:tabs>
          <w:tab w:val="right" w:leader="dot" w:pos="8630"/>
        </w:tabs>
        <w:rPr>
          <w:rFonts w:asciiTheme="minorHAnsi" w:eastAsiaTheme="minorEastAsia" w:hAnsiTheme="minorHAnsi" w:cstheme="minorBidi"/>
          <w:noProof/>
          <w:sz w:val="22"/>
          <w:szCs w:val="22"/>
        </w:rPr>
      </w:pPr>
      <w:r w:rsidRPr="009A1C27">
        <w:rPr>
          <w:sz w:val="22"/>
          <w:szCs w:val="22"/>
        </w:rPr>
        <w:fldChar w:fldCharType="begin"/>
      </w:r>
      <w:r w:rsidRPr="009A1C27">
        <w:rPr>
          <w:sz w:val="22"/>
          <w:szCs w:val="22"/>
        </w:rPr>
        <w:instrText xml:space="preserve"> TOC \h \z \t "Figure Caption" \c </w:instrText>
      </w:r>
      <w:r w:rsidRPr="009A1C27">
        <w:rPr>
          <w:sz w:val="22"/>
          <w:szCs w:val="22"/>
        </w:rPr>
        <w:fldChar w:fldCharType="separate"/>
      </w:r>
      <w:hyperlink w:anchor="_Toc4578192" w:history="1">
        <w:r w:rsidR="00445DF3" w:rsidRPr="00253B36">
          <w:rPr>
            <w:rStyle w:val="Hyperlink"/>
            <w:noProof/>
          </w:rPr>
          <w:t>Figure ES.1: Average Event-Hour Load Impacts by Event</w:t>
        </w:r>
        <w:r w:rsidR="00445DF3">
          <w:rPr>
            <w:noProof/>
            <w:webHidden/>
          </w:rPr>
          <w:tab/>
        </w:r>
        <w:r w:rsidR="00445DF3">
          <w:rPr>
            <w:noProof/>
            <w:webHidden/>
          </w:rPr>
          <w:fldChar w:fldCharType="begin"/>
        </w:r>
        <w:r w:rsidR="00445DF3">
          <w:rPr>
            <w:noProof/>
            <w:webHidden/>
          </w:rPr>
          <w:instrText xml:space="preserve"> PAGEREF _Toc4578192 \h </w:instrText>
        </w:r>
        <w:r w:rsidR="00445DF3">
          <w:rPr>
            <w:noProof/>
            <w:webHidden/>
          </w:rPr>
        </w:r>
        <w:r w:rsidR="00445DF3">
          <w:rPr>
            <w:noProof/>
            <w:webHidden/>
          </w:rPr>
          <w:fldChar w:fldCharType="separate"/>
        </w:r>
        <w:r w:rsidR="00445DF3">
          <w:rPr>
            <w:noProof/>
            <w:webHidden/>
          </w:rPr>
          <w:t>3</w:t>
        </w:r>
        <w:r w:rsidR="00445DF3">
          <w:rPr>
            <w:noProof/>
            <w:webHidden/>
          </w:rPr>
          <w:fldChar w:fldCharType="end"/>
        </w:r>
      </w:hyperlink>
    </w:p>
    <w:p w14:paraId="0913D782" w14:textId="6BD34C48"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93" w:history="1">
        <w:r w:rsidRPr="00253B36">
          <w:rPr>
            <w:rStyle w:val="Hyperlink"/>
            <w:noProof/>
          </w:rPr>
          <w:t>Figure ES.2: Aggregate Load Impacts over RA Window by Month and Weather Scenario</w:t>
        </w:r>
        <w:r>
          <w:rPr>
            <w:noProof/>
            <w:webHidden/>
          </w:rPr>
          <w:tab/>
        </w:r>
        <w:r>
          <w:rPr>
            <w:noProof/>
            <w:webHidden/>
          </w:rPr>
          <w:fldChar w:fldCharType="begin"/>
        </w:r>
        <w:r>
          <w:rPr>
            <w:noProof/>
            <w:webHidden/>
          </w:rPr>
          <w:instrText xml:space="preserve"> PAGEREF _Toc4578193 \h </w:instrText>
        </w:r>
        <w:r>
          <w:rPr>
            <w:noProof/>
            <w:webHidden/>
          </w:rPr>
        </w:r>
        <w:r>
          <w:rPr>
            <w:noProof/>
            <w:webHidden/>
          </w:rPr>
          <w:fldChar w:fldCharType="separate"/>
        </w:r>
        <w:r>
          <w:rPr>
            <w:noProof/>
            <w:webHidden/>
          </w:rPr>
          <w:t>4</w:t>
        </w:r>
        <w:r>
          <w:rPr>
            <w:noProof/>
            <w:webHidden/>
          </w:rPr>
          <w:fldChar w:fldCharType="end"/>
        </w:r>
      </w:hyperlink>
    </w:p>
    <w:p w14:paraId="593F4D39" w14:textId="55FFF1B4"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94" w:history="1">
        <w:r w:rsidRPr="00253B36">
          <w:rPr>
            <w:rStyle w:val="Hyperlink"/>
            <w:noProof/>
          </w:rPr>
          <w:t>Figure 3</w:t>
        </w:r>
        <w:r w:rsidRPr="00253B36">
          <w:rPr>
            <w:rStyle w:val="Hyperlink"/>
            <w:noProof/>
          </w:rPr>
          <w:noBreakHyphen/>
          <w:t>1: Treatment and Control Non-Event Day Load Profiles</w:t>
        </w:r>
        <w:r>
          <w:rPr>
            <w:noProof/>
            <w:webHidden/>
          </w:rPr>
          <w:tab/>
        </w:r>
        <w:r>
          <w:rPr>
            <w:noProof/>
            <w:webHidden/>
          </w:rPr>
          <w:fldChar w:fldCharType="begin"/>
        </w:r>
        <w:r>
          <w:rPr>
            <w:noProof/>
            <w:webHidden/>
          </w:rPr>
          <w:instrText xml:space="preserve"> PAGEREF _Toc4578194 \h </w:instrText>
        </w:r>
        <w:r>
          <w:rPr>
            <w:noProof/>
            <w:webHidden/>
          </w:rPr>
        </w:r>
        <w:r>
          <w:rPr>
            <w:noProof/>
            <w:webHidden/>
          </w:rPr>
          <w:fldChar w:fldCharType="separate"/>
        </w:r>
        <w:r>
          <w:rPr>
            <w:noProof/>
            <w:webHidden/>
          </w:rPr>
          <w:t>16</w:t>
        </w:r>
        <w:r>
          <w:rPr>
            <w:noProof/>
            <w:webHidden/>
          </w:rPr>
          <w:fldChar w:fldCharType="end"/>
        </w:r>
      </w:hyperlink>
    </w:p>
    <w:p w14:paraId="6C8269FB" w14:textId="2D3ED7E8"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95" w:history="1">
        <w:r w:rsidRPr="00253B36">
          <w:rPr>
            <w:rStyle w:val="Hyperlink"/>
            <w:noProof/>
          </w:rPr>
          <w:t>Figure 3</w:t>
        </w:r>
        <w:r w:rsidRPr="00253B36">
          <w:rPr>
            <w:rStyle w:val="Hyperlink"/>
            <w:noProof/>
          </w:rPr>
          <w:noBreakHyphen/>
          <w:t>2: Average Event-Hour Load Impacts by Event</w:t>
        </w:r>
        <w:r>
          <w:rPr>
            <w:noProof/>
            <w:webHidden/>
          </w:rPr>
          <w:tab/>
        </w:r>
        <w:r>
          <w:rPr>
            <w:noProof/>
            <w:webHidden/>
          </w:rPr>
          <w:fldChar w:fldCharType="begin"/>
        </w:r>
        <w:r>
          <w:rPr>
            <w:noProof/>
            <w:webHidden/>
          </w:rPr>
          <w:instrText xml:space="preserve"> PAGEREF _Toc4578195 \h </w:instrText>
        </w:r>
        <w:r>
          <w:rPr>
            <w:noProof/>
            <w:webHidden/>
          </w:rPr>
        </w:r>
        <w:r>
          <w:rPr>
            <w:noProof/>
            <w:webHidden/>
          </w:rPr>
          <w:fldChar w:fldCharType="separate"/>
        </w:r>
        <w:r>
          <w:rPr>
            <w:noProof/>
            <w:webHidden/>
          </w:rPr>
          <w:t>17</w:t>
        </w:r>
        <w:r>
          <w:rPr>
            <w:noProof/>
            <w:webHidden/>
          </w:rPr>
          <w:fldChar w:fldCharType="end"/>
        </w:r>
      </w:hyperlink>
    </w:p>
    <w:p w14:paraId="6228C010" w14:textId="5F2BDFB8"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96" w:history="1">
        <w:r w:rsidRPr="00253B36">
          <w:rPr>
            <w:rStyle w:val="Hyperlink"/>
            <w:noProof/>
          </w:rPr>
          <w:t>Figure 3</w:t>
        </w:r>
        <w:r w:rsidRPr="00253B36">
          <w:rPr>
            <w:rStyle w:val="Hyperlink"/>
            <w:noProof/>
          </w:rPr>
          <w:noBreakHyphen/>
          <w:t>3: Average Event-Hour Load Impacts by Sub-LAP and Event</w:t>
        </w:r>
        <w:r>
          <w:rPr>
            <w:noProof/>
            <w:webHidden/>
          </w:rPr>
          <w:tab/>
        </w:r>
        <w:r>
          <w:rPr>
            <w:noProof/>
            <w:webHidden/>
          </w:rPr>
          <w:fldChar w:fldCharType="begin"/>
        </w:r>
        <w:r>
          <w:rPr>
            <w:noProof/>
            <w:webHidden/>
          </w:rPr>
          <w:instrText xml:space="preserve"> PAGEREF _Toc4578196 \h </w:instrText>
        </w:r>
        <w:r>
          <w:rPr>
            <w:noProof/>
            <w:webHidden/>
          </w:rPr>
        </w:r>
        <w:r>
          <w:rPr>
            <w:noProof/>
            <w:webHidden/>
          </w:rPr>
          <w:fldChar w:fldCharType="separate"/>
        </w:r>
        <w:r>
          <w:rPr>
            <w:noProof/>
            <w:webHidden/>
          </w:rPr>
          <w:t>21</w:t>
        </w:r>
        <w:r>
          <w:rPr>
            <w:noProof/>
            <w:webHidden/>
          </w:rPr>
          <w:fldChar w:fldCharType="end"/>
        </w:r>
      </w:hyperlink>
    </w:p>
    <w:p w14:paraId="505D05A5" w14:textId="7963222E"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97" w:history="1">
        <w:r w:rsidRPr="00253B36">
          <w:rPr>
            <w:rStyle w:val="Hyperlink"/>
            <w:noProof/>
          </w:rPr>
          <w:t>Figure 3</w:t>
        </w:r>
        <w:r w:rsidRPr="00253B36">
          <w:rPr>
            <w:rStyle w:val="Hyperlink"/>
            <w:noProof/>
          </w:rPr>
          <w:noBreakHyphen/>
          <w:t>4: All Event-Hour Load Impacts by Sub-LAP</w:t>
        </w:r>
        <w:r>
          <w:rPr>
            <w:noProof/>
            <w:webHidden/>
          </w:rPr>
          <w:tab/>
        </w:r>
        <w:r>
          <w:rPr>
            <w:noProof/>
            <w:webHidden/>
          </w:rPr>
          <w:fldChar w:fldCharType="begin"/>
        </w:r>
        <w:r>
          <w:rPr>
            <w:noProof/>
            <w:webHidden/>
          </w:rPr>
          <w:instrText xml:space="preserve"> PAGEREF _Toc4578197 \h </w:instrText>
        </w:r>
        <w:r>
          <w:rPr>
            <w:noProof/>
            <w:webHidden/>
          </w:rPr>
        </w:r>
        <w:r>
          <w:rPr>
            <w:noProof/>
            <w:webHidden/>
          </w:rPr>
          <w:fldChar w:fldCharType="separate"/>
        </w:r>
        <w:r>
          <w:rPr>
            <w:noProof/>
            <w:webHidden/>
          </w:rPr>
          <w:t>24</w:t>
        </w:r>
        <w:r>
          <w:rPr>
            <w:noProof/>
            <w:webHidden/>
          </w:rPr>
          <w:fldChar w:fldCharType="end"/>
        </w:r>
      </w:hyperlink>
    </w:p>
    <w:p w14:paraId="1BAE70FF" w14:textId="40571E2B"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98" w:history="1">
        <w:r w:rsidRPr="00253B36">
          <w:rPr>
            <w:rStyle w:val="Hyperlink"/>
            <w:noProof/>
          </w:rPr>
          <w:t>Figure 3</w:t>
        </w:r>
        <w:r w:rsidRPr="00253B36">
          <w:rPr>
            <w:rStyle w:val="Hyperlink"/>
            <w:noProof/>
          </w:rPr>
          <w:noBreakHyphen/>
          <w:t>5: Hourly Load Impacts and Uncertainty Adjusted Estimates on August 9, 2018</w:t>
        </w:r>
        <w:r>
          <w:rPr>
            <w:noProof/>
            <w:webHidden/>
          </w:rPr>
          <w:tab/>
        </w:r>
        <w:r>
          <w:rPr>
            <w:noProof/>
            <w:webHidden/>
          </w:rPr>
          <w:fldChar w:fldCharType="begin"/>
        </w:r>
        <w:r>
          <w:rPr>
            <w:noProof/>
            <w:webHidden/>
          </w:rPr>
          <w:instrText xml:space="preserve"> PAGEREF _Toc4578198 \h </w:instrText>
        </w:r>
        <w:r>
          <w:rPr>
            <w:noProof/>
            <w:webHidden/>
          </w:rPr>
        </w:r>
        <w:r>
          <w:rPr>
            <w:noProof/>
            <w:webHidden/>
          </w:rPr>
          <w:fldChar w:fldCharType="separate"/>
        </w:r>
        <w:r>
          <w:rPr>
            <w:noProof/>
            <w:webHidden/>
          </w:rPr>
          <w:t>25</w:t>
        </w:r>
        <w:r>
          <w:rPr>
            <w:noProof/>
            <w:webHidden/>
          </w:rPr>
          <w:fldChar w:fldCharType="end"/>
        </w:r>
      </w:hyperlink>
    </w:p>
    <w:p w14:paraId="0E31A940" w14:textId="0642485F"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199" w:history="1">
        <w:r w:rsidRPr="00253B36">
          <w:rPr>
            <w:rStyle w:val="Hyperlink"/>
            <w:noProof/>
          </w:rPr>
          <w:t>Figure 3</w:t>
        </w:r>
        <w:r w:rsidRPr="00253B36">
          <w:rPr>
            <w:rStyle w:val="Hyperlink"/>
            <w:noProof/>
          </w:rPr>
          <w:noBreakHyphen/>
          <w:t>6: Average HE 18 (5-6 p.m.) Load Impacts by Subgroup</w:t>
        </w:r>
        <w:r>
          <w:rPr>
            <w:noProof/>
            <w:webHidden/>
          </w:rPr>
          <w:tab/>
        </w:r>
        <w:r>
          <w:rPr>
            <w:noProof/>
            <w:webHidden/>
          </w:rPr>
          <w:fldChar w:fldCharType="begin"/>
        </w:r>
        <w:r>
          <w:rPr>
            <w:noProof/>
            <w:webHidden/>
          </w:rPr>
          <w:instrText xml:space="preserve"> PAGEREF _Toc4578199 \h </w:instrText>
        </w:r>
        <w:r>
          <w:rPr>
            <w:noProof/>
            <w:webHidden/>
          </w:rPr>
        </w:r>
        <w:r>
          <w:rPr>
            <w:noProof/>
            <w:webHidden/>
          </w:rPr>
          <w:fldChar w:fldCharType="separate"/>
        </w:r>
        <w:r>
          <w:rPr>
            <w:noProof/>
            <w:webHidden/>
          </w:rPr>
          <w:t>28</w:t>
        </w:r>
        <w:r>
          <w:rPr>
            <w:noProof/>
            <w:webHidden/>
          </w:rPr>
          <w:fldChar w:fldCharType="end"/>
        </w:r>
      </w:hyperlink>
    </w:p>
    <w:p w14:paraId="2236C216" w14:textId="02E1EB05"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200" w:history="1">
        <w:r w:rsidRPr="00253B36">
          <w:rPr>
            <w:rStyle w:val="Hyperlink"/>
            <w:noProof/>
          </w:rPr>
          <w:t>Figure 4</w:t>
        </w:r>
        <w:r w:rsidRPr="00253B36">
          <w:rPr>
            <w:rStyle w:val="Hyperlink"/>
            <w:noProof/>
          </w:rPr>
          <w:noBreakHyphen/>
          <w:t>1: Aggregate Hourly Loads and Load Impacts for</w:t>
        </w:r>
        <w:r w:rsidRPr="00253B36">
          <w:rPr>
            <w:rStyle w:val="Hyperlink"/>
            <w:i/>
            <w:noProof/>
          </w:rPr>
          <w:t xml:space="preserve"> PG&amp;E 1-in-2 </w:t>
        </w:r>
        <w:r w:rsidRPr="00253B36">
          <w:rPr>
            <w:rStyle w:val="Hyperlink"/>
            <w:noProof/>
          </w:rPr>
          <w:t>Typical Event Day: All SmartAC™ customers</w:t>
        </w:r>
        <w:r>
          <w:rPr>
            <w:noProof/>
            <w:webHidden/>
          </w:rPr>
          <w:tab/>
        </w:r>
        <w:r>
          <w:rPr>
            <w:noProof/>
            <w:webHidden/>
          </w:rPr>
          <w:fldChar w:fldCharType="begin"/>
        </w:r>
        <w:r>
          <w:rPr>
            <w:noProof/>
            <w:webHidden/>
          </w:rPr>
          <w:instrText xml:space="preserve"> PAGEREF _Toc4578200 \h </w:instrText>
        </w:r>
        <w:r>
          <w:rPr>
            <w:noProof/>
            <w:webHidden/>
          </w:rPr>
        </w:r>
        <w:r>
          <w:rPr>
            <w:noProof/>
            <w:webHidden/>
          </w:rPr>
          <w:fldChar w:fldCharType="separate"/>
        </w:r>
        <w:r>
          <w:rPr>
            <w:noProof/>
            <w:webHidden/>
          </w:rPr>
          <w:t>34</w:t>
        </w:r>
        <w:r>
          <w:rPr>
            <w:noProof/>
            <w:webHidden/>
          </w:rPr>
          <w:fldChar w:fldCharType="end"/>
        </w:r>
      </w:hyperlink>
    </w:p>
    <w:p w14:paraId="29C0848F" w14:textId="50B3DB82"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201" w:history="1">
        <w:r w:rsidRPr="00253B36">
          <w:rPr>
            <w:rStyle w:val="Hyperlink"/>
            <w:noProof/>
          </w:rPr>
          <w:t>Figure 4</w:t>
        </w:r>
        <w:r w:rsidRPr="00253B36">
          <w:rPr>
            <w:rStyle w:val="Hyperlink"/>
            <w:noProof/>
          </w:rPr>
          <w:noBreakHyphen/>
          <w:t>2: Aggregate Hourly Loads and Load Impacts for</w:t>
        </w:r>
        <w:r w:rsidRPr="00253B36">
          <w:rPr>
            <w:rStyle w:val="Hyperlink"/>
            <w:i/>
            <w:noProof/>
          </w:rPr>
          <w:t xml:space="preserve"> PG&amp;E 1-in-2 </w:t>
        </w:r>
        <w:r w:rsidRPr="00253B36">
          <w:rPr>
            <w:rStyle w:val="Hyperlink"/>
            <w:noProof/>
          </w:rPr>
          <w:t>Typical Event Day: SmartAC™-only customers</w:t>
        </w:r>
        <w:r>
          <w:rPr>
            <w:noProof/>
            <w:webHidden/>
          </w:rPr>
          <w:tab/>
        </w:r>
        <w:r>
          <w:rPr>
            <w:noProof/>
            <w:webHidden/>
          </w:rPr>
          <w:fldChar w:fldCharType="begin"/>
        </w:r>
        <w:r>
          <w:rPr>
            <w:noProof/>
            <w:webHidden/>
          </w:rPr>
          <w:instrText xml:space="preserve"> PAGEREF _Toc4578201 \h </w:instrText>
        </w:r>
        <w:r>
          <w:rPr>
            <w:noProof/>
            <w:webHidden/>
          </w:rPr>
        </w:r>
        <w:r>
          <w:rPr>
            <w:noProof/>
            <w:webHidden/>
          </w:rPr>
          <w:fldChar w:fldCharType="separate"/>
        </w:r>
        <w:r>
          <w:rPr>
            <w:noProof/>
            <w:webHidden/>
          </w:rPr>
          <w:t>35</w:t>
        </w:r>
        <w:r>
          <w:rPr>
            <w:noProof/>
            <w:webHidden/>
          </w:rPr>
          <w:fldChar w:fldCharType="end"/>
        </w:r>
      </w:hyperlink>
    </w:p>
    <w:p w14:paraId="59AA2F20" w14:textId="4BCE234E"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202" w:history="1">
        <w:r w:rsidRPr="00253B36">
          <w:rPr>
            <w:rStyle w:val="Hyperlink"/>
            <w:noProof/>
          </w:rPr>
          <w:t>Figure 4</w:t>
        </w:r>
        <w:r w:rsidRPr="00253B36">
          <w:rPr>
            <w:rStyle w:val="Hyperlink"/>
            <w:noProof/>
          </w:rPr>
          <w:noBreakHyphen/>
          <w:t>3: Aggregate Hourly Loads and Load Impacts for</w:t>
        </w:r>
        <w:r w:rsidRPr="00253B36">
          <w:rPr>
            <w:rStyle w:val="Hyperlink"/>
            <w:i/>
            <w:noProof/>
          </w:rPr>
          <w:t xml:space="preserve"> PG&amp;E 1-in-2 </w:t>
        </w:r>
        <w:r w:rsidRPr="00253B36">
          <w:rPr>
            <w:rStyle w:val="Hyperlink"/>
            <w:noProof/>
          </w:rPr>
          <w:t>Typical Event Day: Dually Enrolled Customers</w:t>
        </w:r>
        <w:r>
          <w:rPr>
            <w:noProof/>
            <w:webHidden/>
          </w:rPr>
          <w:tab/>
        </w:r>
        <w:r>
          <w:rPr>
            <w:noProof/>
            <w:webHidden/>
          </w:rPr>
          <w:fldChar w:fldCharType="begin"/>
        </w:r>
        <w:r>
          <w:rPr>
            <w:noProof/>
            <w:webHidden/>
          </w:rPr>
          <w:instrText xml:space="preserve"> PAGEREF _Toc4578202 \h </w:instrText>
        </w:r>
        <w:r>
          <w:rPr>
            <w:noProof/>
            <w:webHidden/>
          </w:rPr>
        </w:r>
        <w:r>
          <w:rPr>
            <w:noProof/>
            <w:webHidden/>
          </w:rPr>
          <w:fldChar w:fldCharType="separate"/>
        </w:r>
        <w:r>
          <w:rPr>
            <w:noProof/>
            <w:webHidden/>
          </w:rPr>
          <w:t>36</w:t>
        </w:r>
        <w:r>
          <w:rPr>
            <w:noProof/>
            <w:webHidden/>
          </w:rPr>
          <w:fldChar w:fldCharType="end"/>
        </w:r>
      </w:hyperlink>
    </w:p>
    <w:p w14:paraId="70DEBBE8" w14:textId="6BFBAC8E"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203" w:history="1">
        <w:r w:rsidRPr="00253B36">
          <w:rPr>
            <w:rStyle w:val="Hyperlink"/>
            <w:noProof/>
          </w:rPr>
          <w:t>Figure 4</w:t>
        </w:r>
        <w:r w:rsidRPr="00253B36">
          <w:rPr>
            <w:rStyle w:val="Hyperlink"/>
            <w:noProof/>
          </w:rPr>
          <w:noBreakHyphen/>
          <w:t>4: Aggregate Load Impacts over RA Window by Month and Weather Scenario</w:t>
        </w:r>
        <w:r>
          <w:rPr>
            <w:noProof/>
            <w:webHidden/>
          </w:rPr>
          <w:tab/>
        </w:r>
        <w:r>
          <w:rPr>
            <w:noProof/>
            <w:webHidden/>
          </w:rPr>
          <w:fldChar w:fldCharType="begin"/>
        </w:r>
        <w:r>
          <w:rPr>
            <w:noProof/>
            <w:webHidden/>
          </w:rPr>
          <w:instrText xml:space="preserve"> PAGEREF _Toc4578203 \h </w:instrText>
        </w:r>
        <w:r>
          <w:rPr>
            <w:noProof/>
            <w:webHidden/>
          </w:rPr>
        </w:r>
        <w:r>
          <w:rPr>
            <w:noProof/>
            <w:webHidden/>
          </w:rPr>
          <w:fldChar w:fldCharType="separate"/>
        </w:r>
        <w:r>
          <w:rPr>
            <w:noProof/>
            <w:webHidden/>
          </w:rPr>
          <w:t>38</w:t>
        </w:r>
        <w:r>
          <w:rPr>
            <w:noProof/>
            <w:webHidden/>
          </w:rPr>
          <w:fldChar w:fldCharType="end"/>
        </w:r>
      </w:hyperlink>
    </w:p>
    <w:p w14:paraId="2BDBB8F4" w14:textId="77E44C5F"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204" w:history="1">
        <w:r w:rsidRPr="00253B36">
          <w:rPr>
            <w:rStyle w:val="Hyperlink"/>
            <w:noProof/>
          </w:rPr>
          <w:t>Figure 4</w:t>
        </w:r>
        <w:r w:rsidRPr="00253B36">
          <w:rPr>
            <w:rStyle w:val="Hyperlink"/>
            <w:noProof/>
          </w:rPr>
          <w:noBreakHyphen/>
          <w:t xml:space="preserve">5: RA Window Load Impacts for </w:t>
        </w:r>
        <w:r w:rsidRPr="00253B36">
          <w:rPr>
            <w:rStyle w:val="Hyperlink"/>
            <w:i/>
            <w:noProof/>
          </w:rPr>
          <w:t xml:space="preserve">PG&amp;E 1-in-2 </w:t>
        </w:r>
        <w:r w:rsidRPr="00253B36">
          <w:rPr>
            <w:rStyle w:val="Hyperlink"/>
            <w:noProof/>
          </w:rPr>
          <w:t>Typical Event Day by LCA</w:t>
        </w:r>
        <w:r>
          <w:rPr>
            <w:noProof/>
            <w:webHidden/>
          </w:rPr>
          <w:tab/>
        </w:r>
        <w:r>
          <w:rPr>
            <w:noProof/>
            <w:webHidden/>
          </w:rPr>
          <w:fldChar w:fldCharType="begin"/>
        </w:r>
        <w:r>
          <w:rPr>
            <w:noProof/>
            <w:webHidden/>
          </w:rPr>
          <w:instrText xml:space="preserve"> PAGEREF _Toc4578204 \h </w:instrText>
        </w:r>
        <w:r>
          <w:rPr>
            <w:noProof/>
            <w:webHidden/>
          </w:rPr>
        </w:r>
        <w:r>
          <w:rPr>
            <w:noProof/>
            <w:webHidden/>
          </w:rPr>
          <w:fldChar w:fldCharType="separate"/>
        </w:r>
        <w:r>
          <w:rPr>
            <w:noProof/>
            <w:webHidden/>
          </w:rPr>
          <w:t>39</w:t>
        </w:r>
        <w:r>
          <w:rPr>
            <w:noProof/>
            <w:webHidden/>
          </w:rPr>
          <w:fldChar w:fldCharType="end"/>
        </w:r>
      </w:hyperlink>
    </w:p>
    <w:p w14:paraId="27534448" w14:textId="5EF7F154"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205" w:history="1">
        <w:r w:rsidRPr="00253B36">
          <w:rPr>
            <w:rStyle w:val="Hyperlink"/>
            <w:noProof/>
          </w:rPr>
          <w:t>Figure B-1: Average Load Impacts (excluding Kern) for a PG&amp;E 1-in-2 August Peak:                         Previous Study vs. Current Study</w:t>
        </w:r>
        <w:r>
          <w:rPr>
            <w:noProof/>
            <w:webHidden/>
          </w:rPr>
          <w:tab/>
        </w:r>
        <w:r>
          <w:rPr>
            <w:noProof/>
            <w:webHidden/>
          </w:rPr>
          <w:fldChar w:fldCharType="begin"/>
        </w:r>
        <w:r>
          <w:rPr>
            <w:noProof/>
            <w:webHidden/>
          </w:rPr>
          <w:instrText xml:space="preserve"> PAGEREF _Toc4578205 \h </w:instrText>
        </w:r>
        <w:r>
          <w:rPr>
            <w:noProof/>
            <w:webHidden/>
          </w:rPr>
        </w:r>
        <w:r>
          <w:rPr>
            <w:noProof/>
            <w:webHidden/>
          </w:rPr>
          <w:fldChar w:fldCharType="separate"/>
        </w:r>
        <w:r>
          <w:rPr>
            <w:noProof/>
            <w:webHidden/>
          </w:rPr>
          <w:t>49</w:t>
        </w:r>
        <w:r>
          <w:rPr>
            <w:noProof/>
            <w:webHidden/>
          </w:rPr>
          <w:fldChar w:fldCharType="end"/>
        </w:r>
      </w:hyperlink>
    </w:p>
    <w:p w14:paraId="406F3740" w14:textId="2B2EC894" w:rsidR="00445DF3" w:rsidRDefault="00445DF3">
      <w:pPr>
        <w:pStyle w:val="TableofFigures"/>
        <w:tabs>
          <w:tab w:val="right" w:leader="dot" w:pos="8630"/>
        </w:tabs>
        <w:rPr>
          <w:rFonts w:asciiTheme="minorHAnsi" w:eastAsiaTheme="minorEastAsia" w:hAnsiTheme="minorHAnsi" w:cstheme="minorBidi"/>
          <w:noProof/>
          <w:sz w:val="22"/>
          <w:szCs w:val="22"/>
        </w:rPr>
      </w:pPr>
      <w:hyperlink w:anchor="_Toc4578206" w:history="1">
        <w:r w:rsidRPr="00253B36">
          <w:rPr>
            <w:rStyle w:val="Hyperlink"/>
            <w:noProof/>
          </w:rPr>
          <w:t>Figure B-2: Average Load Impacts (all LCAs) for a PG&amp;E 1-in-2 August Peak:                         Previous Study vs. Current Study</w:t>
        </w:r>
        <w:r>
          <w:rPr>
            <w:noProof/>
            <w:webHidden/>
          </w:rPr>
          <w:tab/>
        </w:r>
        <w:r>
          <w:rPr>
            <w:noProof/>
            <w:webHidden/>
          </w:rPr>
          <w:fldChar w:fldCharType="begin"/>
        </w:r>
        <w:r>
          <w:rPr>
            <w:noProof/>
            <w:webHidden/>
          </w:rPr>
          <w:instrText xml:space="preserve"> PAGEREF _Toc4578206 \h </w:instrText>
        </w:r>
        <w:r>
          <w:rPr>
            <w:noProof/>
            <w:webHidden/>
          </w:rPr>
        </w:r>
        <w:r>
          <w:rPr>
            <w:noProof/>
            <w:webHidden/>
          </w:rPr>
          <w:fldChar w:fldCharType="separate"/>
        </w:r>
        <w:r>
          <w:rPr>
            <w:noProof/>
            <w:webHidden/>
          </w:rPr>
          <w:t>50</w:t>
        </w:r>
        <w:r>
          <w:rPr>
            <w:noProof/>
            <w:webHidden/>
          </w:rPr>
          <w:fldChar w:fldCharType="end"/>
        </w:r>
      </w:hyperlink>
    </w:p>
    <w:p w14:paraId="4D2BC7DC" w14:textId="0B9E5165" w:rsidR="009B66F6" w:rsidRDefault="008C53F9" w:rsidP="00E84DD2">
      <w:pPr>
        <w:spacing w:after="120" w:line="360" w:lineRule="auto"/>
        <w:ind w:left="1181" w:right="720" w:hanging="1181"/>
        <w:jc w:val="center"/>
        <w:rPr>
          <w:b/>
          <w:sz w:val="28"/>
          <w:szCs w:val="28"/>
        </w:rPr>
        <w:sectPr w:rsidR="009B66F6" w:rsidSect="009B66F6">
          <w:footerReference w:type="default" r:id="rId13"/>
          <w:type w:val="continuous"/>
          <w:pgSz w:w="12240" w:h="15840"/>
          <w:pgMar w:top="1440" w:right="1800" w:bottom="1440" w:left="1800" w:header="720" w:footer="720" w:gutter="0"/>
          <w:pgNumType w:fmt="lowerRoman"/>
          <w:cols w:space="720"/>
          <w:docGrid w:linePitch="360"/>
        </w:sectPr>
      </w:pPr>
      <w:r w:rsidRPr="009A1C27">
        <w:rPr>
          <w:b/>
          <w:bCs/>
          <w:noProof/>
          <w:sz w:val="22"/>
          <w:szCs w:val="22"/>
        </w:rPr>
        <w:fldChar w:fldCharType="end"/>
      </w:r>
    </w:p>
    <w:p w14:paraId="6896928F" w14:textId="3127616B" w:rsidR="00321E09" w:rsidRDefault="00321E09" w:rsidP="00F401D7">
      <w:pPr>
        <w:pStyle w:val="Heading1"/>
        <w:numPr>
          <w:ilvl w:val="0"/>
          <w:numId w:val="0"/>
        </w:numPr>
        <w:spacing w:after="120"/>
      </w:pPr>
      <w:bookmarkStart w:id="2" w:name="_Toc4578141"/>
      <w:r w:rsidRPr="009F2964">
        <w:t>Executive Summary</w:t>
      </w:r>
      <w:bookmarkEnd w:id="2"/>
      <w:r w:rsidRPr="00A4025E">
        <w:t xml:space="preserve"> </w:t>
      </w:r>
    </w:p>
    <w:p w14:paraId="75582B9C" w14:textId="7562028C" w:rsidR="004A1295" w:rsidRDefault="004A1295" w:rsidP="004A1295">
      <w:pPr>
        <w:pStyle w:val="BodyText"/>
      </w:pPr>
      <w:bookmarkStart w:id="3" w:name="_Toc206570216"/>
      <w:bookmarkStart w:id="4" w:name="_Toc257708579"/>
      <w:bookmarkStart w:id="5" w:name="_Toc289180053"/>
      <w:bookmarkStart w:id="6" w:name="_Toc326224610"/>
      <w:bookmarkStart w:id="7" w:name="_Toc352235825"/>
      <w:bookmarkStart w:id="8" w:name="_Toc383774910"/>
      <w:bookmarkStart w:id="9" w:name="_Toc413586704"/>
      <w:r>
        <w:t xml:space="preserve">This report documents </w:t>
      </w:r>
      <w:r w:rsidRPr="00F43309">
        <w:rPr>
          <w:i/>
        </w:rPr>
        <w:t>ex-post</w:t>
      </w:r>
      <w:r>
        <w:t xml:space="preserve"> and </w:t>
      </w:r>
      <w:r w:rsidRPr="00F43309">
        <w:rPr>
          <w:i/>
        </w:rPr>
        <w:t>ex-ante</w:t>
      </w:r>
      <w:r>
        <w:t xml:space="preserve"> load impact evaluations of Pacific Gas and Electric’s (PG&amp;E) </w:t>
      </w:r>
      <w:r w:rsidR="00546AFB">
        <w:t>SmartAC™</w:t>
      </w:r>
      <w:r>
        <w:t xml:space="preserve"> program for 2018. The evaluation produces estimates of the </w:t>
      </w:r>
      <w:r>
        <w:rPr>
          <w:i/>
        </w:rPr>
        <w:t>ex-post</w:t>
      </w:r>
      <w:r>
        <w:t xml:space="preserve"> load impacts for each hour of each event called in 2018, and it develops </w:t>
      </w:r>
      <w:r>
        <w:rPr>
          <w:i/>
        </w:rPr>
        <w:t>ex-ante</w:t>
      </w:r>
      <w:r>
        <w:t xml:space="preserve"> load impact forecasts for the program through </w:t>
      </w:r>
      <w:r w:rsidRPr="003E5C57">
        <w:t>2029.</w:t>
      </w:r>
    </w:p>
    <w:p w14:paraId="1D32C3D6" w14:textId="73E96BC1" w:rsidR="00E33213" w:rsidRDefault="00E33213" w:rsidP="008571DF">
      <w:pPr>
        <w:pStyle w:val="Heading2"/>
        <w:numPr>
          <w:ilvl w:val="0"/>
          <w:numId w:val="0"/>
        </w:numPr>
        <w:spacing w:after="120"/>
      </w:pPr>
      <w:bookmarkStart w:id="10" w:name="_Toc4578142"/>
      <w:r>
        <w:t xml:space="preserve">ES.1 </w:t>
      </w:r>
      <w:bookmarkEnd w:id="3"/>
      <w:r w:rsidR="00DA3506">
        <w:t>Resources C</w:t>
      </w:r>
      <w:r>
        <w:t>overed</w:t>
      </w:r>
      <w:bookmarkEnd w:id="4"/>
      <w:bookmarkEnd w:id="5"/>
      <w:bookmarkEnd w:id="6"/>
      <w:bookmarkEnd w:id="7"/>
      <w:bookmarkEnd w:id="8"/>
      <w:bookmarkEnd w:id="9"/>
      <w:bookmarkEnd w:id="10"/>
    </w:p>
    <w:p w14:paraId="45165D52" w14:textId="4F841045" w:rsidR="004A1295" w:rsidRDefault="00546AFB" w:rsidP="004A1295">
      <w:pPr>
        <w:spacing w:after="120"/>
      </w:pPr>
      <w:r>
        <w:t>SmartAC™</w:t>
      </w:r>
      <w:r w:rsidR="004A1295">
        <w:t xml:space="preserve"> is a direct load control</w:t>
      </w:r>
      <w:r w:rsidR="00017319">
        <w:t xml:space="preserve"> central</w:t>
      </w:r>
      <w:r w:rsidR="004A1295">
        <w:t xml:space="preserve"> air conditioner (AC) cycling program for residential customers. </w:t>
      </w:r>
      <w:r w:rsidR="00017319" w:rsidRPr="00017319">
        <w:t>PG&amp;E’s SmartAC</w:t>
      </w:r>
      <w:r w:rsidR="00DC200C">
        <w:rPr>
          <w:rFonts w:cs="Calibri"/>
        </w:rPr>
        <w:t>™</w:t>
      </w:r>
      <w:r w:rsidR="00017319" w:rsidRPr="00017319">
        <w:t xml:space="preserve"> program was integrated into the CAISO wholesale market in program year 2018. </w:t>
      </w:r>
      <w:r w:rsidR="00017319">
        <w:t>SmartAC</w:t>
      </w:r>
      <w:r w:rsidR="00DC200C">
        <w:rPr>
          <w:rFonts w:cs="Calibri"/>
        </w:rPr>
        <w:t>™</w:t>
      </w:r>
      <w:r w:rsidR="00017319">
        <w:t xml:space="preserve"> p</w:t>
      </w:r>
      <w:r w:rsidR="004A1295">
        <w:t xml:space="preserve">rogram participants receive a one-time incentive for allowing PG&amp;E to cycle their AC for up to 6 hours per day </w:t>
      </w:r>
      <w:r w:rsidR="00017319">
        <w:t xml:space="preserve">in response to CAISO market awards, </w:t>
      </w:r>
      <w:r w:rsidR="004A1295">
        <w:t xml:space="preserve">during periods of system or local area emergencies for PG&amp;E capacity, </w:t>
      </w:r>
      <w:r w:rsidR="00017319">
        <w:t xml:space="preserve">or for limited testing </w:t>
      </w:r>
      <w:r w:rsidR="004A1295">
        <w:t xml:space="preserve">for a maximum of 100 hours per summer (May 1 through October 31). </w:t>
      </w:r>
      <w:r w:rsidR="00E84E16">
        <w:t xml:space="preserve">Upon enrollment in </w:t>
      </w:r>
      <w:r>
        <w:t>SmartAC™</w:t>
      </w:r>
      <w:r w:rsidR="00E84E16">
        <w:t xml:space="preserve">, PG&amp;E installs </w:t>
      </w:r>
      <w:r w:rsidR="00017319">
        <w:t>an AC control switch</w:t>
      </w:r>
      <w:r w:rsidR="00E84E16">
        <w:t xml:space="preserve"> on the participant’s </w:t>
      </w:r>
      <w:r w:rsidR="00017319">
        <w:t xml:space="preserve">central AC unit. </w:t>
      </w:r>
      <w:r w:rsidR="00017319" w:rsidRPr="00017319">
        <w:t xml:space="preserve">During program years 2009 through 2013, the program offered switches and programmable communicating thermostats (PCT) to participants, however, the program population primarily consists of switches. </w:t>
      </w:r>
      <w:r w:rsidR="004A1295" w:rsidRPr="00397822">
        <w:t>When events are called, PG&amp;E sends signals to the</w:t>
      </w:r>
      <w:r w:rsidR="00C37DEB">
        <w:t xml:space="preserve"> </w:t>
      </w:r>
      <w:r w:rsidR="004A1295" w:rsidRPr="00397822">
        <w:t>PCTs and switches</w:t>
      </w:r>
      <w:r w:rsidR="00017319">
        <w:t>. As dictated by the tariff, PG&amp;E</w:t>
      </w:r>
      <w:r w:rsidR="00C37DEB">
        <w:t xml:space="preserve"> c</w:t>
      </w:r>
      <w:r w:rsidR="004A1295" w:rsidRPr="00397822">
        <w:t>ycles the AC unit</w:t>
      </w:r>
      <w:r w:rsidR="00C37DEB">
        <w:t xml:space="preserve"> </w:t>
      </w:r>
      <w:r w:rsidR="004A1295" w:rsidRPr="00397822">
        <w:t>for</w:t>
      </w:r>
      <w:r w:rsidR="00017319">
        <w:t xml:space="preserve"> residential customers for approximately</w:t>
      </w:r>
      <w:r w:rsidR="004A1295" w:rsidRPr="00397822">
        <w:t xml:space="preserve"> 50% of the</w:t>
      </w:r>
      <w:r w:rsidR="00017319">
        <w:t xml:space="preserve"> </w:t>
      </w:r>
      <w:r w:rsidR="00C37DEB">
        <w:t>compressor</w:t>
      </w:r>
      <w:r w:rsidR="004A1295" w:rsidRPr="00397822">
        <w:t xml:space="preserve"> run-time</w:t>
      </w:r>
      <w:r w:rsidR="00017319">
        <w:t xml:space="preserve"> during each half-hour</w:t>
      </w:r>
      <w:r w:rsidR="004A1295" w:rsidRPr="00397822">
        <w:t>. Both PCTs and switches are cycled using adaptive algorithms.</w:t>
      </w:r>
    </w:p>
    <w:p w14:paraId="0606DE2C" w14:textId="40E313DE" w:rsidR="004A1295" w:rsidRDefault="004A1295" w:rsidP="004A1295">
      <w:pPr>
        <w:spacing w:after="120"/>
      </w:pPr>
      <w:r>
        <w:t>In past program years, PG&amp;E has e</w:t>
      </w:r>
      <w:r w:rsidR="00017319">
        <w:t>valuated</w:t>
      </w:r>
      <w:r>
        <w:t xml:space="preserve"> a combination of </w:t>
      </w:r>
      <w:r w:rsidR="00017319">
        <w:t xml:space="preserve">system-wide </w:t>
      </w:r>
      <w:r>
        <w:t xml:space="preserve">serial number </w:t>
      </w:r>
      <w:r w:rsidR="00017319">
        <w:t xml:space="preserve">and Sub-Load Aggregation Point (sub-LAP) </w:t>
      </w:r>
      <w:r>
        <w:t>test events</w:t>
      </w:r>
      <w:r w:rsidR="00017319">
        <w:t xml:space="preserve">. </w:t>
      </w:r>
      <w:r w:rsidR="00017319" w:rsidRPr="00017319">
        <w:t xml:space="preserve">System-wide actual events include all participants and can be initiated based on CAISO or PG&amp;E emergencies. System-wide test events </w:t>
      </w:r>
      <w:r w:rsidR="00E61BA3">
        <w:t xml:space="preserve">call </w:t>
      </w:r>
      <w:r w:rsidR="00017319" w:rsidRPr="00017319">
        <w:t xml:space="preserve">all </w:t>
      </w:r>
      <w:r w:rsidR="00E61BA3">
        <w:t>SmartAC</w:t>
      </w:r>
      <w:r w:rsidR="00DC200C">
        <w:rPr>
          <w:rFonts w:cs="Calibri"/>
        </w:rPr>
        <w:t>™</w:t>
      </w:r>
      <w:r w:rsidR="00E61BA3">
        <w:t xml:space="preserve"> </w:t>
      </w:r>
      <w:r w:rsidR="00017319" w:rsidRPr="00017319">
        <w:t xml:space="preserve">customers </w:t>
      </w:r>
      <w:r w:rsidR="00E61BA3">
        <w:t xml:space="preserve">for the event </w:t>
      </w:r>
      <w:r w:rsidR="00017319" w:rsidRPr="00017319">
        <w:t xml:space="preserve">except one or two control groups. </w:t>
      </w:r>
      <w:r w:rsidR="00E45CE9">
        <w:t>During s</w:t>
      </w:r>
      <w:r w:rsidR="00017319" w:rsidRPr="00017319">
        <w:t>erial events</w:t>
      </w:r>
      <w:r w:rsidR="00E45CE9">
        <w:t>,</w:t>
      </w:r>
      <w:r w:rsidR="00017319" w:rsidRPr="00017319">
        <w:t xml:space="preserve"> </w:t>
      </w:r>
      <w:r>
        <w:t xml:space="preserve">a random sample of </w:t>
      </w:r>
      <w:r w:rsidR="00546AFB">
        <w:t>SmartAC™</w:t>
      </w:r>
      <w:r>
        <w:t xml:space="preserve"> customers throughout the service territory are called for the event based on the</w:t>
      </w:r>
      <w:r w:rsidR="00E45CE9">
        <w:t xml:space="preserve"> factory programmed</w:t>
      </w:r>
      <w:r>
        <w:t xml:space="preserve"> serial number of their installed device</w:t>
      </w:r>
      <w:r w:rsidR="00E45CE9">
        <w:t xml:space="preserve">. </w:t>
      </w:r>
      <w:r w:rsidR="00A77E77">
        <w:t xml:space="preserve">During </w:t>
      </w:r>
      <w:r w:rsidR="002B6016">
        <w:t>s</w:t>
      </w:r>
      <w:r>
        <w:t>ub-LAP level events</w:t>
      </w:r>
      <w:r w:rsidR="00E45CE9">
        <w:t xml:space="preserve"> </w:t>
      </w:r>
      <w:r>
        <w:t xml:space="preserve">all </w:t>
      </w:r>
      <w:r w:rsidR="00546AFB">
        <w:t>SmartAC™</w:t>
      </w:r>
      <w:r>
        <w:t xml:space="preserve"> participants</w:t>
      </w:r>
      <w:r w:rsidR="00427BA4">
        <w:t xml:space="preserve"> with devices that are associated w</w:t>
      </w:r>
      <w:r>
        <w:t xml:space="preserve">ith a given sub-LAP are called for the event. </w:t>
      </w:r>
      <w:r w:rsidR="00427BA4">
        <w:t xml:space="preserve">Historically, </w:t>
      </w:r>
      <w:r w:rsidR="00CC0B53">
        <w:t>“</w:t>
      </w:r>
      <w:r w:rsidR="00427BA4">
        <w:t>addressing</w:t>
      </w:r>
      <w:r w:rsidR="00CC0B53">
        <w:t>”</w:t>
      </w:r>
      <w:r w:rsidR="00427BA4">
        <w:t xml:space="preserve"> was used to associate new SmartAC</w:t>
      </w:r>
      <w:r w:rsidR="00DC200C">
        <w:rPr>
          <w:rFonts w:cs="Calibri"/>
        </w:rPr>
        <w:t>™</w:t>
      </w:r>
      <w:r w:rsidR="00427BA4">
        <w:t xml:space="preserve"> devices with the appropriate sub-LAP by sending </w:t>
      </w:r>
      <w:r w:rsidR="00CC0B53">
        <w:t>a</w:t>
      </w:r>
      <w:r w:rsidR="00427BA4">
        <w:t xml:space="preserve"> signal</w:t>
      </w:r>
      <w:r w:rsidR="00CC0B53">
        <w:t xml:space="preserve"> to the device</w:t>
      </w:r>
      <w:r w:rsidR="00427BA4">
        <w:t xml:space="preserve"> after installation.</w:t>
      </w:r>
      <w:r w:rsidR="00CC0B53">
        <w:t xml:space="preserve"> </w:t>
      </w:r>
      <w:r>
        <w:t>This year,</w:t>
      </w:r>
      <w:r w:rsidR="00E45CE9">
        <w:t xml:space="preserve"> because of CAISO wholesale market integration of the SmartAC</w:t>
      </w:r>
      <w:r w:rsidR="00DC200C">
        <w:rPr>
          <w:rFonts w:cs="Calibri"/>
        </w:rPr>
        <w:t>™</w:t>
      </w:r>
      <w:r w:rsidR="00E45CE9">
        <w:t xml:space="preserve"> program, </w:t>
      </w:r>
      <w:r>
        <w:t>only sub-LAP-level events were called</w:t>
      </w:r>
      <w:r w:rsidR="00E45CE9">
        <w:t xml:space="preserve">. </w:t>
      </w:r>
      <w:r w:rsidR="00C37DEB">
        <w:t>One</w:t>
      </w:r>
      <w:r>
        <w:t xml:space="preserve"> of the events </w:t>
      </w:r>
      <w:r w:rsidR="00E84E16">
        <w:t>(</w:t>
      </w:r>
      <w:r>
        <w:t>July 27</w:t>
      </w:r>
      <w:r w:rsidR="00C37DEB">
        <w:t>, 2018)</w:t>
      </w:r>
      <w:r>
        <w:t xml:space="preserve"> w</w:t>
      </w:r>
      <w:r w:rsidR="00C37DEB">
        <w:t>as triggered by a</w:t>
      </w:r>
      <w:r>
        <w:t xml:space="preserve"> local emergenc</w:t>
      </w:r>
      <w:r w:rsidR="00C37DEB">
        <w:t>y</w:t>
      </w:r>
      <w:r>
        <w:t xml:space="preserve">, while the remaining </w:t>
      </w:r>
      <w:r w:rsidR="00C37DEB">
        <w:t>eight</w:t>
      </w:r>
      <w:r>
        <w:t xml:space="preserve"> events were CAISO market awards. There were three </w:t>
      </w:r>
      <w:r w:rsidR="00546AFB">
        <w:t>SmartAC™</w:t>
      </w:r>
      <w:r>
        <w:t xml:space="preserve"> events </w:t>
      </w:r>
      <w:r w:rsidR="00E84E16">
        <w:t>(</w:t>
      </w:r>
      <w:r>
        <w:t>July 24, 25, and 26</w:t>
      </w:r>
      <w:r w:rsidR="00E84E16">
        <w:t>) during which</w:t>
      </w:r>
      <w:r>
        <w:t xml:space="preserve"> </w:t>
      </w:r>
      <w:r w:rsidR="008F6AC5">
        <w:t xml:space="preserve">the event hours </w:t>
      </w:r>
      <w:r w:rsidR="00813F78">
        <w:t>differed</w:t>
      </w:r>
      <w:r w:rsidR="008F6AC5">
        <w:t xml:space="preserve"> across </w:t>
      </w:r>
      <w:r>
        <w:t xml:space="preserve">sub-LAPs. Otherwise, sub-LAPs that were called for the same event were called for the same event hours. </w:t>
      </w:r>
    </w:p>
    <w:p w14:paraId="782ADC50" w14:textId="77777777" w:rsidR="004A1295" w:rsidRDefault="004A1295" w:rsidP="004A1295">
      <w:pPr>
        <w:spacing w:after="120"/>
      </w:pPr>
      <w:r>
        <w:t>The primary goals of the evaluation include:</w:t>
      </w:r>
    </w:p>
    <w:p w14:paraId="1F52E452" w14:textId="77777777" w:rsidR="004A1295" w:rsidRDefault="004A1295" w:rsidP="00D22D3B">
      <w:pPr>
        <w:numPr>
          <w:ilvl w:val="0"/>
          <w:numId w:val="6"/>
        </w:numPr>
        <w:spacing w:after="120"/>
      </w:pPr>
      <w:r>
        <w:t xml:space="preserve">Estimate hourly </w:t>
      </w:r>
      <w:r>
        <w:rPr>
          <w:i/>
        </w:rPr>
        <w:t>ex-post</w:t>
      </w:r>
      <w:r>
        <w:t xml:space="preserve"> load impacts for the 2018 program year, including:</w:t>
      </w:r>
    </w:p>
    <w:p w14:paraId="4A0DEFFC" w14:textId="36D9BA11" w:rsidR="004A1295" w:rsidRDefault="004A1295" w:rsidP="00D22D3B">
      <w:pPr>
        <w:numPr>
          <w:ilvl w:val="1"/>
          <w:numId w:val="6"/>
        </w:numPr>
        <w:spacing w:after="120"/>
      </w:pPr>
      <w:r>
        <w:t>Hourly and average daily load impacts for each event</w:t>
      </w:r>
      <w:r w:rsidR="00E84E16">
        <w:t>;</w:t>
      </w:r>
    </w:p>
    <w:p w14:paraId="13BC7A5B" w14:textId="6A4A9FBA" w:rsidR="004A1295" w:rsidRDefault="004A1295" w:rsidP="00D22D3B">
      <w:pPr>
        <w:numPr>
          <w:ilvl w:val="1"/>
          <w:numId w:val="6"/>
        </w:numPr>
        <w:spacing w:after="120"/>
      </w:pPr>
      <w:r>
        <w:t>The distribution of hourly and average daily load impacts by customer segment, including: sub-LAP, CARE/non-CARE customers, net-metering solar customers (NEM), housing type (</w:t>
      </w:r>
      <w:r w:rsidRPr="00734479">
        <w:rPr>
          <w:i/>
        </w:rPr>
        <w:t>i.e.</w:t>
      </w:r>
      <w:r w:rsidR="008E5119">
        <w:t>,</w:t>
      </w:r>
      <w:r>
        <w:t xml:space="preserve"> single family vs. multifamily customers), AC usage intensity, device type (</w:t>
      </w:r>
      <w:r w:rsidRPr="00734479">
        <w:rPr>
          <w:i/>
        </w:rPr>
        <w:t>i.e.</w:t>
      </w:r>
      <w:r w:rsidR="008E5119">
        <w:t>,</w:t>
      </w:r>
      <w:r>
        <w:t xml:space="preserve"> ExpressStat, Utilipro,</w:t>
      </w:r>
      <w:r w:rsidR="00E755E6">
        <w:t xml:space="preserve"> Gen 1,</w:t>
      </w:r>
      <w:r>
        <w:t xml:space="preserve"> and Gen </w:t>
      </w:r>
      <w:r w:rsidR="00E755E6">
        <w:t>2</w:t>
      </w:r>
      <w:r>
        <w:t>), customers with multiple devices, and by marketing cohort</w:t>
      </w:r>
      <w:r w:rsidR="00E84E16">
        <w:t>;</w:t>
      </w:r>
    </w:p>
    <w:p w14:paraId="40AEA670" w14:textId="15CCA22D" w:rsidR="004A1295" w:rsidRDefault="004A1295" w:rsidP="00D22D3B">
      <w:pPr>
        <w:numPr>
          <w:ilvl w:val="1"/>
          <w:numId w:val="6"/>
        </w:numPr>
        <w:spacing w:after="120"/>
      </w:pPr>
      <w:r>
        <w:t xml:space="preserve">Load Impact estimates for </w:t>
      </w:r>
      <w:r w:rsidR="00546AFB">
        <w:t>SmartAC™</w:t>
      </w:r>
      <w:r>
        <w:t xml:space="preserve">-only customers as compared to customers who are dually enrolled in </w:t>
      </w:r>
      <w:r w:rsidR="00546AFB">
        <w:t>SmartAC™</w:t>
      </w:r>
      <w:r>
        <w:t xml:space="preserve"> and SmartRate</w:t>
      </w:r>
      <w:r>
        <w:rPr>
          <w:rFonts w:cs="Calibri"/>
        </w:rPr>
        <w:t>™</w:t>
      </w:r>
      <w:r w:rsidR="00E84E16">
        <w:rPr>
          <w:rFonts w:cs="Calibri"/>
        </w:rPr>
        <w:t>;</w:t>
      </w:r>
    </w:p>
    <w:p w14:paraId="0733E511" w14:textId="1A6BAD55" w:rsidR="004A1295" w:rsidRDefault="004A1295" w:rsidP="00D22D3B">
      <w:pPr>
        <w:numPr>
          <w:ilvl w:val="1"/>
          <w:numId w:val="6"/>
        </w:numPr>
        <w:spacing w:after="120"/>
      </w:pPr>
      <w:r>
        <w:t>The opt-out rate by customer segment</w:t>
      </w:r>
      <w:r w:rsidR="00E84E16">
        <w:t>; and</w:t>
      </w:r>
    </w:p>
    <w:p w14:paraId="6CE77080" w14:textId="2FE55259" w:rsidR="004A1295" w:rsidRDefault="004A1295" w:rsidP="00D22D3B">
      <w:pPr>
        <w:numPr>
          <w:ilvl w:val="1"/>
          <w:numId w:val="6"/>
        </w:numPr>
        <w:spacing w:after="120"/>
      </w:pPr>
      <w:r>
        <w:t>The persistence of load reductions across event-hours for multiple hour events</w:t>
      </w:r>
      <w:r w:rsidR="00E84E16">
        <w:t>.</w:t>
      </w:r>
    </w:p>
    <w:p w14:paraId="05D3C89A" w14:textId="40C98390" w:rsidR="004A1295" w:rsidRDefault="004A1295" w:rsidP="00D22D3B">
      <w:pPr>
        <w:numPr>
          <w:ilvl w:val="0"/>
          <w:numId w:val="6"/>
        </w:numPr>
        <w:spacing w:after="120"/>
      </w:pPr>
      <w:r>
        <w:t xml:space="preserve">Produce </w:t>
      </w:r>
      <w:r>
        <w:rPr>
          <w:i/>
        </w:rPr>
        <w:t>ex-ante</w:t>
      </w:r>
      <w:r>
        <w:t xml:space="preserve"> load impact forecasts for 2019-2029 by</w:t>
      </w:r>
      <w:r w:rsidR="00E45CE9">
        <w:t xml:space="preserve"> local capacity area</w:t>
      </w:r>
      <w:r>
        <w:t xml:space="preserve"> </w:t>
      </w:r>
      <w:r w:rsidR="00E45CE9">
        <w:t>(</w:t>
      </w:r>
      <w:r>
        <w:t>LCA</w:t>
      </w:r>
      <w:r w:rsidR="00E45CE9">
        <w:t>)</w:t>
      </w:r>
      <w:r>
        <w:t xml:space="preserve"> on an aggregate and per customer basis for a typical event day and the monthly system peak load day for May through October. Forecasts are based on the following four sets of weather conditions:</w:t>
      </w:r>
    </w:p>
    <w:p w14:paraId="32464DB4" w14:textId="77777777" w:rsidR="00BD774C" w:rsidRDefault="00BD774C" w:rsidP="00BD774C">
      <w:pPr>
        <w:numPr>
          <w:ilvl w:val="1"/>
          <w:numId w:val="6"/>
        </w:numPr>
        <w:spacing w:after="120"/>
      </w:pPr>
      <w:r>
        <w:t>PG&amp;E’s peaking conditions in a 1-in-2 weather year;</w:t>
      </w:r>
    </w:p>
    <w:p w14:paraId="4E1FB467" w14:textId="77777777" w:rsidR="00BD774C" w:rsidRDefault="00BD774C" w:rsidP="00BD774C">
      <w:pPr>
        <w:numPr>
          <w:ilvl w:val="1"/>
          <w:numId w:val="6"/>
        </w:numPr>
        <w:spacing w:after="120"/>
      </w:pPr>
      <w:r>
        <w:t>PG&amp;E’s peaking conditions in a 1-in-10 weather year;</w:t>
      </w:r>
    </w:p>
    <w:p w14:paraId="3158AE3B" w14:textId="77777777" w:rsidR="00BD774C" w:rsidRDefault="00BD774C" w:rsidP="00BD774C">
      <w:pPr>
        <w:numPr>
          <w:ilvl w:val="1"/>
          <w:numId w:val="6"/>
        </w:numPr>
        <w:spacing w:after="120"/>
      </w:pPr>
      <w:r>
        <w:t>CAISO peaking conditions in a 1-in-2 weather year; and</w:t>
      </w:r>
    </w:p>
    <w:p w14:paraId="0E0F5DE0" w14:textId="7875737E" w:rsidR="004A1295" w:rsidRDefault="00BD774C" w:rsidP="00D22D3B">
      <w:pPr>
        <w:numPr>
          <w:ilvl w:val="1"/>
          <w:numId w:val="6"/>
        </w:numPr>
        <w:spacing w:after="120"/>
      </w:pPr>
      <w:r>
        <w:t>CAISO peaking conditions in a 1-in-10 weather year.</w:t>
      </w:r>
    </w:p>
    <w:p w14:paraId="0444C01F" w14:textId="6A3E7132" w:rsidR="00E33213" w:rsidRDefault="00E33213" w:rsidP="008571DF">
      <w:pPr>
        <w:pStyle w:val="Heading2"/>
        <w:numPr>
          <w:ilvl w:val="0"/>
          <w:numId w:val="0"/>
        </w:numPr>
        <w:spacing w:after="120"/>
      </w:pPr>
      <w:bookmarkStart w:id="11" w:name="_Toc206570215"/>
      <w:bookmarkStart w:id="12" w:name="_Toc257708583"/>
      <w:bookmarkStart w:id="13" w:name="_Toc289180057"/>
      <w:bookmarkStart w:id="14" w:name="_Toc326224614"/>
      <w:bookmarkStart w:id="15" w:name="_Toc352235829"/>
      <w:bookmarkStart w:id="16" w:name="_Toc383774914"/>
      <w:bookmarkStart w:id="17" w:name="_Toc413586708"/>
      <w:bookmarkStart w:id="18" w:name="_Toc4578143"/>
      <w:r>
        <w:t>ES.2 Evaluation Methodolog</w:t>
      </w:r>
      <w:r w:rsidR="000F0BD6">
        <w:t>ies</w:t>
      </w:r>
      <w:bookmarkEnd w:id="11"/>
      <w:bookmarkEnd w:id="12"/>
      <w:bookmarkEnd w:id="13"/>
      <w:bookmarkEnd w:id="14"/>
      <w:bookmarkEnd w:id="15"/>
      <w:bookmarkEnd w:id="16"/>
      <w:bookmarkEnd w:id="17"/>
      <w:bookmarkEnd w:id="18"/>
    </w:p>
    <w:p w14:paraId="58509F36" w14:textId="0447A49B" w:rsidR="008042C6" w:rsidRDefault="008042C6" w:rsidP="008042C6">
      <w:pPr>
        <w:spacing w:after="120"/>
      </w:pPr>
      <w:r>
        <w:t xml:space="preserve">In this evaluation, we estimate load impacts by comparing </w:t>
      </w:r>
      <w:r w:rsidR="00546AFB">
        <w:t>SmartAC™</w:t>
      </w:r>
      <w:r>
        <w:t xml:space="preserve"> customer loads to that of a quasi-experimental matched control group on event days, net of the differences in loads on non-event days with comparable weather conditions. The eligible control-group customers consist of residential customers who are not enrolled in </w:t>
      </w:r>
      <w:r w:rsidR="00546AFB">
        <w:t>SmartAC™</w:t>
      </w:r>
      <w:r>
        <w:t xml:space="preserve"> or SmartRate</w:t>
      </w:r>
      <w:r>
        <w:rPr>
          <w:rFonts w:cs="Calibri"/>
        </w:rPr>
        <w:t>™</w:t>
      </w:r>
      <w:r>
        <w:t>. Matched control group customers are selected based on the similarity of available customer characteristics (</w:t>
      </w:r>
      <w:r w:rsidRPr="00734479">
        <w:rPr>
          <w:i/>
        </w:rPr>
        <w:t>e.g.</w:t>
      </w:r>
      <w:r w:rsidR="008E5119">
        <w:t>,</w:t>
      </w:r>
      <w:r>
        <w:t xml:space="preserve"> sub-LAP, AC usage, CARE status, NEM status) as well as usage patterns on non-event days. </w:t>
      </w:r>
    </w:p>
    <w:p w14:paraId="47CF1C8F" w14:textId="688EAFA1" w:rsidR="008042C6" w:rsidRDefault="008042C6" w:rsidP="008042C6">
      <w:pPr>
        <w:spacing w:after="120"/>
      </w:pPr>
      <w:r>
        <w:t xml:space="preserve">We then estimate event-day load impacts using a regression-based difference-in-differences method, which produces estimates of standard errors, and thus confidence intervals around the estimated event-hour or event-day usage reductions. This approach also adjusts for differences in usage between the </w:t>
      </w:r>
      <w:r w:rsidR="00546AFB">
        <w:t>SmartAC™</w:t>
      </w:r>
      <w:r>
        <w:t xml:space="preserve"> customers and the matched control group on event-like non-event days, thus representing a difference-in-differences evaluation approach.</w:t>
      </w:r>
    </w:p>
    <w:p w14:paraId="776E6518" w14:textId="22BD450E" w:rsidR="00E33213" w:rsidRPr="008B6F89" w:rsidRDefault="00E33213" w:rsidP="008571DF">
      <w:pPr>
        <w:pStyle w:val="Heading2"/>
        <w:numPr>
          <w:ilvl w:val="0"/>
          <w:numId w:val="0"/>
        </w:numPr>
        <w:spacing w:after="120"/>
      </w:pPr>
      <w:bookmarkStart w:id="19" w:name="_Toc206570217"/>
      <w:bookmarkStart w:id="20" w:name="_Toc257708584"/>
      <w:bookmarkStart w:id="21" w:name="_Toc289180058"/>
      <w:bookmarkStart w:id="22" w:name="_Toc326224615"/>
      <w:bookmarkStart w:id="23" w:name="_Toc352235830"/>
      <w:bookmarkStart w:id="24" w:name="_Toc383774915"/>
      <w:bookmarkStart w:id="25" w:name="_Toc413586709"/>
      <w:bookmarkStart w:id="26" w:name="_Toc4578144"/>
      <w:r w:rsidRPr="008B6F89">
        <w:t xml:space="preserve">ES.3 </w:t>
      </w:r>
      <w:bookmarkEnd w:id="19"/>
      <w:r w:rsidRPr="008B6F89">
        <w:t>Ex-</w:t>
      </w:r>
      <w:r w:rsidR="00171887" w:rsidRPr="008B6F89">
        <w:t>P</w:t>
      </w:r>
      <w:r w:rsidRPr="008B6F89">
        <w:t>ost Load Impacts</w:t>
      </w:r>
      <w:bookmarkEnd w:id="20"/>
      <w:bookmarkEnd w:id="21"/>
      <w:bookmarkEnd w:id="22"/>
      <w:bookmarkEnd w:id="23"/>
      <w:bookmarkEnd w:id="24"/>
      <w:bookmarkEnd w:id="25"/>
      <w:bookmarkEnd w:id="26"/>
    </w:p>
    <w:p w14:paraId="22391C80" w14:textId="06A74161" w:rsidR="00036580" w:rsidRPr="008B6F89" w:rsidRDefault="00086149" w:rsidP="00036580">
      <w:r w:rsidRPr="008B6F89">
        <w:t>Figure ES.1 s</w:t>
      </w:r>
      <w:r w:rsidR="00D922BB" w:rsidRPr="008B6F89">
        <w:t xml:space="preserve">ummarizes the </w:t>
      </w:r>
      <w:r w:rsidR="00D922BB" w:rsidRPr="008B6F89">
        <w:rPr>
          <w:i/>
        </w:rPr>
        <w:t>ex-post</w:t>
      </w:r>
      <w:r w:rsidRPr="008B6F89">
        <w:t xml:space="preserve"> </w:t>
      </w:r>
      <w:r w:rsidR="00D922BB" w:rsidRPr="008B6F89">
        <w:t xml:space="preserve">load impact </w:t>
      </w:r>
      <w:r w:rsidRPr="008B6F89">
        <w:t>estimates</w:t>
      </w:r>
      <w:r w:rsidR="008B6F89" w:rsidRPr="008B6F89">
        <w:t xml:space="preserve"> (in kWh/customer/hour)</w:t>
      </w:r>
      <w:r w:rsidRPr="008B6F89">
        <w:t xml:space="preserve"> f</w:t>
      </w:r>
      <w:r w:rsidR="00D922BB" w:rsidRPr="008B6F89">
        <w:t>or</w:t>
      </w:r>
      <w:r w:rsidRPr="008B6F89">
        <w:t xml:space="preserve"> the average event-hour </w:t>
      </w:r>
      <w:r w:rsidR="00D922BB" w:rsidRPr="008B6F89">
        <w:t>for all</w:t>
      </w:r>
      <w:r w:rsidR="008B6F89">
        <w:t xml:space="preserve"> sub-LAPs called for all</w:t>
      </w:r>
      <w:r w:rsidR="00D922BB" w:rsidRPr="008B6F89">
        <w:t xml:space="preserve"> nine </w:t>
      </w:r>
      <w:r w:rsidR="00546AFB">
        <w:t>SmartAC™</w:t>
      </w:r>
      <w:r w:rsidR="008B6F89" w:rsidRPr="008B6F89">
        <w:t xml:space="preserve"> </w:t>
      </w:r>
      <w:r w:rsidR="00D922BB" w:rsidRPr="008B6F89">
        <w:t>events</w:t>
      </w:r>
      <w:r w:rsidRPr="008B6F89">
        <w:t>, along with an 80 percent confidence interval (corresponding to the 10</w:t>
      </w:r>
      <w:r w:rsidRPr="008B6F89">
        <w:rPr>
          <w:vertAlign w:val="superscript"/>
        </w:rPr>
        <w:t>th</w:t>
      </w:r>
      <w:r w:rsidRPr="008B6F89">
        <w:t xml:space="preserve"> and 90</w:t>
      </w:r>
      <w:r w:rsidRPr="008B6F89">
        <w:rPr>
          <w:vertAlign w:val="superscript"/>
        </w:rPr>
        <w:t>th</w:t>
      </w:r>
      <w:r w:rsidRPr="008B6F89">
        <w:t xml:space="preserve"> percentile uncertainty-adjusted load impacts)</w:t>
      </w:r>
      <w:r w:rsidR="00331FF4" w:rsidRPr="008B6F89">
        <w:t>. The</w:t>
      </w:r>
      <w:r w:rsidR="008B6F89" w:rsidRPr="008B6F89">
        <w:t xml:space="preserve">re were </w:t>
      </w:r>
      <w:r w:rsidRPr="008B6F89">
        <w:rPr>
          <w:szCs w:val="32"/>
        </w:rPr>
        <w:t xml:space="preserve">statistically significant load reductions on each of the </w:t>
      </w:r>
      <w:r w:rsidR="008B6F89" w:rsidRPr="008B6F89">
        <w:rPr>
          <w:szCs w:val="32"/>
        </w:rPr>
        <w:t>9 sub-LAP</w:t>
      </w:r>
      <w:r w:rsidRPr="008B6F89">
        <w:rPr>
          <w:szCs w:val="32"/>
        </w:rPr>
        <w:t xml:space="preserve"> events, ranging from </w:t>
      </w:r>
      <w:r w:rsidR="008B6F89" w:rsidRPr="008B6F89">
        <w:rPr>
          <w:szCs w:val="32"/>
        </w:rPr>
        <w:t>0.0</w:t>
      </w:r>
      <w:r w:rsidR="008C2CE7">
        <w:rPr>
          <w:szCs w:val="32"/>
        </w:rPr>
        <w:t>5</w:t>
      </w:r>
      <w:r w:rsidRPr="008B6F89">
        <w:rPr>
          <w:szCs w:val="32"/>
        </w:rPr>
        <w:t xml:space="preserve"> to </w:t>
      </w:r>
      <w:r w:rsidR="008B6F89" w:rsidRPr="008B6F89">
        <w:rPr>
          <w:szCs w:val="32"/>
        </w:rPr>
        <w:t>0.</w:t>
      </w:r>
      <w:r w:rsidRPr="008B6F89">
        <w:rPr>
          <w:szCs w:val="32"/>
        </w:rPr>
        <w:t>4</w:t>
      </w:r>
      <w:r w:rsidR="008C2CE7">
        <w:rPr>
          <w:szCs w:val="32"/>
        </w:rPr>
        <w:t>3</w:t>
      </w:r>
      <w:r w:rsidRPr="008B6F89">
        <w:rPr>
          <w:szCs w:val="32"/>
        </w:rPr>
        <w:t xml:space="preserve"> </w:t>
      </w:r>
      <w:r w:rsidR="008B6F89" w:rsidRPr="008B6F89">
        <w:rPr>
          <w:szCs w:val="32"/>
        </w:rPr>
        <w:t>k</w:t>
      </w:r>
      <w:r w:rsidRPr="008B6F89">
        <w:rPr>
          <w:szCs w:val="32"/>
        </w:rPr>
        <w:t>Wh</w:t>
      </w:r>
      <w:r w:rsidR="008B6F89" w:rsidRPr="008B6F89">
        <w:rPr>
          <w:szCs w:val="32"/>
        </w:rPr>
        <w:t>/customer</w:t>
      </w:r>
      <w:r w:rsidRPr="008B6F89">
        <w:rPr>
          <w:szCs w:val="32"/>
        </w:rPr>
        <w:t xml:space="preserve">/hour. The </w:t>
      </w:r>
      <w:r w:rsidR="008B6F89">
        <w:rPr>
          <w:szCs w:val="32"/>
        </w:rPr>
        <w:t>significantly lower load impacts on July 27</w:t>
      </w:r>
      <w:r w:rsidR="008B6F89" w:rsidRPr="008B6F89">
        <w:rPr>
          <w:szCs w:val="32"/>
          <w:vertAlign w:val="superscript"/>
        </w:rPr>
        <w:t>th</w:t>
      </w:r>
      <w:r w:rsidR="008B6F89">
        <w:rPr>
          <w:szCs w:val="32"/>
        </w:rPr>
        <w:t xml:space="preserve"> are for</w:t>
      </w:r>
      <w:r w:rsidR="00C37DEB">
        <w:rPr>
          <w:szCs w:val="32"/>
        </w:rPr>
        <w:t xml:space="preserve"> an</w:t>
      </w:r>
      <w:r w:rsidR="008B6F89">
        <w:rPr>
          <w:szCs w:val="32"/>
        </w:rPr>
        <w:t xml:space="preserve"> event called </w:t>
      </w:r>
      <w:r w:rsidR="008C2CE7">
        <w:rPr>
          <w:szCs w:val="32"/>
        </w:rPr>
        <w:t xml:space="preserve">in PGNC only </w:t>
      </w:r>
      <w:r w:rsidR="008B6F89">
        <w:rPr>
          <w:szCs w:val="32"/>
        </w:rPr>
        <w:t>due to</w:t>
      </w:r>
      <w:r w:rsidR="00C37DEB">
        <w:rPr>
          <w:szCs w:val="32"/>
        </w:rPr>
        <w:t xml:space="preserve"> a</w:t>
      </w:r>
      <w:r w:rsidR="008B6F89">
        <w:rPr>
          <w:szCs w:val="32"/>
        </w:rPr>
        <w:t xml:space="preserve"> transmission emergenc</w:t>
      </w:r>
      <w:r w:rsidR="00C37DEB">
        <w:rPr>
          <w:szCs w:val="32"/>
        </w:rPr>
        <w:t>y</w:t>
      </w:r>
      <w:r w:rsidR="008B6F89">
        <w:rPr>
          <w:szCs w:val="32"/>
        </w:rPr>
        <w:t xml:space="preserve">. This sub-LAP tends </w:t>
      </w:r>
      <w:r w:rsidR="00733FD4">
        <w:rPr>
          <w:szCs w:val="32"/>
        </w:rPr>
        <w:t>to provide lower</w:t>
      </w:r>
      <w:r w:rsidR="008B6F89">
        <w:rPr>
          <w:szCs w:val="32"/>
        </w:rPr>
        <w:t xml:space="preserve"> average per</w:t>
      </w:r>
      <w:r w:rsidR="00733FD4">
        <w:rPr>
          <w:szCs w:val="32"/>
        </w:rPr>
        <w:t>-</w:t>
      </w:r>
      <w:r w:rsidR="008B6F89">
        <w:rPr>
          <w:szCs w:val="32"/>
        </w:rPr>
        <w:t>customer load impacts relative to other sub-LAPs.</w:t>
      </w:r>
      <w:r w:rsidR="008C2CE7">
        <w:rPr>
          <w:szCs w:val="32"/>
        </w:rPr>
        <w:t xml:space="preserve"> Moreover, the event on July 27</w:t>
      </w:r>
      <w:r w:rsidR="008C2CE7" w:rsidRPr="008C2CE7">
        <w:rPr>
          <w:szCs w:val="32"/>
          <w:vertAlign w:val="superscript"/>
        </w:rPr>
        <w:t>th</w:t>
      </w:r>
      <w:r w:rsidR="008C2CE7">
        <w:rPr>
          <w:szCs w:val="32"/>
        </w:rPr>
        <w:t xml:space="preserve"> had much later event hours (7 to 1</w:t>
      </w:r>
      <w:r w:rsidR="00C27485">
        <w:rPr>
          <w:szCs w:val="32"/>
        </w:rPr>
        <w:t>1:59</w:t>
      </w:r>
      <w:r w:rsidR="008C2CE7">
        <w:rPr>
          <w:szCs w:val="32"/>
        </w:rPr>
        <w:t xml:space="preserve"> </w:t>
      </w:r>
      <w:r w:rsidR="00C27485">
        <w:rPr>
          <w:szCs w:val="32"/>
        </w:rPr>
        <w:t>p</w:t>
      </w:r>
      <w:r w:rsidR="008C2CE7">
        <w:rPr>
          <w:szCs w:val="32"/>
        </w:rPr>
        <w:t>.m.) compared to the other events, which typically run from late afternoon through early evening.</w:t>
      </w:r>
    </w:p>
    <w:p w14:paraId="47A8E10B" w14:textId="77777777" w:rsidR="00D922BB" w:rsidRPr="008042C6" w:rsidRDefault="00D922BB" w:rsidP="00036580">
      <w:pPr>
        <w:rPr>
          <w:highlight w:val="yellow"/>
        </w:rPr>
      </w:pPr>
    </w:p>
    <w:p w14:paraId="6B3D6A61" w14:textId="1320C892" w:rsidR="00036580" w:rsidRPr="008B6F89" w:rsidRDefault="00036580" w:rsidP="00036580">
      <w:pPr>
        <w:pStyle w:val="FigureCaption"/>
        <w:rPr>
          <w:i/>
        </w:rPr>
      </w:pPr>
      <w:bookmarkStart w:id="27" w:name="_Toc4578192"/>
      <w:r w:rsidRPr="008B6F89">
        <w:t>Figure ES.1: Average Event-Hour Load Impacts by Event</w:t>
      </w:r>
      <w:bookmarkEnd w:id="27"/>
    </w:p>
    <w:p w14:paraId="46C62E65" w14:textId="593B17BB" w:rsidR="00836BD5" w:rsidRDefault="00836BD5" w:rsidP="008571DF">
      <w:pPr>
        <w:jc w:val="center"/>
        <w:rPr>
          <w:highlight w:val="yellow"/>
        </w:rPr>
      </w:pPr>
      <w:r>
        <w:rPr>
          <w:noProof/>
        </w:rPr>
        <w:drawing>
          <wp:inline distT="0" distB="0" distL="0" distR="0" wp14:anchorId="4B0A56CC" wp14:editId="6AC313FF">
            <wp:extent cx="5486400" cy="3985895"/>
            <wp:effectExtent l="0" t="0" r="0" b="0"/>
            <wp:docPr id="5" name="Chart 5">
              <a:extLst xmlns:a="http://schemas.openxmlformats.org/drawingml/2006/main">
                <a:ext uri="{FF2B5EF4-FFF2-40B4-BE49-F238E27FC236}">
                  <a16:creationId xmlns:a16="http://schemas.microsoft.com/office/drawing/2014/main" id="{4EDBACAE-3527-4398-9070-728B6249B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2DD6E7" w14:textId="5030491A" w:rsidR="002B7828" w:rsidRDefault="002B7828" w:rsidP="00836BD5">
      <w:pPr>
        <w:rPr>
          <w:highlight w:val="yellow"/>
        </w:rPr>
      </w:pPr>
    </w:p>
    <w:p w14:paraId="6126D80A" w14:textId="0E4134E4" w:rsidR="00036580" w:rsidRPr="00935FDC" w:rsidRDefault="00086149" w:rsidP="00036580">
      <w:r w:rsidRPr="00935FDC">
        <w:t>In addition to the</w:t>
      </w:r>
      <w:r w:rsidR="002F63D4" w:rsidRPr="00935FDC">
        <w:t xml:space="preserve"> overall load impacts, we examined patterns of load impacts at the sub-LAP </w:t>
      </w:r>
      <w:r w:rsidR="00BD774C">
        <w:t>level</w:t>
      </w:r>
      <w:r w:rsidR="002F63D4" w:rsidRPr="00935FDC">
        <w:t xml:space="preserve"> by event. We al</w:t>
      </w:r>
      <w:r w:rsidRPr="00935FDC">
        <w:t>s</w:t>
      </w:r>
      <w:r w:rsidR="002F63D4" w:rsidRPr="00935FDC">
        <w:t xml:space="preserve">o examined how load impacts are distributed </w:t>
      </w:r>
      <w:r w:rsidR="00935FDC" w:rsidRPr="00935FDC">
        <w:t xml:space="preserve">across customer </w:t>
      </w:r>
      <w:r w:rsidR="002F63D4" w:rsidRPr="00935FDC">
        <w:t>subgroups</w:t>
      </w:r>
      <w:r w:rsidR="00935FDC" w:rsidRPr="00935FDC">
        <w:t>.</w:t>
      </w:r>
      <w:r w:rsidR="00935FDC">
        <w:t xml:space="preserve"> Our results were largely consistent with previous findings, while new results indicate that load impacts increase with higher customer levels of AC usage.</w:t>
      </w:r>
    </w:p>
    <w:p w14:paraId="632FA59B" w14:textId="2FE799FA" w:rsidR="009E44A8" w:rsidRPr="00F46331" w:rsidRDefault="009E44A8" w:rsidP="008571DF">
      <w:pPr>
        <w:pStyle w:val="Heading2"/>
        <w:numPr>
          <w:ilvl w:val="0"/>
          <w:numId w:val="0"/>
        </w:numPr>
        <w:spacing w:after="120"/>
      </w:pPr>
      <w:bookmarkStart w:id="28" w:name="_Toc289180060"/>
      <w:bookmarkStart w:id="29" w:name="_Toc326224618"/>
      <w:bookmarkStart w:id="30" w:name="_Toc352235833"/>
      <w:bookmarkStart w:id="31" w:name="_Toc383774918"/>
      <w:bookmarkStart w:id="32" w:name="_Toc413586711"/>
      <w:bookmarkStart w:id="33" w:name="_Toc4578145"/>
      <w:r w:rsidRPr="00F46331">
        <w:t xml:space="preserve">ES.4 </w:t>
      </w:r>
      <w:r w:rsidR="00171887" w:rsidRPr="00F46331">
        <w:t>Ex-A</w:t>
      </w:r>
      <w:r w:rsidRPr="00F46331">
        <w:t>nte Load Impacts</w:t>
      </w:r>
      <w:bookmarkEnd w:id="28"/>
      <w:bookmarkEnd w:id="29"/>
      <w:bookmarkEnd w:id="30"/>
      <w:bookmarkEnd w:id="31"/>
      <w:bookmarkEnd w:id="32"/>
      <w:bookmarkEnd w:id="33"/>
    </w:p>
    <w:p w14:paraId="1860B8A0" w14:textId="77777777" w:rsidR="00AF42C7" w:rsidRPr="00F46331" w:rsidRDefault="00AF42C7" w:rsidP="00AF42C7">
      <w:r w:rsidRPr="00F46331">
        <w:rPr>
          <w:i/>
        </w:rPr>
        <w:t>Ex-ante</w:t>
      </w:r>
      <w:r w:rsidRPr="00F46331">
        <w:t xml:space="preserve"> load impacts represent forecasts of load impacts that are expected to occur when program events are called in future years under standardized weather conditions.</w:t>
      </w:r>
    </w:p>
    <w:p w14:paraId="51979675" w14:textId="77777777" w:rsidR="00AF42C7" w:rsidRPr="00F46331" w:rsidRDefault="00AF42C7" w:rsidP="00AF42C7"/>
    <w:p w14:paraId="3F73F985" w14:textId="77777777" w:rsidR="00AF42C7" w:rsidRPr="00F46331" w:rsidRDefault="00AF42C7" w:rsidP="00AF42C7">
      <w:pPr>
        <w:spacing w:after="120"/>
      </w:pPr>
      <w:r w:rsidRPr="00F46331">
        <w:t xml:space="preserve">Estimating </w:t>
      </w:r>
      <w:r w:rsidRPr="00F46331">
        <w:rPr>
          <w:i/>
        </w:rPr>
        <w:t>ex-ante</w:t>
      </w:r>
      <w:r w:rsidRPr="00F46331">
        <w:t xml:space="preserve"> load impacts requires three key pieces of information:  </w:t>
      </w:r>
    </w:p>
    <w:p w14:paraId="5F38362F" w14:textId="2430C185" w:rsidR="00AF42C7" w:rsidRPr="00F46331" w:rsidRDefault="00BE72CD" w:rsidP="00D22D3B">
      <w:pPr>
        <w:numPr>
          <w:ilvl w:val="0"/>
          <w:numId w:val="3"/>
        </w:numPr>
      </w:pPr>
      <w:r>
        <w:t>An</w:t>
      </w:r>
      <w:r w:rsidR="00AF42C7" w:rsidRPr="00F46331">
        <w:t xml:space="preserve"> </w:t>
      </w:r>
      <w:r w:rsidR="00AF42C7" w:rsidRPr="00F46331">
        <w:rPr>
          <w:i/>
        </w:rPr>
        <w:t>enrollment forecast</w:t>
      </w:r>
      <w:r w:rsidR="00AF42C7" w:rsidRPr="00F46331">
        <w:t xml:space="preserve"> </w:t>
      </w:r>
      <w:r>
        <w:t xml:space="preserve">provided by PG&amp;E </w:t>
      </w:r>
      <w:r w:rsidR="00AF42C7" w:rsidRPr="00F46331">
        <w:t>for relevant components of the program, which consists of forecasts of the number of customers by required type of customer</w:t>
      </w:r>
      <w:r w:rsidR="00BD774C">
        <w:t>;</w:t>
      </w:r>
    </w:p>
    <w:p w14:paraId="0A83A53C" w14:textId="067BCD15" w:rsidR="00AF42C7" w:rsidRPr="00F46331" w:rsidRDefault="00AF42C7" w:rsidP="00D22D3B">
      <w:pPr>
        <w:numPr>
          <w:ilvl w:val="0"/>
          <w:numId w:val="3"/>
        </w:numPr>
      </w:pPr>
      <w:r w:rsidRPr="00F46331">
        <w:rPr>
          <w:i/>
        </w:rPr>
        <w:t>Reference loads</w:t>
      </w:r>
      <w:r w:rsidRPr="00F46331">
        <w:t xml:space="preserve"> by customer type, simulated from regression models plus </w:t>
      </w:r>
      <w:r w:rsidR="00BE72CD" w:rsidRPr="00BA49C2">
        <w:rPr>
          <w:i/>
        </w:rPr>
        <w:t>ex-</w:t>
      </w:r>
      <w:r w:rsidRPr="00F46331">
        <w:rPr>
          <w:i/>
        </w:rPr>
        <w:t>ante</w:t>
      </w:r>
      <w:r w:rsidRPr="00F46331">
        <w:t xml:space="preserve"> weather conditions</w:t>
      </w:r>
      <w:r w:rsidR="00BA49C2">
        <w:t xml:space="preserve"> provided by PG&amp;E</w:t>
      </w:r>
      <w:r w:rsidR="00BD774C">
        <w:t>; and</w:t>
      </w:r>
    </w:p>
    <w:p w14:paraId="7766A172" w14:textId="5677430B" w:rsidR="00AF42C7" w:rsidRPr="00F46331" w:rsidRDefault="00AF42C7" w:rsidP="004C54C7">
      <w:pPr>
        <w:numPr>
          <w:ilvl w:val="0"/>
          <w:numId w:val="3"/>
        </w:numPr>
        <w:spacing w:after="120"/>
      </w:pPr>
      <w:r w:rsidRPr="00F46331">
        <w:t xml:space="preserve">A forecast of </w:t>
      </w:r>
      <w:r w:rsidRPr="00F46331">
        <w:rPr>
          <w:i/>
        </w:rPr>
        <w:t>load impacts per customer</w:t>
      </w:r>
      <w:r w:rsidRPr="00F46331">
        <w:t xml:space="preserve">, again by relevant customer type, </w:t>
      </w:r>
      <w:r w:rsidR="00BE72CD">
        <w:t>where the load impact forecast also varies with weather conditions</w:t>
      </w:r>
      <w:r w:rsidRPr="00F46331">
        <w:t xml:space="preserve"> </w:t>
      </w:r>
      <w:r w:rsidR="00BA49C2">
        <w:t xml:space="preserve">and is based on </w:t>
      </w:r>
      <w:r w:rsidR="00BA49C2" w:rsidRPr="00BA49C2">
        <w:rPr>
          <w:i/>
        </w:rPr>
        <w:t xml:space="preserve">ex-post </w:t>
      </w:r>
      <w:r w:rsidR="00BA49C2">
        <w:t>results from current or past program years</w:t>
      </w:r>
      <w:r w:rsidR="00BD774C">
        <w:t>.</w:t>
      </w:r>
    </w:p>
    <w:p w14:paraId="6FEE546E" w14:textId="0204F06B" w:rsidR="00F933AF" w:rsidRDefault="00585C3F" w:rsidP="00F933AF">
      <w:pPr>
        <w:spacing w:after="120"/>
        <w:rPr>
          <w:szCs w:val="32"/>
        </w:rPr>
      </w:pPr>
      <w:r>
        <w:t xml:space="preserve">Figure ES.2 </w:t>
      </w:r>
      <w:r w:rsidR="00AF42C7" w:rsidRPr="00F46331">
        <w:t>summarize</w:t>
      </w:r>
      <w:r>
        <w:t>s</w:t>
      </w:r>
      <w:r w:rsidR="00AF42C7" w:rsidRPr="00F46331">
        <w:t xml:space="preserve"> the </w:t>
      </w:r>
      <w:r w:rsidR="00AF42C7" w:rsidRPr="00F46331">
        <w:rPr>
          <w:i/>
        </w:rPr>
        <w:t>ex-ante</w:t>
      </w:r>
      <w:r w:rsidR="00AF42C7" w:rsidRPr="00F46331">
        <w:t xml:space="preserve"> load impacts for </w:t>
      </w:r>
      <w:r w:rsidR="00546AFB">
        <w:t>SmartAC™</w:t>
      </w:r>
      <w:r w:rsidR="00AF42C7" w:rsidRPr="00F46331">
        <w:t xml:space="preserve"> customers</w:t>
      </w:r>
      <w:r>
        <w:t xml:space="preserve"> by month and weather scenario</w:t>
      </w:r>
      <w:r w:rsidR="00AF42C7" w:rsidRPr="00F46331">
        <w:t>. In each case, the results reflect the</w:t>
      </w:r>
      <w:r>
        <w:t xml:space="preserve"> average</w:t>
      </w:r>
      <w:r w:rsidR="00AF42C7" w:rsidRPr="00F46331">
        <w:t xml:space="preserve"> </w:t>
      </w:r>
      <w:r>
        <w:t xml:space="preserve">aggregate </w:t>
      </w:r>
      <w:r w:rsidR="00AF42C7" w:rsidRPr="00F46331">
        <w:t xml:space="preserve">load impacts during the Resource Adequacy (RA) window </w:t>
      </w:r>
      <w:r w:rsidR="00BD774C">
        <w:t>of each forecast year. (Forecast enrollment does not change from 2019 through 2029.)</w:t>
      </w:r>
      <w:r w:rsidR="00AF42C7" w:rsidRPr="00F46331">
        <w:t xml:space="preserve"> </w:t>
      </w:r>
      <w:r w:rsidRPr="00F46331">
        <w:t xml:space="preserve">For each </w:t>
      </w:r>
      <w:r>
        <w:t>month</w:t>
      </w:r>
      <w:r w:rsidRPr="00F46331">
        <w:t xml:space="preserve">, we show the load impact associated with each weather scenario (1-in-2 and 1-in-10 weather conditions associated with </w:t>
      </w:r>
      <w:r>
        <w:t>PG&amp;E’s</w:t>
      </w:r>
      <w:r w:rsidRPr="00F46331">
        <w:t xml:space="preserve"> peak day and the CAISO peak day). </w:t>
      </w:r>
      <w:r w:rsidR="00F933AF" w:rsidRPr="0068160D">
        <w:rPr>
          <w:szCs w:val="32"/>
        </w:rPr>
        <w:t xml:space="preserve">The load impact is highest in July in three out of the four weather scenarios, with a maximum load impact of </w:t>
      </w:r>
      <w:r w:rsidR="00836BD5">
        <w:rPr>
          <w:szCs w:val="32"/>
        </w:rPr>
        <w:t>65</w:t>
      </w:r>
      <w:r w:rsidR="00F933AF" w:rsidRPr="0068160D">
        <w:rPr>
          <w:szCs w:val="32"/>
        </w:rPr>
        <w:t xml:space="preserve"> MWh/hour from the PG&amp;E 1-in-10 scenario. For the CAISO 1-in-2 scenario, the load impacts are highest in June (</w:t>
      </w:r>
      <w:r w:rsidR="00836BD5">
        <w:rPr>
          <w:szCs w:val="32"/>
        </w:rPr>
        <w:t>51</w:t>
      </w:r>
      <w:r w:rsidR="00F933AF" w:rsidRPr="0068160D">
        <w:rPr>
          <w:szCs w:val="32"/>
        </w:rPr>
        <w:t xml:space="preserve"> MWh/hour). The loads impacts are always the lowest in October, with a minimum of </w:t>
      </w:r>
      <w:r w:rsidR="00836BD5">
        <w:rPr>
          <w:szCs w:val="32"/>
        </w:rPr>
        <w:t>18</w:t>
      </w:r>
      <w:r w:rsidR="00F933AF" w:rsidRPr="0068160D">
        <w:rPr>
          <w:szCs w:val="32"/>
        </w:rPr>
        <w:t xml:space="preserve"> MWh/hour from the PG&amp;E 1-in-2 scenario.</w:t>
      </w:r>
    </w:p>
    <w:p w14:paraId="26C83D1B" w14:textId="58DF5CEB" w:rsidR="00AF42C7" w:rsidRDefault="00AF42C7" w:rsidP="00AF42C7">
      <w:pPr>
        <w:pStyle w:val="FigureCaption"/>
        <w:rPr>
          <w:i/>
        </w:rPr>
      </w:pPr>
      <w:bookmarkStart w:id="34" w:name="_Toc4578193"/>
      <w:r>
        <w:t>Figure ES.</w:t>
      </w:r>
      <w:r w:rsidR="00D33020">
        <w:t>2</w:t>
      </w:r>
      <w:r>
        <w:t xml:space="preserve">: </w:t>
      </w:r>
      <w:r w:rsidRPr="003E379F">
        <w:t xml:space="preserve">Aggregate </w:t>
      </w:r>
      <w:r>
        <w:t>Load Impacts</w:t>
      </w:r>
      <w:r w:rsidR="003C5C2B">
        <w:t xml:space="preserve"> </w:t>
      </w:r>
      <w:r w:rsidR="00D10FD2">
        <w:t xml:space="preserve">over RA Window </w:t>
      </w:r>
      <w:r>
        <w:t xml:space="preserve">by </w:t>
      </w:r>
      <w:r w:rsidR="00164E8F">
        <w:t>Month</w:t>
      </w:r>
      <w:r>
        <w:t xml:space="preserve"> and Weather Scenario</w:t>
      </w:r>
      <w:bookmarkEnd w:id="34"/>
      <w:r w:rsidR="003C5C2B" w:rsidRPr="003C5C2B">
        <w:t xml:space="preserve"> </w:t>
      </w:r>
    </w:p>
    <w:p w14:paraId="44C21433" w14:textId="6D22451A" w:rsidR="00836BD5" w:rsidRDefault="00836BD5" w:rsidP="00836BD5">
      <w:pPr>
        <w:jc w:val="center"/>
      </w:pPr>
      <w:r>
        <w:rPr>
          <w:noProof/>
        </w:rPr>
        <w:drawing>
          <wp:inline distT="0" distB="0" distL="0" distR="0" wp14:anchorId="56C1D587" wp14:editId="3A83DD2E">
            <wp:extent cx="5486400" cy="3985895"/>
            <wp:effectExtent l="0" t="0" r="0" b="0"/>
            <wp:docPr id="2" name="Chart 2">
              <a:extLst xmlns:a="http://schemas.openxmlformats.org/drawingml/2006/main">
                <a:ext uri="{FF2B5EF4-FFF2-40B4-BE49-F238E27FC236}">
                  <a16:creationId xmlns:a16="http://schemas.microsoft.com/office/drawing/2014/main" id="{73A794A7-5C56-45E2-99E1-FAAE1493A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69B2D7" w14:textId="6FC90F44" w:rsidR="00164E8F" w:rsidRDefault="00164E8F" w:rsidP="00AF42C7"/>
    <w:p w14:paraId="2041C2E0" w14:textId="51E67D3E" w:rsidR="00321E09" w:rsidRPr="00F401D7" w:rsidRDefault="00321E09" w:rsidP="005D41C6">
      <w:pPr>
        <w:pStyle w:val="Heading1"/>
      </w:pPr>
      <w:r>
        <w:br w:type="page"/>
      </w:r>
      <w:bookmarkStart w:id="35" w:name="_Ref2163674"/>
      <w:bookmarkStart w:id="36" w:name="_Ref2163685"/>
      <w:bookmarkStart w:id="37" w:name="_Ref2163694"/>
      <w:bookmarkStart w:id="38" w:name="_Toc4578146"/>
      <w:r w:rsidRPr="00F401D7">
        <w:t>Introduction and Purpose of the Study</w:t>
      </w:r>
      <w:bookmarkEnd w:id="35"/>
      <w:bookmarkEnd w:id="36"/>
      <w:bookmarkEnd w:id="37"/>
      <w:bookmarkEnd w:id="38"/>
    </w:p>
    <w:p w14:paraId="2C94F7AD" w14:textId="0146B80D" w:rsidR="00397822" w:rsidRDefault="00397822" w:rsidP="00E45CE9">
      <w:pPr>
        <w:pStyle w:val="BodyText"/>
      </w:pPr>
      <w:r>
        <w:t xml:space="preserve">This report documents </w:t>
      </w:r>
      <w:r w:rsidRPr="00F43309">
        <w:rPr>
          <w:i/>
        </w:rPr>
        <w:t>ex-post</w:t>
      </w:r>
      <w:r>
        <w:t xml:space="preserve"> and </w:t>
      </w:r>
      <w:r w:rsidRPr="00F43309">
        <w:rPr>
          <w:i/>
        </w:rPr>
        <w:t>ex-ante</w:t>
      </w:r>
      <w:r>
        <w:t xml:space="preserve"> load impact evaluations of Pacific Gas and Electric’s (PG&amp;E) </w:t>
      </w:r>
      <w:r w:rsidR="00546AFB">
        <w:t>SmartAC™</w:t>
      </w:r>
      <w:r>
        <w:t xml:space="preserve"> program for 2018. The evaluation produces estimates of the </w:t>
      </w:r>
      <w:r>
        <w:rPr>
          <w:i/>
        </w:rPr>
        <w:t>ex-post</w:t>
      </w:r>
      <w:r>
        <w:t xml:space="preserve"> load impacts for each hour of each event called in 2018, and it develops </w:t>
      </w:r>
      <w:r>
        <w:rPr>
          <w:i/>
        </w:rPr>
        <w:t>ex-ante</w:t>
      </w:r>
      <w:r>
        <w:t xml:space="preserve"> load impact forecasts for the program through </w:t>
      </w:r>
      <w:r w:rsidRPr="003E5C57">
        <w:t>2029.</w:t>
      </w:r>
    </w:p>
    <w:p w14:paraId="49660C46" w14:textId="4A9F98F9" w:rsidR="00E45CE9" w:rsidRDefault="00E45CE9" w:rsidP="00E45CE9">
      <w:pPr>
        <w:spacing w:after="120"/>
      </w:pPr>
      <w:r>
        <w:t xml:space="preserve">SmartAC™ is a direct load control central air conditioner (AC) cycling program for residential customers. </w:t>
      </w:r>
      <w:r w:rsidRPr="00017319">
        <w:t>PG&amp;E’s SmartAC</w:t>
      </w:r>
      <w:r w:rsidR="00DC200C">
        <w:rPr>
          <w:rFonts w:cs="Calibri"/>
        </w:rPr>
        <w:t>™</w:t>
      </w:r>
      <w:r w:rsidRPr="00017319">
        <w:t xml:space="preserve"> program was integrated into the CAISO wholesale market in program year 2018. </w:t>
      </w:r>
      <w:r>
        <w:t>SmartAC</w:t>
      </w:r>
      <w:r w:rsidR="00DC200C">
        <w:rPr>
          <w:rFonts w:cs="Calibri"/>
        </w:rPr>
        <w:t>™</w:t>
      </w:r>
      <w:r>
        <w:t xml:space="preserve"> program participants receive a one-time incentive for allowing PG&amp;E to cycle their AC for up to 6 hours per day in response to CAISO market awards, during periods of system or local area emergencies for PG&amp;E capacity, or for limited testing for a maximum of 100 hours per summer (May 1 through October 31). Upon enrollment in SmartAC™, PG&amp;E installs an AC control switch on the participant’s central AC unit. </w:t>
      </w:r>
      <w:r w:rsidRPr="00017319">
        <w:t xml:space="preserve">During program years 2009 through 2013, the program offered switches and programmable communicating thermostats (PCT) to participants, however, the program population primarily consists of switches. </w:t>
      </w:r>
      <w:r w:rsidRPr="00397822">
        <w:t>When events are called, PG&amp;E sends signals to the</w:t>
      </w:r>
      <w:r>
        <w:t xml:space="preserve"> </w:t>
      </w:r>
      <w:r w:rsidRPr="00397822">
        <w:t>PCTs and switches</w:t>
      </w:r>
      <w:r>
        <w:t>. As dictated by the tariff, PG&amp;E c</w:t>
      </w:r>
      <w:r w:rsidRPr="00397822">
        <w:t>ycles the AC unit</w:t>
      </w:r>
      <w:r>
        <w:t xml:space="preserve"> </w:t>
      </w:r>
      <w:r w:rsidRPr="00397822">
        <w:t>for</w:t>
      </w:r>
      <w:r>
        <w:t xml:space="preserve"> residential customers for approximately</w:t>
      </w:r>
      <w:r w:rsidRPr="00397822">
        <w:t xml:space="preserve"> 50% of the</w:t>
      </w:r>
      <w:r>
        <w:t xml:space="preserve"> compressor</w:t>
      </w:r>
      <w:r w:rsidRPr="00397822">
        <w:t xml:space="preserve"> run-time</w:t>
      </w:r>
      <w:r>
        <w:t xml:space="preserve"> during each half-hour</w:t>
      </w:r>
      <w:r w:rsidRPr="00397822">
        <w:t>. Both PCTs and switches are cycled using adaptive algorithms.</w:t>
      </w:r>
    </w:p>
    <w:p w14:paraId="39DFFC30" w14:textId="562C3C2B" w:rsidR="000B630C" w:rsidRDefault="00CC0B53" w:rsidP="00E45CE9">
      <w:pPr>
        <w:spacing w:after="120"/>
      </w:pPr>
      <w:r>
        <w:t xml:space="preserve">In past program years, PG&amp;E has evaluated a combination of system-wide serial number and Sub-Load Aggregation Point (sub-LAP) test events. </w:t>
      </w:r>
      <w:r w:rsidRPr="00017319">
        <w:t>System-wide actual events include all participants and can be initiated based on CAISO or PG&amp;E emergencies. System-wide test events</w:t>
      </w:r>
      <w:r w:rsidR="003C3E0B">
        <w:t xml:space="preserve"> call all SmartAC</w:t>
      </w:r>
      <w:r w:rsidR="003C3E0B">
        <w:rPr>
          <w:rFonts w:cs="Calibri"/>
        </w:rPr>
        <w:t>™</w:t>
      </w:r>
      <w:r w:rsidRPr="00017319">
        <w:t xml:space="preserve"> customers </w:t>
      </w:r>
      <w:r w:rsidR="003C3E0B">
        <w:t xml:space="preserve">for the event </w:t>
      </w:r>
      <w:r w:rsidRPr="00017319">
        <w:t xml:space="preserve">except one or two control groups. </w:t>
      </w:r>
      <w:r>
        <w:t>During s</w:t>
      </w:r>
      <w:r w:rsidRPr="00017319">
        <w:t>erial events</w:t>
      </w:r>
      <w:r>
        <w:t>,</w:t>
      </w:r>
      <w:r w:rsidRPr="00017319">
        <w:t xml:space="preserve"> </w:t>
      </w:r>
      <w:r>
        <w:t xml:space="preserve">a random sample of SmartAC™ customers throughout the service territory are called for the event based on the factory programmed serial number of their installed device. During </w:t>
      </w:r>
      <w:r w:rsidR="002B6016">
        <w:t>s</w:t>
      </w:r>
      <w:r>
        <w:t xml:space="preserve">ub-LAP level events all SmartAC™ participants with devices that are associated with a given sub-LAP are called for the event. Historically, </w:t>
      </w:r>
      <w:r w:rsidR="00F94144">
        <w:t xml:space="preserve">sub-LAP </w:t>
      </w:r>
      <w:r>
        <w:t>“addressing” was</w:t>
      </w:r>
      <w:r w:rsidR="00F94144">
        <w:t xml:space="preserve"> done by</w:t>
      </w:r>
      <w:r>
        <w:t xml:space="preserve"> </w:t>
      </w:r>
      <w:r w:rsidR="00F94144">
        <w:t>sending a signal to new SmartAC</w:t>
      </w:r>
      <w:r w:rsidR="00DC200C">
        <w:rPr>
          <w:rFonts w:cs="Calibri"/>
        </w:rPr>
        <w:t>™</w:t>
      </w:r>
      <w:r w:rsidR="00F94144">
        <w:t xml:space="preserve"> devices after installation </w:t>
      </w:r>
      <w:r>
        <w:t xml:space="preserve">to associate </w:t>
      </w:r>
      <w:r w:rsidR="00F94144">
        <w:t>these d</w:t>
      </w:r>
      <w:r>
        <w:t>evices with the appropriate sub-LAP. This year, because of CAISO wholesale market integration of the SmartAC</w:t>
      </w:r>
      <w:r w:rsidR="00DC200C">
        <w:rPr>
          <w:rFonts w:cs="Calibri"/>
        </w:rPr>
        <w:t>™</w:t>
      </w:r>
      <w:r>
        <w:t xml:space="preserve"> program, only sub-LAP-level events were called. </w:t>
      </w:r>
      <w:r w:rsidR="00A77E77">
        <w:t xml:space="preserve"> </w:t>
      </w:r>
      <w:r w:rsidR="00EE02B2">
        <w:rPr>
          <w:highlight w:val="yellow"/>
        </w:rPr>
        <w:fldChar w:fldCharType="begin"/>
      </w:r>
      <w:r w:rsidR="00EE02B2" w:rsidRPr="00E45CE9">
        <w:rPr>
          <w:highlight w:val="yellow"/>
        </w:rPr>
        <w:instrText xml:space="preserve"> REF _Ref2242231 \h </w:instrText>
      </w:r>
      <w:r w:rsidR="00EE02B2">
        <w:rPr>
          <w:highlight w:val="yellow"/>
        </w:rPr>
      </w:r>
      <w:r w:rsidR="00EE02B2">
        <w:rPr>
          <w:highlight w:val="yellow"/>
        </w:rPr>
        <w:fldChar w:fldCharType="separate"/>
      </w:r>
      <w:r w:rsidR="00445DF3">
        <w:t xml:space="preserve">Table </w:t>
      </w:r>
      <w:r w:rsidR="00445DF3">
        <w:rPr>
          <w:noProof/>
        </w:rPr>
        <w:t>1</w:t>
      </w:r>
      <w:r w:rsidR="00445DF3">
        <w:noBreakHyphen/>
      </w:r>
      <w:r w:rsidR="00445DF3">
        <w:rPr>
          <w:noProof/>
        </w:rPr>
        <w:t>1</w:t>
      </w:r>
      <w:r w:rsidR="00EE02B2">
        <w:fldChar w:fldCharType="end"/>
      </w:r>
      <w:r w:rsidR="00EE02B2">
        <w:t xml:space="preserve"> </w:t>
      </w:r>
      <w:r w:rsidR="00703A1E">
        <w:t>shows the details for each event day</w:t>
      </w:r>
      <w:r w:rsidR="00312BC2">
        <w:t xml:space="preserve"> in PY2018</w:t>
      </w:r>
      <w:r w:rsidR="00703A1E">
        <w:t>.</w:t>
      </w:r>
      <w:r w:rsidR="00CC5B63">
        <w:t xml:space="preserve"> </w:t>
      </w:r>
      <w:r w:rsidR="00312BC2">
        <w:t>One of the events (July 27, 2018) was triggered by a local emergency, while the remaining eight events were CAISO market awards. There were three SmartAC™ events (July 24, 25, and 26) during which the event hours differed across sub-LAPs. Otherwise, sub-LAPs that were called for the same event were called for the same event hours.</w:t>
      </w:r>
      <w:r w:rsidR="00CC5B63">
        <w:t xml:space="preserve"> </w:t>
      </w:r>
    </w:p>
    <w:p w14:paraId="42355BDD" w14:textId="32778D7B" w:rsidR="00CC06E0" w:rsidRDefault="00CC06E0" w:rsidP="00C341DE">
      <w:pPr>
        <w:spacing w:after="120"/>
      </w:pPr>
    </w:p>
    <w:p w14:paraId="2F7B6ECB" w14:textId="2D5623AF" w:rsidR="009A555E" w:rsidRDefault="009A555E" w:rsidP="00C341DE">
      <w:pPr>
        <w:spacing w:after="120"/>
      </w:pPr>
    </w:p>
    <w:p w14:paraId="60208A88" w14:textId="65A3AA44" w:rsidR="00703A1E" w:rsidRDefault="00265EE5" w:rsidP="00265EE5">
      <w:pPr>
        <w:pStyle w:val="TableCaption"/>
      </w:pPr>
      <w:bookmarkStart w:id="39" w:name="_Ref2242231"/>
      <w:bookmarkStart w:id="40" w:name="_Toc4578171"/>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1</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1</w:t>
      </w:r>
      <w:r w:rsidR="005D5F52">
        <w:rPr>
          <w:noProof/>
        </w:rPr>
        <w:fldChar w:fldCharType="end"/>
      </w:r>
      <w:bookmarkEnd w:id="39"/>
      <w:r>
        <w:t xml:space="preserve">: PY2018 </w:t>
      </w:r>
      <w:r w:rsidR="00546AFB">
        <w:t>SmartAC™</w:t>
      </w:r>
      <w:r>
        <w:t xml:space="preserve"> Events</w:t>
      </w:r>
      <w:bookmarkEnd w:id="40"/>
    </w:p>
    <w:tbl>
      <w:tblPr>
        <w:tblW w:w="0" w:type="auto"/>
        <w:jc w:val="center"/>
        <w:tblLook w:val="04A0" w:firstRow="1" w:lastRow="0" w:firstColumn="1" w:lastColumn="0" w:noHBand="0" w:noVBand="1"/>
      </w:tblPr>
      <w:tblGrid>
        <w:gridCol w:w="900"/>
        <w:gridCol w:w="2340"/>
        <w:gridCol w:w="1518"/>
        <w:gridCol w:w="1340"/>
        <w:gridCol w:w="1385"/>
        <w:gridCol w:w="1189"/>
      </w:tblGrid>
      <w:tr w:rsidR="00733FD4" w:rsidRPr="00733FD4" w14:paraId="27180750" w14:textId="77777777" w:rsidTr="00733FD4">
        <w:trPr>
          <w:trHeight w:val="900"/>
          <w:jc w:val="center"/>
        </w:trPr>
        <w:tc>
          <w:tcPr>
            <w:tcW w:w="900" w:type="dxa"/>
            <w:tcBorders>
              <w:top w:val="nil"/>
              <w:left w:val="nil"/>
              <w:bottom w:val="nil"/>
              <w:right w:val="nil"/>
            </w:tcBorders>
            <w:shd w:val="clear" w:color="000000" w:fill="0C2577"/>
            <w:vAlign w:val="center"/>
            <w:hideMark/>
          </w:tcPr>
          <w:p w14:paraId="202C6ADC" w14:textId="77777777" w:rsidR="00733FD4" w:rsidRPr="00733FD4" w:rsidRDefault="00733FD4" w:rsidP="00733FD4">
            <w:pPr>
              <w:jc w:val="center"/>
              <w:rPr>
                <w:rFonts w:cs="Calibri"/>
                <w:b/>
                <w:bCs/>
                <w:color w:val="FFFFFF"/>
                <w:sz w:val="22"/>
                <w:szCs w:val="22"/>
              </w:rPr>
            </w:pPr>
            <w:r w:rsidRPr="00733FD4">
              <w:rPr>
                <w:rFonts w:cs="Calibri"/>
                <w:b/>
                <w:bCs/>
                <w:color w:val="FFFFFF"/>
                <w:sz w:val="22"/>
                <w:szCs w:val="22"/>
              </w:rPr>
              <w:t>Date</w:t>
            </w:r>
          </w:p>
        </w:tc>
        <w:tc>
          <w:tcPr>
            <w:tcW w:w="2340" w:type="dxa"/>
            <w:tcBorders>
              <w:top w:val="nil"/>
              <w:left w:val="single" w:sz="4" w:space="0" w:color="FFFFFF"/>
              <w:bottom w:val="nil"/>
              <w:right w:val="nil"/>
            </w:tcBorders>
            <w:shd w:val="clear" w:color="000000" w:fill="0C2577"/>
            <w:vAlign w:val="center"/>
            <w:hideMark/>
          </w:tcPr>
          <w:p w14:paraId="630C2E4C" w14:textId="77777777" w:rsidR="00733FD4" w:rsidRPr="00733FD4" w:rsidRDefault="00733FD4" w:rsidP="00733FD4">
            <w:pPr>
              <w:jc w:val="center"/>
              <w:rPr>
                <w:rFonts w:cs="Calibri"/>
                <w:b/>
                <w:bCs/>
                <w:color w:val="FFFFFF"/>
                <w:sz w:val="22"/>
                <w:szCs w:val="22"/>
              </w:rPr>
            </w:pPr>
            <w:r w:rsidRPr="00733FD4">
              <w:rPr>
                <w:rFonts w:cs="Calibri"/>
                <w:b/>
                <w:bCs/>
                <w:color w:val="FFFFFF"/>
                <w:sz w:val="22"/>
                <w:szCs w:val="22"/>
              </w:rPr>
              <w:t>Hours</w:t>
            </w:r>
          </w:p>
        </w:tc>
        <w:tc>
          <w:tcPr>
            <w:tcW w:w="1518" w:type="dxa"/>
            <w:tcBorders>
              <w:top w:val="nil"/>
              <w:left w:val="single" w:sz="4" w:space="0" w:color="FFFFFF"/>
              <w:bottom w:val="nil"/>
              <w:right w:val="single" w:sz="4" w:space="0" w:color="FFFFFF"/>
            </w:tcBorders>
            <w:shd w:val="clear" w:color="000000" w:fill="0C2577"/>
            <w:vAlign w:val="center"/>
            <w:hideMark/>
          </w:tcPr>
          <w:p w14:paraId="6558F22C" w14:textId="77777777" w:rsidR="00733FD4" w:rsidRPr="00733FD4" w:rsidRDefault="00733FD4" w:rsidP="00733FD4">
            <w:pPr>
              <w:jc w:val="center"/>
              <w:rPr>
                <w:rFonts w:cs="Calibri"/>
                <w:b/>
                <w:bCs/>
                <w:color w:val="FFFFFF"/>
                <w:sz w:val="22"/>
                <w:szCs w:val="22"/>
              </w:rPr>
            </w:pPr>
            <w:r w:rsidRPr="00733FD4">
              <w:rPr>
                <w:rFonts w:cs="Calibri"/>
                <w:b/>
                <w:bCs/>
                <w:color w:val="FFFFFF"/>
                <w:sz w:val="22"/>
                <w:szCs w:val="22"/>
              </w:rPr>
              <w:t>Reason</w:t>
            </w:r>
          </w:p>
        </w:tc>
        <w:tc>
          <w:tcPr>
            <w:tcW w:w="1182" w:type="dxa"/>
            <w:tcBorders>
              <w:top w:val="nil"/>
              <w:left w:val="nil"/>
              <w:bottom w:val="nil"/>
              <w:right w:val="single" w:sz="4" w:space="0" w:color="FFFFFF"/>
            </w:tcBorders>
            <w:shd w:val="clear" w:color="000000" w:fill="0C2577"/>
            <w:vAlign w:val="center"/>
            <w:hideMark/>
          </w:tcPr>
          <w:p w14:paraId="204F76A6" w14:textId="6AD7DC14" w:rsidR="00733FD4" w:rsidRPr="00733FD4" w:rsidRDefault="00546AFB" w:rsidP="00733FD4">
            <w:pPr>
              <w:jc w:val="center"/>
              <w:rPr>
                <w:rFonts w:cs="Calibri"/>
                <w:b/>
                <w:bCs/>
                <w:color w:val="FFFFFF"/>
                <w:sz w:val="22"/>
                <w:szCs w:val="22"/>
              </w:rPr>
            </w:pPr>
            <w:r>
              <w:rPr>
                <w:rFonts w:cs="Calibri"/>
                <w:b/>
                <w:bCs/>
                <w:color w:val="FFFFFF"/>
                <w:sz w:val="22"/>
                <w:szCs w:val="22"/>
              </w:rPr>
              <w:t>SmartRate™</w:t>
            </w:r>
            <w:r w:rsidR="00733FD4" w:rsidRPr="00733FD4">
              <w:rPr>
                <w:rFonts w:cs="Calibri"/>
                <w:b/>
                <w:bCs/>
                <w:color w:val="FFFFFF"/>
                <w:sz w:val="22"/>
                <w:szCs w:val="22"/>
              </w:rPr>
              <w:t xml:space="preserve"> Event?</w:t>
            </w:r>
          </w:p>
        </w:tc>
        <w:tc>
          <w:tcPr>
            <w:tcW w:w="1385" w:type="dxa"/>
            <w:tcBorders>
              <w:top w:val="nil"/>
              <w:left w:val="nil"/>
              <w:bottom w:val="nil"/>
              <w:right w:val="nil"/>
            </w:tcBorders>
            <w:shd w:val="clear" w:color="000000" w:fill="0C2577"/>
            <w:vAlign w:val="center"/>
            <w:hideMark/>
          </w:tcPr>
          <w:p w14:paraId="23879107" w14:textId="77777777" w:rsidR="00733FD4" w:rsidRPr="00733FD4" w:rsidRDefault="00733FD4" w:rsidP="00733FD4">
            <w:pPr>
              <w:jc w:val="center"/>
              <w:rPr>
                <w:rFonts w:cs="Calibri"/>
                <w:b/>
                <w:bCs/>
                <w:color w:val="FFFFFF"/>
                <w:sz w:val="22"/>
                <w:szCs w:val="22"/>
              </w:rPr>
            </w:pPr>
            <w:r w:rsidRPr="00733FD4">
              <w:rPr>
                <w:rFonts w:cs="Calibri"/>
                <w:b/>
                <w:bCs/>
                <w:color w:val="FFFFFF"/>
                <w:sz w:val="22"/>
                <w:szCs w:val="22"/>
              </w:rPr>
              <w:t>Sub-LAPs Called</w:t>
            </w:r>
          </w:p>
        </w:tc>
        <w:tc>
          <w:tcPr>
            <w:tcW w:w="1189" w:type="dxa"/>
            <w:tcBorders>
              <w:top w:val="nil"/>
              <w:left w:val="single" w:sz="4" w:space="0" w:color="FFFFFF"/>
              <w:bottom w:val="nil"/>
              <w:right w:val="nil"/>
            </w:tcBorders>
            <w:shd w:val="clear" w:color="000000" w:fill="0C2577"/>
            <w:vAlign w:val="center"/>
            <w:hideMark/>
          </w:tcPr>
          <w:p w14:paraId="22D38167" w14:textId="77777777" w:rsidR="00733FD4" w:rsidRPr="00733FD4" w:rsidRDefault="00733FD4" w:rsidP="00733FD4">
            <w:pPr>
              <w:jc w:val="center"/>
              <w:rPr>
                <w:rFonts w:cs="Calibri"/>
                <w:b/>
                <w:bCs/>
                <w:color w:val="FFFFFF"/>
                <w:sz w:val="22"/>
                <w:szCs w:val="22"/>
              </w:rPr>
            </w:pPr>
            <w:r w:rsidRPr="00733FD4">
              <w:rPr>
                <w:rFonts w:cs="Calibri"/>
                <w:b/>
                <w:bCs/>
                <w:color w:val="FFFFFF"/>
                <w:sz w:val="22"/>
                <w:szCs w:val="22"/>
              </w:rPr>
              <w:t># Customers Called</w:t>
            </w:r>
          </w:p>
        </w:tc>
      </w:tr>
      <w:tr w:rsidR="00733FD4" w:rsidRPr="00733FD4" w14:paraId="1D6FB595" w14:textId="77777777" w:rsidTr="00733FD4">
        <w:trPr>
          <w:trHeight w:val="675"/>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D590F" w14:textId="77777777" w:rsidR="00733FD4" w:rsidRPr="00733FD4" w:rsidRDefault="00733FD4" w:rsidP="00733FD4">
            <w:pPr>
              <w:jc w:val="center"/>
              <w:rPr>
                <w:rFonts w:cs="Calibri"/>
                <w:sz w:val="22"/>
                <w:szCs w:val="22"/>
              </w:rPr>
            </w:pPr>
            <w:r w:rsidRPr="00733FD4">
              <w:rPr>
                <w:rFonts w:cs="Calibri"/>
                <w:sz w:val="22"/>
                <w:szCs w:val="22"/>
              </w:rPr>
              <w:t>July 23</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49AE7BDA" w14:textId="77777777" w:rsidR="00733FD4" w:rsidRPr="00733FD4" w:rsidRDefault="00733FD4" w:rsidP="00733FD4">
            <w:pPr>
              <w:rPr>
                <w:rFonts w:cs="Calibri"/>
                <w:sz w:val="22"/>
                <w:szCs w:val="22"/>
              </w:rPr>
            </w:pPr>
            <w:r w:rsidRPr="00733FD4">
              <w:rPr>
                <w:rFonts w:cs="Calibri"/>
                <w:sz w:val="22"/>
                <w:szCs w:val="22"/>
              </w:rPr>
              <w:t xml:space="preserve">4 to 8 p.m. </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14:paraId="45D22726" w14:textId="77777777" w:rsidR="00733FD4" w:rsidRPr="00733FD4" w:rsidRDefault="00733FD4" w:rsidP="00733FD4">
            <w:pPr>
              <w:jc w:val="center"/>
              <w:rPr>
                <w:rFonts w:cs="Calibri"/>
                <w:sz w:val="22"/>
                <w:szCs w:val="22"/>
              </w:rPr>
            </w:pPr>
            <w:r w:rsidRPr="00733FD4">
              <w:rPr>
                <w:rFonts w:cs="Calibri"/>
                <w:sz w:val="22"/>
                <w:szCs w:val="22"/>
              </w:rPr>
              <w:t>Market Award</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2A34A530" w14:textId="77777777" w:rsidR="00733FD4" w:rsidRPr="00733FD4" w:rsidRDefault="00733FD4" w:rsidP="00733FD4">
            <w:pPr>
              <w:jc w:val="center"/>
              <w:rPr>
                <w:rFonts w:cs="Calibri"/>
                <w:sz w:val="22"/>
                <w:szCs w:val="22"/>
              </w:rPr>
            </w:pPr>
            <w:r w:rsidRPr="00733FD4">
              <w:rPr>
                <w:rFonts w:cs="Calibri"/>
                <w:sz w:val="22"/>
                <w:szCs w:val="22"/>
              </w:rPr>
              <w:t>No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40B1E7BF" w14:textId="77777777" w:rsidR="00733FD4" w:rsidRPr="00733FD4" w:rsidRDefault="00733FD4" w:rsidP="00733FD4">
            <w:pPr>
              <w:rPr>
                <w:rFonts w:cs="Calibri"/>
                <w:sz w:val="22"/>
                <w:szCs w:val="22"/>
              </w:rPr>
            </w:pPr>
            <w:r w:rsidRPr="00733FD4">
              <w:rPr>
                <w:rFonts w:cs="Calibri"/>
                <w:sz w:val="22"/>
                <w:szCs w:val="22"/>
              </w:rPr>
              <w:t>PGF1, PGKN, PGNP, PGSI</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041464E7" w14:textId="77777777" w:rsidR="00733FD4" w:rsidRPr="00733FD4" w:rsidRDefault="00733FD4" w:rsidP="00733FD4">
            <w:pPr>
              <w:jc w:val="right"/>
              <w:rPr>
                <w:rFonts w:cs="Calibri"/>
                <w:sz w:val="22"/>
                <w:szCs w:val="22"/>
              </w:rPr>
            </w:pPr>
            <w:r w:rsidRPr="00733FD4">
              <w:rPr>
                <w:rFonts w:cs="Calibri"/>
                <w:sz w:val="22"/>
                <w:szCs w:val="22"/>
              </w:rPr>
              <w:t>55,003</w:t>
            </w:r>
          </w:p>
        </w:tc>
      </w:tr>
      <w:tr w:rsidR="00733FD4" w:rsidRPr="00733FD4" w14:paraId="5B2351F9" w14:textId="77777777" w:rsidTr="00733FD4">
        <w:trPr>
          <w:trHeight w:val="94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195C96D" w14:textId="77777777" w:rsidR="00733FD4" w:rsidRPr="00733FD4" w:rsidRDefault="00733FD4" w:rsidP="00733FD4">
            <w:pPr>
              <w:jc w:val="center"/>
              <w:rPr>
                <w:rFonts w:cs="Calibri"/>
                <w:sz w:val="22"/>
                <w:szCs w:val="22"/>
              </w:rPr>
            </w:pPr>
            <w:r w:rsidRPr="00733FD4">
              <w:rPr>
                <w:rFonts w:cs="Calibri"/>
                <w:sz w:val="22"/>
                <w:szCs w:val="22"/>
              </w:rPr>
              <w:t>July 24</w:t>
            </w:r>
          </w:p>
        </w:tc>
        <w:tc>
          <w:tcPr>
            <w:tcW w:w="2340" w:type="dxa"/>
            <w:tcBorders>
              <w:top w:val="nil"/>
              <w:left w:val="nil"/>
              <w:bottom w:val="single" w:sz="4" w:space="0" w:color="auto"/>
              <w:right w:val="single" w:sz="4" w:space="0" w:color="auto"/>
            </w:tcBorders>
            <w:shd w:val="clear" w:color="auto" w:fill="auto"/>
            <w:vAlign w:val="center"/>
            <w:hideMark/>
          </w:tcPr>
          <w:p w14:paraId="4A5D528F" w14:textId="77777777" w:rsidR="00733FD4" w:rsidRPr="00733FD4" w:rsidRDefault="00733FD4" w:rsidP="00733FD4">
            <w:pPr>
              <w:rPr>
                <w:rFonts w:cs="Calibri"/>
                <w:sz w:val="22"/>
                <w:szCs w:val="22"/>
              </w:rPr>
            </w:pPr>
            <w:r w:rsidRPr="00733FD4">
              <w:rPr>
                <w:rFonts w:cs="Calibri"/>
                <w:sz w:val="22"/>
                <w:szCs w:val="22"/>
              </w:rPr>
              <w:t xml:space="preserve">4 to 8 p.m. </w:t>
            </w:r>
            <w:r w:rsidRPr="00733FD4">
              <w:rPr>
                <w:rFonts w:cs="Calibri"/>
                <w:sz w:val="22"/>
                <w:szCs w:val="22"/>
              </w:rPr>
              <w:br/>
              <w:t>3 to 7 p.m. (PGNC only)</w:t>
            </w:r>
          </w:p>
        </w:tc>
        <w:tc>
          <w:tcPr>
            <w:tcW w:w="1518" w:type="dxa"/>
            <w:tcBorders>
              <w:top w:val="nil"/>
              <w:left w:val="nil"/>
              <w:bottom w:val="single" w:sz="4" w:space="0" w:color="auto"/>
              <w:right w:val="single" w:sz="4" w:space="0" w:color="auto"/>
            </w:tcBorders>
            <w:shd w:val="clear" w:color="auto" w:fill="auto"/>
            <w:vAlign w:val="center"/>
            <w:hideMark/>
          </w:tcPr>
          <w:p w14:paraId="79350A5E" w14:textId="77777777" w:rsidR="00733FD4" w:rsidRPr="00733FD4" w:rsidRDefault="00733FD4" w:rsidP="00733FD4">
            <w:pPr>
              <w:jc w:val="center"/>
              <w:rPr>
                <w:rFonts w:cs="Calibri"/>
                <w:sz w:val="22"/>
                <w:szCs w:val="22"/>
              </w:rPr>
            </w:pPr>
            <w:r w:rsidRPr="00733FD4">
              <w:rPr>
                <w:rFonts w:cs="Calibri"/>
                <w:sz w:val="22"/>
                <w:szCs w:val="22"/>
              </w:rPr>
              <w:t>Market Award</w:t>
            </w:r>
          </w:p>
        </w:tc>
        <w:tc>
          <w:tcPr>
            <w:tcW w:w="1182" w:type="dxa"/>
            <w:tcBorders>
              <w:top w:val="nil"/>
              <w:left w:val="nil"/>
              <w:bottom w:val="single" w:sz="4" w:space="0" w:color="auto"/>
              <w:right w:val="single" w:sz="4" w:space="0" w:color="auto"/>
            </w:tcBorders>
            <w:shd w:val="clear" w:color="auto" w:fill="auto"/>
            <w:vAlign w:val="center"/>
            <w:hideMark/>
          </w:tcPr>
          <w:p w14:paraId="02DBB0DD" w14:textId="77777777" w:rsidR="00733FD4" w:rsidRPr="00733FD4" w:rsidRDefault="00733FD4" w:rsidP="00733FD4">
            <w:pPr>
              <w:jc w:val="center"/>
              <w:rPr>
                <w:rFonts w:cs="Calibri"/>
                <w:sz w:val="22"/>
                <w:szCs w:val="22"/>
              </w:rPr>
            </w:pPr>
            <w:r w:rsidRPr="00733FD4">
              <w:rPr>
                <w:rFonts w:cs="Calibri"/>
                <w:sz w:val="22"/>
                <w:szCs w:val="22"/>
              </w:rPr>
              <w:t>No</w:t>
            </w:r>
          </w:p>
        </w:tc>
        <w:tc>
          <w:tcPr>
            <w:tcW w:w="1385" w:type="dxa"/>
            <w:tcBorders>
              <w:top w:val="nil"/>
              <w:left w:val="nil"/>
              <w:bottom w:val="single" w:sz="4" w:space="0" w:color="auto"/>
              <w:right w:val="single" w:sz="4" w:space="0" w:color="auto"/>
            </w:tcBorders>
            <w:shd w:val="clear" w:color="auto" w:fill="auto"/>
            <w:vAlign w:val="center"/>
            <w:hideMark/>
          </w:tcPr>
          <w:p w14:paraId="411CB360" w14:textId="77777777" w:rsidR="00733FD4" w:rsidRPr="00733FD4" w:rsidRDefault="00733FD4" w:rsidP="00733FD4">
            <w:pPr>
              <w:rPr>
                <w:rFonts w:cs="Calibri"/>
                <w:sz w:val="22"/>
                <w:szCs w:val="22"/>
              </w:rPr>
            </w:pPr>
            <w:r w:rsidRPr="00733FD4">
              <w:rPr>
                <w:rFonts w:cs="Calibri"/>
                <w:sz w:val="22"/>
                <w:szCs w:val="22"/>
              </w:rPr>
              <w:t>PGF1, PGKN, PGNP, PGSI, PGNC, PGZP</w:t>
            </w:r>
          </w:p>
        </w:tc>
        <w:tc>
          <w:tcPr>
            <w:tcW w:w="1189" w:type="dxa"/>
            <w:tcBorders>
              <w:top w:val="nil"/>
              <w:left w:val="nil"/>
              <w:bottom w:val="single" w:sz="4" w:space="0" w:color="auto"/>
              <w:right w:val="single" w:sz="4" w:space="0" w:color="auto"/>
            </w:tcBorders>
            <w:shd w:val="clear" w:color="auto" w:fill="auto"/>
            <w:noWrap/>
            <w:vAlign w:val="center"/>
            <w:hideMark/>
          </w:tcPr>
          <w:p w14:paraId="051A4059" w14:textId="77777777" w:rsidR="00733FD4" w:rsidRPr="00733FD4" w:rsidRDefault="00733FD4" w:rsidP="00733FD4">
            <w:pPr>
              <w:jc w:val="right"/>
              <w:rPr>
                <w:rFonts w:cs="Calibri"/>
                <w:sz w:val="22"/>
                <w:szCs w:val="22"/>
              </w:rPr>
            </w:pPr>
            <w:r w:rsidRPr="00733FD4">
              <w:rPr>
                <w:rFonts w:cs="Calibri"/>
                <w:sz w:val="22"/>
                <w:szCs w:val="22"/>
              </w:rPr>
              <w:t>57,897</w:t>
            </w:r>
          </w:p>
        </w:tc>
      </w:tr>
      <w:tr w:rsidR="00733FD4" w:rsidRPr="00733FD4" w14:paraId="077B682E" w14:textId="77777777" w:rsidTr="00733FD4">
        <w:trPr>
          <w:trHeight w:val="60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50CADC6" w14:textId="77777777" w:rsidR="00733FD4" w:rsidRPr="00733FD4" w:rsidRDefault="00733FD4" w:rsidP="00733FD4">
            <w:pPr>
              <w:jc w:val="center"/>
              <w:rPr>
                <w:rFonts w:cs="Calibri"/>
                <w:sz w:val="22"/>
                <w:szCs w:val="22"/>
              </w:rPr>
            </w:pPr>
            <w:r w:rsidRPr="00733FD4">
              <w:rPr>
                <w:rFonts w:cs="Calibri"/>
                <w:sz w:val="22"/>
                <w:szCs w:val="22"/>
              </w:rPr>
              <w:t>July 25</w:t>
            </w:r>
          </w:p>
        </w:tc>
        <w:tc>
          <w:tcPr>
            <w:tcW w:w="2340" w:type="dxa"/>
            <w:tcBorders>
              <w:top w:val="nil"/>
              <w:left w:val="nil"/>
              <w:bottom w:val="single" w:sz="4" w:space="0" w:color="auto"/>
              <w:right w:val="single" w:sz="4" w:space="0" w:color="auto"/>
            </w:tcBorders>
            <w:shd w:val="clear" w:color="auto" w:fill="auto"/>
            <w:vAlign w:val="center"/>
            <w:hideMark/>
          </w:tcPr>
          <w:p w14:paraId="0273697D" w14:textId="77777777" w:rsidR="00733FD4" w:rsidRPr="00733FD4" w:rsidRDefault="00733FD4" w:rsidP="00733FD4">
            <w:pPr>
              <w:rPr>
                <w:rFonts w:cs="Calibri"/>
                <w:sz w:val="22"/>
                <w:szCs w:val="22"/>
              </w:rPr>
            </w:pPr>
            <w:r w:rsidRPr="00733FD4">
              <w:rPr>
                <w:rFonts w:cs="Calibri"/>
                <w:sz w:val="22"/>
                <w:szCs w:val="22"/>
              </w:rPr>
              <w:t xml:space="preserve">6 to 7 p.m. (PGSI) </w:t>
            </w:r>
            <w:r w:rsidRPr="00733FD4">
              <w:rPr>
                <w:rFonts w:cs="Calibri"/>
                <w:sz w:val="22"/>
                <w:szCs w:val="22"/>
              </w:rPr>
              <w:br/>
              <w:t>4 to 7 p.m. (PGST)</w:t>
            </w:r>
          </w:p>
        </w:tc>
        <w:tc>
          <w:tcPr>
            <w:tcW w:w="1518" w:type="dxa"/>
            <w:tcBorders>
              <w:top w:val="nil"/>
              <w:left w:val="nil"/>
              <w:bottom w:val="single" w:sz="4" w:space="0" w:color="auto"/>
              <w:right w:val="single" w:sz="4" w:space="0" w:color="auto"/>
            </w:tcBorders>
            <w:shd w:val="clear" w:color="auto" w:fill="auto"/>
            <w:vAlign w:val="center"/>
            <w:hideMark/>
          </w:tcPr>
          <w:p w14:paraId="20A28AE6" w14:textId="77777777" w:rsidR="00733FD4" w:rsidRPr="00733FD4" w:rsidRDefault="00733FD4" w:rsidP="00733FD4">
            <w:pPr>
              <w:jc w:val="center"/>
              <w:rPr>
                <w:rFonts w:cs="Calibri"/>
                <w:sz w:val="22"/>
                <w:szCs w:val="22"/>
              </w:rPr>
            </w:pPr>
            <w:r w:rsidRPr="00733FD4">
              <w:rPr>
                <w:rFonts w:cs="Calibri"/>
                <w:sz w:val="22"/>
                <w:szCs w:val="22"/>
              </w:rPr>
              <w:t>Market Award</w:t>
            </w:r>
          </w:p>
        </w:tc>
        <w:tc>
          <w:tcPr>
            <w:tcW w:w="1182" w:type="dxa"/>
            <w:tcBorders>
              <w:top w:val="nil"/>
              <w:left w:val="nil"/>
              <w:bottom w:val="single" w:sz="4" w:space="0" w:color="auto"/>
              <w:right w:val="single" w:sz="4" w:space="0" w:color="auto"/>
            </w:tcBorders>
            <w:shd w:val="clear" w:color="auto" w:fill="auto"/>
            <w:vAlign w:val="center"/>
            <w:hideMark/>
          </w:tcPr>
          <w:p w14:paraId="16B74CA9" w14:textId="77777777" w:rsidR="00733FD4" w:rsidRPr="00733FD4" w:rsidRDefault="00733FD4" w:rsidP="00733FD4">
            <w:pPr>
              <w:jc w:val="center"/>
              <w:rPr>
                <w:rFonts w:cs="Calibri"/>
                <w:sz w:val="22"/>
                <w:szCs w:val="22"/>
              </w:rPr>
            </w:pPr>
            <w:r w:rsidRPr="00733FD4">
              <w:rPr>
                <w:rFonts w:cs="Calibri"/>
                <w:sz w:val="22"/>
                <w:szCs w:val="22"/>
              </w:rPr>
              <w:t>Yes</w:t>
            </w:r>
          </w:p>
        </w:tc>
        <w:tc>
          <w:tcPr>
            <w:tcW w:w="1385" w:type="dxa"/>
            <w:tcBorders>
              <w:top w:val="nil"/>
              <w:left w:val="nil"/>
              <w:bottom w:val="single" w:sz="4" w:space="0" w:color="auto"/>
              <w:right w:val="single" w:sz="4" w:space="0" w:color="auto"/>
            </w:tcBorders>
            <w:shd w:val="clear" w:color="auto" w:fill="auto"/>
            <w:vAlign w:val="center"/>
            <w:hideMark/>
          </w:tcPr>
          <w:p w14:paraId="1104B53B" w14:textId="77777777" w:rsidR="00733FD4" w:rsidRPr="00733FD4" w:rsidRDefault="00733FD4" w:rsidP="00733FD4">
            <w:pPr>
              <w:rPr>
                <w:rFonts w:cs="Calibri"/>
                <w:sz w:val="22"/>
                <w:szCs w:val="22"/>
              </w:rPr>
            </w:pPr>
            <w:r w:rsidRPr="00733FD4">
              <w:rPr>
                <w:rFonts w:cs="Calibri"/>
                <w:sz w:val="22"/>
                <w:szCs w:val="22"/>
              </w:rPr>
              <w:t>PGST, PGSI</w:t>
            </w:r>
          </w:p>
        </w:tc>
        <w:tc>
          <w:tcPr>
            <w:tcW w:w="1189" w:type="dxa"/>
            <w:tcBorders>
              <w:top w:val="nil"/>
              <w:left w:val="nil"/>
              <w:bottom w:val="single" w:sz="4" w:space="0" w:color="auto"/>
              <w:right w:val="single" w:sz="4" w:space="0" w:color="auto"/>
            </w:tcBorders>
            <w:shd w:val="clear" w:color="auto" w:fill="auto"/>
            <w:noWrap/>
            <w:vAlign w:val="center"/>
            <w:hideMark/>
          </w:tcPr>
          <w:p w14:paraId="7CA956FF" w14:textId="77777777" w:rsidR="00733FD4" w:rsidRPr="00733FD4" w:rsidRDefault="00733FD4" w:rsidP="00733FD4">
            <w:pPr>
              <w:jc w:val="right"/>
              <w:rPr>
                <w:rFonts w:cs="Calibri"/>
                <w:sz w:val="22"/>
                <w:szCs w:val="22"/>
              </w:rPr>
            </w:pPr>
            <w:r w:rsidRPr="00733FD4">
              <w:rPr>
                <w:rFonts w:cs="Calibri"/>
                <w:sz w:val="22"/>
                <w:szCs w:val="22"/>
              </w:rPr>
              <w:t>20,269</w:t>
            </w:r>
          </w:p>
        </w:tc>
      </w:tr>
      <w:tr w:rsidR="00733FD4" w:rsidRPr="00733FD4" w14:paraId="45022E71" w14:textId="77777777" w:rsidTr="00733FD4">
        <w:trPr>
          <w:trHeight w:val="90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45863C9" w14:textId="77777777" w:rsidR="00733FD4" w:rsidRPr="00733FD4" w:rsidRDefault="00733FD4" w:rsidP="00733FD4">
            <w:pPr>
              <w:jc w:val="center"/>
              <w:rPr>
                <w:rFonts w:cs="Calibri"/>
                <w:sz w:val="22"/>
                <w:szCs w:val="22"/>
              </w:rPr>
            </w:pPr>
            <w:r w:rsidRPr="00733FD4">
              <w:rPr>
                <w:rFonts w:cs="Calibri"/>
                <w:sz w:val="22"/>
                <w:szCs w:val="22"/>
              </w:rPr>
              <w:t>July 26</w:t>
            </w:r>
          </w:p>
        </w:tc>
        <w:tc>
          <w:tcPr>
            <w:tcW w:w="2340" w:type="dxa"/>
            <w:tcBorders>
              <w:top w:val="nil"/>
              <w:left w:val="nil"/>
              <w:bottom w:val="single" w:sz="4" w:space="0" w:color="auto"/>
              <w:right w:val="single" w:sz="4" w:space="0" w:color="auto"/>
            </w:tcBorders>
            <w:shd w:val="clear" w:color="auto" w:fill="auto"/>
            <w:vAlign w:val="center"/>
            <w:hideMark/>
          </w:tcPr>
          <w:p w14:paraId="6DF8DCE6" w14:textId="77777777" w:rsidR="00733FD4" w:rsidRPr="00733FD4" w:rsidRDefault="00733FD4" w:rsidP="00733FD4">
            <w:pPr>
              <w:rPr>
                <w:rFonts w:cs="Calibri"/>
                <w:sz w:val="22"/>
                <w:szCs w:val="22"/>
              </w:rPr>
            </w:pPr>
            <w:r w:rsidRPr="00733FD4">
              <w:rPr>
                <w:rFonts w:cs="Calibri"/>
                <w:sz w:val="22"/>
                <w:szCs w:val="22"/>
              </w:rPr>
              <w:t>4 to 7 p.m.</w:t>
            </w:r>
            <w:r w:rsidRPr="00733FD4">
              <w:rPr>
                <w:rFonts w:cs="Calibri"/>
                <w:sz w:val="22"/>
                <w:szCs w:val="22"/>
              </w:rPr>
              <w:br/>
              <w:t>3 to 6 p.m. (PGNC only)</w:t>
            </w:r>
          </w:p>
        </w:tc>
        <w:tc>
          <w:tcPr>
            <w:tcW w:w="1518" w:type="dxa"/>
            <w:tcBorders>
              <w:top w:val="nil"/>
              <w:left w:val="nil"/>
              <w:bottom w:val="single" w:sz="4" w:space="0" w:color="auto"/>
              <w:right w:val="single" w:sz="4" w:space="0" w:color="auto"/>
            </w:tcBorders>
            <w:shd w:val="clear" w:color="auto" w:fill="auto"/>
            <w:vAlign w:val="center"/>
            <w:hideMark/>
          </w:tcPr>
          <w:p w14:paraId="7F3F5D4F" w14:textId="77777777" w:rsidR="00733FD4" w:rsidRPr="00733FD4" w:rsidRDefault="00733FD4" w:rsidP="00733FD4">
            <w:pPr>
              <w:jc w:val="center"/>
              <w:rPr>
                <w:rFonts w:cs="Calibri"/>
                <w:sz w:val="22"/>
                <w:szCs w:val="22"/>
              </w:rPr>
            </w:pPr>
            <w:r w:rsidRPr="00733FD4">
              <w:rPr>
                <w:rFonts w:cs="Calibri"/>
                <w:sz w:val="22"/>
                <w:szCs w:val="22"/>
              </w:rPr>
              <w:t>Market Award</w:t>
            </w:r>
          </w:p>
        </w:tc>
        <w:tc>
          <w:tcPr>
            <w:tcW w:w="1182" w:type="dxa"/>
            <w:tcBorders>
              <w:top w:val="nil"/>
              <w:left w:val="nil"/>
              <w:bottom w:val="single" w:sz="4" w:space="0" w:color="auto"/>
              <w:right w:val="single" w:sz="4" w:space="0" w:color="auto"/>
            </w:tcBorders>
            <w:shd w:val="clear" w:color="auto" w:fill="auto"/>
            <w:vAlign w:val="center"/>
            <w:hideMark/>
          </w:tcPr>
          <w:p w14:paraId="3CEBA659" w14:textId="77777777" w:rsidR="00733FD4" w:rsidRPr="00733FD4" w:rsidRDefault="00733FD4" w:rsidP="00733FD4">
            <w:pPr>
              <w:jc w:val="center"/>
              <w:rPr>
                <w:rFonts w:cs="Calibri"/>
                <w:sz w:val="22"/>
                <w:szCs w:val="22"/>
              </w:rPr>
            </w:pPr>
            <w:r w:rsidRPr="00733FD4">
              <w:rPr>
                <w:rFonts w:cs="Calibri"/>
                <w:sz w:val="22"/>
                <w:szCs w:val="22"/>
              </w:rPr>
              <w:t>Yes</w:t>
            </w:r>
          </w:p>
        </w:tc>
        <w:tc>
          <w:tcPr>
            <w:tcW w:w="1385" w:type="dxa"/>
            <w:tcBorders>
              <w:top w:val="nil"/>
              <w:left w:val="nil"/>
              <w:bottom w:val="single" w:sz="4" w:space="0" w:color="auto"/>
              <w:right w:val="single" w:sz="4" w:space="0" w:color="auto"/>
            </w:tcBorders>
            <w:shd w:val="clear" w:color="auto" w:fill="auto"/>
            <w:vAlign w:val="center"/>
            <w:hideMark/>
          </w:tcPr>
          <w:p w14:paraId="3759678B" w14:textId="77777777" w:rsidR="00733FD4" w:rsidRPr="00733FD4" w:rsidRDefault="00733FD4" w:rsidP="00733FD4">
            <w:pPr>
              <w:rPr>
                <w:rFonts w:cs="Calibri"/>
                <w:sz w:val="22"/>
                <w:szCs w:val="22"/>
              </w:rPr>
            </w:pPr>
            <w:r w:rsidRPr="00733FD4">
              <w:rPr>
                <w:rFonts w:cs="Calibri"/>
                <w:sz w:val="22"/>
                <w:szCs w:val="22"/>
              </w:rPr>
              <w:t>PGEB, PGFG, PGNC, PGST, PGZP</w:t>
            </w:r>
          </w:p>
        </w:tc>
        <w:tc>
          <w:tcPr>
            <w:tcW w:w="1189" w:type="dxa"/>
            <w:tcBorders>
              <w:top w:val="nil"/>
              <w:left w:val="nil"/>
              <w:bottom w:val="single" w:sz="4" w:space="0" w:color="auto"/>
              <w:right w:val="single" w:sz="4" w:space="0" w:color="auto"/>
            </w:tcBorders>
            <w:shd w:val="clear" w:color="auto" w:fill="auto"/>
            <w:noWrap/>
            <w:vAlign w:val="center"/>
            <w:hideMark/>
          </w:tcPr>
          <w:p w14:paraId="7BE616B6" w14:textId="77777777" w:rsidR="00733FD4" w:rsidRPr="00733FD4" w:rsidRDefault="00733FD4" w:rsidP="00733FD4">
            <w:pPr>
              <w:jc w:val="right"/>
              <w:rPr>
                <w:rFonts w:cs="Calibri"/>
                <w:sz w:val="22"/>
                <w:szCs w:val="22"/>
              </w:rPr>
            </w:pPr>
            <w:r w:rsidRPr="00733FD4">
              <w:rPr>
                <w:rFonts w:cs="Calibri"/>
                <w:sz w:val="22"/>
                <w:szCs w:val="22"/>
              </w:rPr>
              <w:t>28,088</w:t>
            </w:r>
          </w:p>
        </w:tc>
      </w:tr>
      <w:tr w:rsidR="00733FD4" w:rsidRPr="00733FD4" w14:paraId="6EF697C1" w14:textId="77777777" w:rsidTr="00733FD4">
        <w:trPr>
          <w:trHeight w:val="60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FBC754C" w14:textId="77777777" w:rsidR="00733FD4" w:rsidRPr="00733FD4" w:rsidRDefault="00733FD4" w:rsidP="00733FD4">
            <w:pPr>
              <w:jc w:val="center"/>
              <w:rPr>
                <w:rFonts w:cs="Calibri"/>
                <w:sz w:val="22"/>
                <w:szCs w:val="22"/>
              </w:rPr>
            </w:pPr>
            <w:r w:rsidRPr="00733FD4">
              <w:rPr>
                <w:rFonts w:cs="Calibri"/>
                <w:sz w:val="22"/>
                <w:szCs w:val="22"/>
              </w:rPr>
              <w:t>July 27</w:t>
            </w:r>
          </w:p>
        </w:tc>
        <w:tc>
          <w:tcPr>
            <w:tcW w:w="2340" w:type="dxa"/>
            <w:tcBorders>
              <w:top w:val="nil"/>
              <w:left w:val="nil"/>
              <w:bottom w:val="single" w:sz="4" w:space="0" w:color="auto"/>
              <w:right w:val="single" w:sz="4" w:space="0" w:color="auto"/>
            </w:tcBorders>
            <w:shd w:val="clear" w:color="auto" w:fill="auto"/>
            <w:vAlign w:val="center"/>
            <w:hideMark/>
          </w:tcPr>
          <w:p w14:paraId="7BECD30D" w14:textId="77777777" w:rsidR="00733FD4" w:rsidRPr="00733FD4" w:rsidRDefault="00733FD4" w:rsidP="00733FD4">
            <w:pPr>
              <w:rPr>
                <w:rFonts w:cs="Calibri"/>
                <w:sz w:val="22"/>
                <w:szCs w:val="22"/>
              </w:rPr>
            </w:pPr>
            <w:r w:rsidRPr="00733FD4">
              <w:rPr>
                <w:rFonts w:cs="Calibri"/>
                <w:sz w:val="22"/>
                <w:szCs w:val="22"/>
              </w:rPr>
              <w:t xml:space="preserve">7 to 11:59 p.m. </w:t>
            </w:r>
          </w:p>
        </w:tc>
        <w:tc>
          <w:tcPr>
            <w:tcW w:w="1518" w:type="dxa"/>
            <w:tcBorders>
              <w:top w:val="nil"/>
              <w:left w:val="nil"/>
              <w:bottom w:val="single" w:sz="4" w:space="0" w:color="auto"/>
              <w:right w:val="single" w:sz="4" w:space="0" w:color="auto"/>
            </w:tcBorders>
            <w:shd w:val="clear" w:color="auto" w:fill="auto"/>
            <w:vAlign w:val="center"/>
            <w:hideMark/>
          </w:tcPr>
          <w:p w14:paraId="47699009" w14:textId="77777777" w:rsidR="00733FD4" w:rsidRPr="00733FD4" w:rsidRDefault="00733FD4" w:rsidP="00733FD4">
            <w:pPr>
              <w:jc w:val="center"/>
              <w:rPr>
                <w:rFonts w:cs="Calibri"/>
                <w:sz w:val="22"/>
                <w:szCs w:val="22"/>
              </w:rPr>
            </w:pPr>
            <w:r w:rsidRPr="00733FD4">
              <w:rPr>
                <w:rFonts w:cs="Calibri"/>
                <w:sz w:val="22"/>
                <w:szCs w:val="22"/>
              </w:rPr>
              <w:t>Transmission Emergency</w:t>
            </w:r>
          </w:p>
        </w:tc>
        <w:tc>
          <w:tcPr>
            <w:tcW w:w="1182" w:type="dxa"/>
            <w:tcBorders>
              <w:top w:val="nil"/>
              <w:left w:val="nil"/>
              <w:bottom w:val="single" w:sz="4" w:space="0" w:color="auto"/>
              <w:right w:val="single" w:sz="4" w:space="0" w:color="auto"/>
            </w:tcBorders>
            <w:shd w:val="clear" w:color="auto" w:fill="auto"/>
            <w:vAlign w:val="center"/>
            <w:hideMark/>
          </w:tcPr>
          <w:p w14:paraId="37C77BEB" w14:textId="77777777" w:rsidR="00733FD4" w:rsidRPr="00733FD4" w:rsidRDefault="00733FD4" w:rsidP="00733FD4">
            <w:pPr>
              <w:jc w:val="center"/>
              <w:rPr>
                <w:rFonts w:cs="Calibri"/>
                <w:sz w:val="22"/>
                <w:szCs w:val="22"/>
              </w:rPr>
            </w:pPr>
            <w:r w:rsidRPr="00733FD4">
              <w:rPr>
                <w:rFonts w:cs="Calibri"/>
                <w:sz w:val="22"/>
                <w:szCs w:val="22"/>
              </w:rPr>
              <w:t>No</w:t>
            </w:r>
          </w:p>
        </w:tc>
        <w:tc>
          <w:tcPr>
            <w:tcW w:w="1385" w:type="dxa"/>
            <w:tcBorders>
              <w:top w:val="nil"/>
              <w:left w:val="nil"/>
              <w:bottom w:val="single" w:sz="4" w:space="0" w:color="auto"/>
              <w:right w:val="single" w:sz="4" w:space="0" w:color="auto"/>
            </w:tcBorders>
            <w:shd w:val="clear" w:color="auto" w:fill="auto"/>
            <w:vAlign w:val="center"/>
            <w:hideMark/>
          </w:tcPr>
          <w:p w14:paraId="7AE9A741" w14:textId="77777777" w:rsidR="00733FD4" w:rsidRPr="00733FD4" w:rsidRDefault="00733FD4" w:rsidP="00733FD4">
            <w:pPr>
              <w:rPr>
                <w:rFonts w:cs="Calibri"/>
                <w:sz w:val="22"/>
                <w:szCs w:val="22"/>
              </w:rPr>
            </w:pPr>
            <w:r w:rsidRPr="00733FD4">
              <w:rPr>
                <w:rFonts w:cs="Calibri"/>
                <w:sz w:val="22"/>
                <w:szCs w:val="22"/>
              </w:rPr>
              <w:t>PGNC</w:t>
            </w:r>
          </w:p>
        </w:tc>
        <w:tc>
          <w:tcPr>
            <w:tcW w:w="1189" w:type="dxa"/>
            <w:tcBorders>
              <w:top w:val="nil"/>
              <w:left w:val="nil"/>
              <w:bottom w:val="single" w:sz="4" w:space="0" w:color="auto"/>
              <w:right w:val="single" w:sz="4" w:space="0" w:color="auto"/>
            </w:tcBorders>
            <w:shd w:val="clear" w:color="auto" w:fill="auto"/>
            <w:noWrap/>
            <w:vAlign w:val="center"/>
            <w:hideMark/>
          </w:tcPr>
          <w:p w14:paraId="70C2745A" w14:textId="77777777" w:rsidR="00733FD4" w:rsidRPr="00733FD4" w:rsidRDefault="00733FD4" w:rsidP="00733FD4">
            <w:pPr>
              <w:jc w:val="right"/>
              <w:rPr>
                <w:rFonts w:cs="Calibri"/>
                <w:sz w:val="22"/>
                <w:szCs w:val="22"/>
              </w:rPr>
            </w:pPr>
            <w:r w:rsidRPr="00733FD4">
              <w:rPr>
                <w:rFonts w:cs="Calibri"/>
                <w:sz w:val="22"/>
                <w:szCs w:val="22"/>
              </w:rPr>
              <w:t>731</w:t>
            </w:r>
          </w:p>
        </w:tc>
      </w:tr>
      <w:tr w:rsidR="00733FD4" w:rsidRPr="00733FD4" w14:paraId="451B5E9B" w14:textId="77777777" w:rsidTr="00733FD4">
        <w:trPr>
          <w:trHeight w:val="88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528B915" w14:textId="77777777" w:rsidR="00733FD4" w:rsidRPr="00733FD4" w:rsidRDefault="00733FD4" w:rsidP="00733FD4">
            <w:pPr>
              <w:jc w:val="center"/>
              <w:rPr>
                <w:rFonts w:cs="Calibri"/>
                <w:sz w:val="22"/>
                <w:szCs w:val="22"/>
              </w:rPr>
            </w:pPr>
            <w:r w:rsidRPr="00733FD4">
              <w:rPr>
                <w:rFonts w:cs="Calibri"/>
                <w:sz w:val="22"/>
                <w:szCs w:val="22"/>
              </w:rPr>
              <w:t>Aug. 8</w:t>
            </w:r>
          </w:p>
        </w:tc>
        <w:tc>
          <w:tcPr>
            <w:tcW w:w="2340" w:type="dxa"/>
            <w:tcBorders>
              <w:top w:val="nil"/>
              <w:left w:val="nil"/>
              <w:bottom w:val="single" w:sz="4" w:space="0" w:color="auto"/>
              <w:right w:val="single" w:sz="4" w:space="0" w:color="auto"/>
            </w:tcBorders>
            <w:shd w:val="clear" w:color="auto" w:fill="auto"/>
            <w:vAlign w:val="center"/>
            <w:hideMark/>
          </w:tcPr>
          <w:p w14:paraId="065118C0" w14:textId="77777777" w:rsidR="00733FD4" w:rsidRPr="00733FD4" w:rsidRDefault="00733FD4" w:rsidP="00733FD4">
            <w:pPr>
              <w:rPr>
                <w:rFonts w:cs="Calibri"/>
                <w:sz w:val="22"/>
                <w:szCs w:val="22"/>
              </w:rPr>
            </w:pPr>
            <w:r w:rsidRPr="00733FD4">
              <w:rPr>
                <w:rFonts w:cs="Calibri"/>
                <w:sz w:val="22"/>
                <w:szCs w:val="22"/>
              </w:rPr>
              <w:t>4 to 7 p.m.</w:t>
            </w:r>
          </w:p>
        </w:tc>
        <w:tc>
          <w:tcPr>
            <w:tcW w:w="1518" w:type="dxa"/>
            <w:tcBorders>
              <w:top w:val="nil"/>
              <w:left w:val="nil"/>
              <w:bottom w:val="single" w:sz="4" w:space="0" w:color="auto"/>
              <w:right w:val="single" w:sz="4" w:space="0" w:color="auto"/>
            </w:tcBorders>
            <w:shd w:val="clear" w:color="auto" w:fill="auto"/>
            <w:vAlign w:val="center"/>
            <w:hideMark/>
          </w:tcPr>
          <w:p w14:paraId="702F211D" w14:textId="77777777" w:rsidR="00733FD4" w:rsidRPr="00733FD4" w:rsidRDefault="00733FD4" w:rsidP="00733FD4">
            <w:pPr>
              <w:jc w:val="center"/>
              <w:rPr>
                <w:rFonts w:cs="Calibri"/>
                <w:sz w:val="22"/>
                <w:szCs w:val="22"/>
              </w:rPr>
            </w:pPr>
            <w:r w:rsidRPr="00733FD4">
              <w:rPr>
                <w:rFonts w:cs="Calibri"/>
                <w:sz w:val="22"/>
                <w:szCs w:val="22"/>
              </w:rPr>
              <w:t>Market Award</w:t>
            </w:r>
          </w:p>
        </w:tc>
        <w:tc>
          <w:tcPr>
            <w:tcW w:w="1182" w:type="dxa"/>
            <w:tcBorders>
              <w:top w:val="nil"/>
              <w:left w:val="nil"/>
              <w:bottom w:val="single" w:sz="4" w:space="0" w:color="auto"/>
              <w:right w:val="single" w:sz="4" w:space="0" w:color="auto"/>
            </w:tcBorders>
            <w:shd w:val="clear" w:color="auto" w:fill="auto"/>
            <w:vAlign w:val="center"/>
            <w:hideMark/>
          </w:tcPr>
          <w:p w14:paraId="5B164B8C" w14:textId="77777777" w:rsidR="00733FD4" w:rsidRPr="00733FD4" w:rsidRDefault="00733FD4" w:rsidP="00733FD4">
            <w:pPr>
              <w:jc w:val="center"/>
              <w:rPr>
                <w:rFonts w:cs="Calibri"/>
                <w:sz w:val="22"/>
                <w:szCs w:val="22"/>
              </w:rPr>
            </w:pPr>
            <w:r w:rsidRPr="00733FD4">
              <w:rPr>
                <w:rFonts w:cs="Calibri"/>
                <w:sz w:val="22"/>
                <w:szCs w:val="22"/>
              </w:rPr>
              <w:t>No</w:t>
            </w:r>
          </w:p>
        </w:tc>
        <w:tc>
          <w:tcPr>
            <w:tcW w:w="1385" w:type="dxa"/>
            <w:tcBorders>
              <w:top w:val="nil"/>
              <w:left w:val="nil"/>
              <w:bottom w:val="single" w:sz="4" w:space="0" w:color="auto"/>
              <w:right w:val="single" w:sz="4" w:space="0" w:color="auto"/>
            </w:tcBorders>
            <w:shd w:val="clear" w:color="auto" w:fill="auto"/>
            <w:vAlign w:val="center"/>
            <w:hideMark/>
          </w:tcPr>
          <w:p w14:paraId="015D1700" w14:textId="77777777" w:rsidR="00733FD4" w:rsidRPr="00733FD4" w:rsidRDefault="00733FD4" w:rsidP="00733FD4">
            <w:pPr>
              <w:rPr>
                <w:rFonts w:cs="Calibri"/>
                <w:sz w:val="22"/>
                <w:szCs w:val="22"/>
              </w:rPr>
            </w:pPr>
            <w:r w:rsidRPr="00733FD4">
              <w:rPr>
                <w:rFonts w:cs="Calibri"/>
                <w:sz w:val="22"/>
                <w:szCs w:val="22"/>
              </w:rPr>
              <w:t>PGEB, PGF1, PGKN, PGST, PGZP</w:t>
            </w:r>
          </w:p>
        </w:tc>
        <w:tc>
          <w:tcPr>
            <w:tcW w:w="1189" w:type="dxa"/>
            <w:tcBorders>
              <w:top w:val="nil"/>
              <w:left w:val="nil"/>
              <w:bottom w:val="single" w:sz="4" w:space="0" w:color="auto"/>
              <w:right w:val="single" w:sz="4" w:space="0" w:color="auto"/>
            </w:tcBorders>
            <w:shd w:val="clear" w:color="auto" w:fill="auto"/>
            <w:noWrap/>
            <w:vAlign w:val="center"/>
            <w:hideMark/>
          </w:tcPr>
          <w:p w14:paraId="6B480602" w14:textId="77777777" w:rsidR="00733FD4" w:rsidRPr="00733FD4" w:rsidRDefault="00733FD4" w:rsidP="00733FD4">
            <w:pPr>
              <w:jc w:val="right"/>
              <w:rPr>
                <w:rFonts w:cs="Calibri"/>
                <w:sz w:val="22"/>
                <w:szCs w:val="22"/>
              </w:rPr>
            </w:pPr>
            <w:r w:rsidRPr="00733FD4">
              <w:rPr>
                <w:rFonts w:cs="Calibri"/>
                <w:sz w:val="22"/>
                <w:szCs w:val="22"/>
              </w:rPr>
              <w:t>53,802</w:t>
            </w:r>
          </w:p>
        </w:tc>
      </w:tr>
      <w:tr w:rsidR="00733FD4" w:rsidRPr="00733FD4" w14:paraId="48D80824" w14:textId="77777777" w:rsidTr="00733FD4">
        <w:trPr>
          <w:trHeight w:val="94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6094AA2" w14:textId="77777777" w:rsidR="00733FD4" w:rsidRPr="00733FD4" w:rsidRDefault="00733FD4" w:rsidP="00733FD4">
            <w:pPr>
              <w:jc w:val="center"/>
              <w:rPr>
                <w:rFonts w:cs="Calibri"/>
                <w:sz w:val="22"/>
                <w:szCs w:val="22"/>
              </w:rPr>
            </w:pPr>
            <w:r w:rsidRPr="00733FD4">
              <w:rPr>
                <w:rFonts w:cs="Calibri"/>
                <w:sz w:val="22"/>
                <w:szCs w:val="22"/>
              </w:rPr>
              <w:t>Aug. 9</w:t>
            </w:r>
          </w:p>
        </w:tc>
        <w:tc>
          <w:tcPr>
            <w:tcW w:w="2340" w:type="dxa"/>
            <w:tcBorders>
              <w:top w:val="nil"/>
              <w:left w:val="nil"/>
              <w:bottom w:val="single" w:sz="4" w:space="0" w:color="auto"/>
              <w:right w:val="single" w:sz="4" w:space="0" w:color="auto"/>
            </w:tcBorders>
            <w:shd w:val="clear" w:color="auto" w:fill="auto"/>
            <w:vAlign w:val="center"/>
            <w:hideMark/>
          </w:tcPr>
          <w:p w14:paraId="6D80F906" w14:textId="77777777" w:rsidR="00733FD4" w:rsidRPr="00733FD4" w:rsidRDefault="00733FD4" w:rsidP="00733FD4">
            <w:pPr>
              <w:rPr>
                <w:rFonts w:cs="Calibri"/>
                <w:sz w:val="22"/>
                <w:szCs w:val="22"/>
              </w:rPr>
            </w:pPr>
            <w:r w:rsidRPr="00733FD4">
              <w:rPr>
                <w:rFonts w:cs="Calibri"/>
                <w:sz w:val="22"/>
                <w:szCs w:val="22"/>
              </w:rPr>
              <w:t xml:space="preserve">4 to 7 p.m. </w:t>
            </w:r>
          </w:p>
        </w:tc>
        <w:tc>
          <w:tcPr>
            <w:tcW w:w="1518" w:type="dxa"/>
            <w:tcBorders>
              <w:top w:val="nil"/>
              <w:left w:val="nil"/>
              <w:bottom w:val="single" w:sz="4" w:space="0" w:color="auto"/>
              <w:right w:val="single" w:sz="4" w:space="0" w:color="auto"/>
            </w:tcBorders>
            <w:shd w:val="clear" w:color="auto" w:fill="auto"/>
            <w:vAlign w:val="center"/>
            <w:hideMark/>
          </w:tcPr>
          <w:p w14:paraId="07DE42A9" w14:textId="77777777" w:rsidR="00733FD4" w:rsidRPr="00733FD4" w:rsidRDefault="00733FD4" w:rsidP="00733FD4">
            <w:pPr>
              <w:jc w:val="center"/>
              <w:rPr>
                <w:rFonts w:cs="Calibri"/>
                <w:sz w:val="22"/>
                <w:szCs w:val="22"/>
              </w:rPr>
            </w:pPr>
            <w:r w:rsidRPr="00733FD4">
              <w:rPr>
                <w:rFonts w:cs="Calibri"/>
                <w:sz w:val="22"/>
                <w:szCs w:val="22"/>
              </w:rPr>
              <w:t>Market Award</w:t>
            </w:r>
          </w:p>
        </w:tc>
        <w:tc>
          <w:tcPr>
            <w:tcW w:w="1182" w:type="dxa"/>
            <w:tcBorders>
              <w:top w:val="nil"/>
              <w:left w:val="nil"/>
              <w:bottom w:val="single" w:sz="4" w:space="0" w:color="auto"/>
              <w:right w:val="single" w:sz="4" w:space="0" w:color="auto"/>
            </w:tcBorders>
            <w:shd w:val="clear" w:color="auto" w:fill="auto"/>
            <w:vAlign w:val="center"/>
            <w:hideMark/>
          </w:tcPr>
          <w:p w14:paraId="74AFFB06" w14:textId="77777777" w:rsidR="00733FD4" w:rsidRPr="00733FD4" w:rsidRDefault="00733FD4" w:rsidP="00733FD4">
            <w:pPr>
              <w:jc w:val="center"/>
              <w:rPr>
                <w:rFonts w:cs="Calibri"/>
                <w:sz w:val="22"/>
                <w:szCs w:val="22"/>
              </w:rPr>
            </w:pPr>
            <w:r w:rsidRPr="00733FD4">
              <w:rPr>
                <w:rFonts w:cs="Calibri"/>
                <w:sz w:val="22"/>
                <w:szCs w:val="22"/>
              </w:rPr>
              <w:t>No</w:t>
            </w:r>
          </w:p>
        </w:tc>
        <w:tc>
          <w:tcPr>
            <w:tcW w:w="1385" w:type="dxa"/>
            <w:tcBorders>
              <w:top w:val="nil"/>
              <w:left w:val="nil"/>
              <w:bottom w:val="single" w:sz="4" w:space="0" w:color="auto"/>
              <w:right w:val="single" w:sz="4" w:space="0" w:color="auto"/>
            </w:tcBorders>
            <w:shd w:val="clear" w:color="auto" w:fill="auto"/>
            <w:vAlign w:val="center"/>
            <w:hideMark/>
          </w:tcPr>
          <w:p w14:paraId="1E3E06C6" w14:textId="77777777" w:rsidR="00733FD4" w:rsidRPr="00733FD4" w:rsidRDefault="00733FD4" w:rsidP="00733FD4">
            <w:pPr>
              <w:rPr>
                <w:rFonts w:cs="Calibri"/>
                <w:sz w:val="22"/>
                <w:szCs w:val="22"/>
              </w:rPr>
            </w:pPr>
            <w:r w:rsidRPr="00733FD4">
              <w:rPr>
                <w:rFonts w:cs="Calibri"/>
                <w:sz w:val="22"/>
                <w:szCs w:val="22"/>
              </w:rPr>
              <w:t>PGEB, PGF1, PGKN, PGST, PGZP, PGSI</w:t>
            </w:r>
          </w:p>
        </w:tc>
        <w:tc>
          <w:tcPr>
            <w:tcW w:w="1189" w:type="dxa"/>
            <w:tcBorders>
              <w:top w:val="nil"/>
              <w:left w:val="nil"/>
              <w:bottom w:val="single" w:sz="4" w:space="0" w:color="auto"/>
              <w:right w:val="single" w:sz="4" w:space="0" w:color="auto"/>
            </w:tcBorders>
            <w:shd w:val="clear" w:color="auto" w:fill="auto"/>
            <w:noWrap/>
            <w:vAlign w:val="center"/>
            <w:hideMark/>
          </w:tcPr>
          <w:p w14:paraId="4C969B7E" w14:textId="77777777" w:rsidR="00733FD4" w:rsidRPr="00733FD4" w:rsidRDefault="00733FD4" w:rsidP="00733FD4">
            <w:pPr>
              <w:jc w:val="right"/>
              <w:rPr>
                <w:rFonts w:cs="Calibri"/>
                <w:sz w:val="22"/>
                <w:szCs w:val="22"/>
              </w:rPr>
            </w:pPr>
            <w:r w:rsidRPr="00733FD4">
              <w:rPr>
                <w:rFonts w:cs="Calibri"/>
                <w:sz w:val="22"/>
                <w:szCs w:val="22"/>
              </w:rPr>
              <w:t>70,251</w:t>
            </w:r>
          </w:p>
        </w:tc>
      </w:tr>
      <w:tr w:rsidR="00733FD4" w:rsidRPr="00733FD4" w14:paraId="456A34D3" w14:textId="77777777" w:rsidTr="00733FD4">
        <w:trPr>
          <w:trHeight w:val="66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2BD1EFA" w14:textId="77777777" w:rsidR="00733FD4" w:rsidRPr="00733FD4" w:rsidRDefault="00733FD4" w:rsidP="00733FD4">
            <w:pPr>
              <w:jc w:val="center"/>
              <w:rPr>
                <w:rFonts w:cs="Calibri"/>
                <w:sz w:val="22"/>
                <w:szCs w:val="22"/>
              </w:rPr>
            </w:pPr>
            <w:r w:rsidRPr="00733FD4">
              <w:rPr>
                <w:rFonts w:cs="Calibri"/>
                <w:sz w:val="22"/>
                <w:szCs w:val="22"/>
              </w:rPr>
              <w:t>Aug. 10</w:t>
            </w:r>
          </w:p>
        </w:tc>
        <w:tc>
          <w:tcPr>
            <w:tcW w:w="2340" w:type="dxa"/>
            <w:tcBorders>
              <w:top w:val="nil"/>
              <w:left w:val="nil"/>
              <w:bottom w:val="single" w:sz="4" w:space="0" w:color="auto"/>
              <w:right w:val="single" w:sz="4" w:space="0" w:color="auto"/>
            </w:tcBorders>
            <w:shd w:val="clear" w:color="auto" w:fill="auto"/>
            <w:vAlign w:val="center"/>
            <w:hideMark/>
          </w:tcPr>
          <w:p w14:paraId="4C5A24C0" w14:textId="77777777" w:rsidR="00733FD4" w:rsidRPr="00733FD4" w:rsidRDefault="00733FD4" w:rsidP="00733FD4">
            <w:pPr>
              <w:rPr>
                <w:rFonts w:cs="Calibri"/>
                <w:sz w:val="22"/>
                <w:szCs w:val="22"/>
              </w:rPr>
            </w:pPr>
            <w:r w:rsidRPr="00733FD4">
              <w:rPr>
                <w:rFonts w:cs="Calibri"/>
                <w:sz w:val="22"/>
                <w:szCs w:val="22"/>
              </w:rPr>
              <w:t>4 to 7 p.m.</w:t>
            </w:r>
          </w:p>
        </w:tc>
        <w:tc>
          <w:tcPr>
            <w:tcW w:w="1518" w:type="dxa"/>
            <w:tcBorders>
              <w:top w:val="nil"/>
              <w:left w:val="nil"/>
              <w:bottom w:val="single" w:sz="4" w:space="0" w:color="auto"/>
              <w:right w:val="single" w:sz="4" w:space="0" w:color="auto"/>
            </w:tcBorders>
            <w:shd w:val="clear" w:color="auto" w:fill="auto"/>
            <w:vAlign w:val="center"/>
            <w:hideMark/>
          </w:tcPr>
          <w:p w14:paraId="3940C1FA" w14:textId="77777777" w:rsidR="00733FD4" w:rsidRPr="00733FD4" w:rsidRDefault="00733FD4" w:rsidP="00733FD4">
            <w:pPr>
              <w:jc w:val="center"/>
              <w:rPr>
                <w:rFonts w:cs="Calibri"/>
                <w:sz w:val="22"/>
                <w:szCs w:val="22"/>
              </w:rPr>
            </w:pPr>
            <w:r w:rsidRPr="00733FD4">
              <w:rPr>
                <w:rFonts w:cs="Calibri"/>
                <w:sz w:val="22"/>
                <w:szCs w:val="22"/>
              </w:rPr>
              <w:t>Market Award</w:t>
            </w:r>
          </w:p>
        </w:tc>
        <w:tc>
          <w:tcPr>
            <w:tcW w:w="1182" w:type="dxa"/>
            <w:tcBorders>
              <w:top w:val="nil"/>
              <w:left w:val="nil"/>
              <w:bottom w:val="single" w:sz="4" w:space="0" w:color="auto"/>
              <w:right w:val="single" w:sz="4" w:space="0" w:color="auto"/>
            </w:tcBorders>
            <w:shd w:val="clear" w:color="auto" w:fill="auto"/>
            <w:vAlign w:val="center"/>
            <w:hideMark/>
          </w:tcPr>
          <w:p w14:paraId="045E60B3" w14:textId="77777777" w:rsidR="00733FD4" w:rsidRPr="00733FD4" w:rsidRDefault="00733FD4" w:rsidP="00733FD4">
            <w:pPr>
              <w:jc w:val="center"/>
              <w:rPr>
                <w:rFonts w:cs="Calibri"/>
                <w:sz w:val="22"/>
                <w:szCs w:val="22"/>
              </w:rPr>
            </w:pPr>
            <w:r w:rsidRPr="00733FD4">
              <w:rPr>
                <w:rFonts w:cs="Calibri"/>
                <w:sz w:val="22"/>
                <w:szCs w:val="22"/>
              </w:rPr>
              <w:t>No</w:t>
            </w:r>
          </w:p>
        </w:tc>
        <w:tc>
          <w:tcPr>
            <w:tcW w:w="1385" w:type="dxa"/>
            <w:tcBorders>
              <w:top w:val="nil"/>
              <w:left w:val="nil"/>
              <w:bottom w:val="single" w:sz="4" w:space="0" w:color="auto"/>
              <w:right w:val="single" w:sz="4" w:space="0" w:color="auto"/>
            </w:tcBorders>
            <w:shd w:val="clear" w:color="auto" w:fill="auto"/>
            <w:vAlign w:val="center"/>
            <w:hideMark/>
          </w:tcPr>
          <w:p w14:paraId="33B07471" w14:textId="77777777" w:rsidR="00733FD4" w:rsidRPr="00733FD4" w:rsidRDefault="00733FD4" w:rsidP="00733FD4">
            <w:pPr>
              <w:rPr>
                <w:rFonts w:cs="Calibri"/>
                <w:sz w:val="22"/>
                <w:szCs w:val="22"/>
              </w:rPr>
            </w:pPr>
            <w:r w:rsidRPr="00733FD4">
              <w:rPr>
                <w:rFonts w:cs="Calibri"/>
                <w:sz w:val="22"/>
                <w:szCs w:val="22"/>
              </w:rPr>
              <w:t>PGF1, PGKN, PGZP</w:t>
            </w:r>
          </w:p>
        </w:tc>
        <w:tc>
          <w:tcPr>
            <w:tcW w:w="1189" w:type="dxa"/>
            <w:tcBorders>
              <w:top w:val="nil"/>
              <w:left w:val="nil"/>
              <w:bottom w:val="single" w:sz="4" w:space="0" w:color="auto"/>
              <w:right w:val="single" w:sz="4" w:space="0" w:color="auto"/>
            </w:tcBorders>
            <w:shd w:val="clear" w:color="auto" w:fill="auto"/>
            <w:noWrap/>
            <w:vAlign w:val="center"/>
            <w:hideMark/>
          </w:tcPr>
          <w:p w14:paraId="136FDC7C" w14:textId="77777777" w:rsidR="00733FD4" w:rsidRPr="00733FD4" w:rsidRDefault="00733FD4" w:rsidP="00733FD4">
            <w:pPr>
              <w:jc w:val="right"/>
              <w:rPr>
                <w:rFonts w:cs="Calibri"/>
                <w:sz w:val="22"/>
                <w:szCs w:val="22"/>
              </w:rPr>
            </w:pPr>
            <w:r w:rsidRPr="00733FD4">
              <w:rPr>
                <w:rFonts w:cs="Calibri"/>
                <w:sz w:val="22"/>
                <w:szCs w:val="22"/>
              </w:rPr>
              <w:t>25,148</w:t>
            </w:r>
          </w:p>
        </w:tc>
      </w:tr>
      <w:tr w:rsidR="00733FD4" w:rsidRPr="00733FD4" w14:paraId="371A8A2B" w14:textId="77777777" w:rsidTr="00733FD4">
        <w:trPr>
          <w:trHeight w:val="60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67949D6" w14:textId="77777777" w:rsidR="00733FD4" w:rsidRPr="00733FD4" w:rsidRDefault="00733FD4" w:rsidP="00733FD4">
            <w:pPr>
              <w:jc w:val="center"/>
              <w:rPr>
                <w:rFonts w:cs="Calibri"/>
                <w:sz w:val="22"/>
                <w:szCs w:val="22"/>
              </w:rPr>
            </w:pPr>
            <w:r w:rsidRPr="00733FD4">
              <w:rPr>
                <w:rFonts w:cs="Calibri"/>
                <w:sz w:val="22"/>
                <w:szCs w:val="22"/>
              </w:rPr>
              <w:t>Sep. 26</w:t>
            </w:r>
          </w:p>
        </w:tc>
        <w:tc>
          <w:tcPr>
            <w:tcW w:w="2340" w:type="dxa"/>
            <w:tcBorders>
              <w:top w:val="nil"/>
              <w:left w:val="nil"/>
              <w:bottom w:val="single" w:sz="4" w:space="0" w:color="auto"/>
              <w:right w:val="single" w:sz="4" w:space="0" w:color="auto"/>
            </w:tcBorders>
            <w:shd w:val="clear" w:color="auto" w:fill="auto"/>
            <w:vAlign w:val="center"/>
            <w:hideMark/>
          </w:tcPr>
          <w:p w14:paraId="46125FA6" w14:textId="77777777" w:rsidR="00733FD4" w:rsidRPr="00733FD4" w:rsidRDefault="00733FD4" w:rsidP="00733FD4">
            <w:pPr>
              <w:rPr>
                <w:rFonts w:cs="Calibri"/>
                <w:sz w:val="22"/>
                <w:szCs w:val="22"/>
              </w:rPr>
            </w:pPr>
            <w:r w:rsidRPr="00733FD4">
              <w:rPr>
                <w:rFonts w:cs="Calibri"/>
                <w:sz w:val="22"/>
                <w:szCs w:val="22"/>
              </w:rPr>
              <w:t xml:space="preserve">5 to 8 p.m. </w:t>
            </w:r>
          </w:p>
        </w:tc>
        <w:tc>
          <w:tcPr>
            <w:tcW w:w="1518" w:type="dxa"/>
            <w:tcBorders>
              <w:top w:val="nil"/>
              <w:left w:val="nil"/>
              <w:bottom w:val="single" w:sz="4" w:space="0" w:color="auto"/>
              <w:right w:val="single" w:sz="4" w:space="0" w:color="auto"/>
            </w:tcBorders>
            <w:shd w:val="clear" w:color="auto" w:fill="auto"/>
            <w:vAlign w:val="center"/>
            <w:hideMark/>
          </w:tcPr>
          <w:p w14:paraId="49EC3307" w14:textId="77777777" w:rsidR="00733FD4" w:rsidRPr="00733FD4" w:rsidRDefault="00733FD4" w:rsidP="00733FD4">
            <w:pPr>
              <w:jc w:val="center"/>
              <w:rPr>
                <w:rFonts w:cs="Calibri"/>
                <w:sz w:val="22"/>
                <w:szCs w:val="22"/>
              </w:rPr>
            </w:pPr>
            <w:r w:rsidRPr="00733FD4">
              <w:rPr>
                <w:rFonts w:cs="Calibri"/>
                <w:sz w:val="22"/>
                <w:szCs w:val="22"/>
              </w:rPr>
              <w:t>Market Award</w:t>
            </w:r>
          </w:p>
        </w:tc>
        <w:tc>
          <w:tcPr>
            <w:tcW w:w="1182" w:type="dxa"/>
            <w:tcBorders>
              <w:top w:val="nil"/>
              <w:left w:val="nil"/>
              <w:bottom w:val="single" w:sz="4" w:space="0" w:color="auto"/>
              <w:right w:val="single" w:sz="4" w:space="0" w:color="auto"/>
            </w:tcBorders>
            <w:shd w:val="clear" w:color="auto" w:fill="auto"/>
            <w:vAlign w:val="center"/>
            <w:hideMark/>
          </w:tcPr>
          <w:p w14:paraId="056E7793" w14:textId="77777777" w:rsidR="00733FD4" w:rsidRPr="00733FD4" w:rsidRDefault="00733FD4" w:rsidP="00733FD4">
            <w:pPr>
              <w:jc w:val="center"/>
              <w:rPr>
                <w:rFonts w:cs="Calibri"/>
                <w:sz w:val="22"/>
                <w:szCs w:val="22"/>
              </w:rPr>
            </w:pPr>
            <w:r w:rsidRPr="00733FD4">
              <w:rPr>
                <w:rFonts w:cs="Calibri"/>
                <w:sz w:val="22"/>
                <w:szCs w:val="22"/>
              </w:rPr>
              <w:t>No</w:t>
            </w:r>
          </w:p>
        </w:tc>
        <w:tc>
          <w:tcPr>
            <w:tcW w:w="1385" w:type="dxa"/>
            <w:tcBorders>
              <w:top w:val="nil"/>
              <w:left w:val="nil"/>
              <w:bottom w:val="single" w:sz="4" w:space="0" w:color="auto"/>
              <w:right w:val="single" w:sz="4" w:space="0" w:color="auto"/>
            </w:tcBorders>
            <w:shd w:val="clear" w:color="auto" w:fill="auto"/>
            <w:vAlign w:val="center"/>
            <w:hideMark/>
          </w:tcPr>
          <w:p w14:paraId="79EE08AF" w14:textId="77777777" w:rsidR="00733FD4" w:rsidRPr="00733FD4" w:rsidRDefault="00733FD4" w:rsidP="00733FD4">
            <w:pPr>
              <w:rPr>
                <w:rFonts w:cs="Calibri"/>
                <w:sz w:val="22"/>
                <w:szCs w:val="22"/>
              </w:rPr>
            </w:pPr>
            <w:r w:rsidRPr="00733FD4">
              <w:rPr>
                <w:rFonts w:cs="Calibri"/>
                <w:sz w:val="22"/>
                <w:szCs w:val="22"/>
              </w:rPr>
              <w:t>PGNC</w:t>
            </w:r>
          </w:p>
        </w:tc>
        <w:tc>
          <w:tcPr>
            <w:tcW w:w="1189" w:type="dxa"/>
            <w:tcBorders>
              <w:top w:val="nil"/>
              <w:left w:val="nil"/>
              <w:bottom w:val="single" w:sz="4" w:space="0" w:color="auto"/>
              <w:right w:val="single" w:sz="4" w:space="0" w:color="auto"/>
            </w:tcBorders>
            <w:shd w:val="clear" w:color="auto" w:fill="auto"/>
            <w:noWrap/>
            <w:vAlign w:val="center"/>
            <w:hideMark/>
          </w:tcPr>
          <w:p w14:paraId="3BD009F3" w14:textId="77777777" w:rsidR="00733FD4" w:rsidRPr="00733FD4" w:rsidRDefault="00733FD4" w:rsidP="00733FD4">
            <w:pPr>
              <w:jc w:val="right"/>
              <w:rPr>
                <w:rFonts w:cs="Calibri"/>
                <w:sz w:val="22"/>
                <w:szCs w:val="22"/>
              </w:rPr>
            </w:pPr>
            <w:r w:rsidRPr="00733FD4">
              <w:rPr>
                <w:rFonts w:cs="Calibri"/>
                <w:sz w:val="22"/>
                <w:szCs w:val="22"/>
              </w:rPr>
              <w:t>719</w:t>
            </w:r>
          </w:p>
        </w:tc>
      </w:tr>
    </w:tbl>
    <w:p w14:paraId="77D3884B" w14:textId="12CD1162" w:rsidR="00703A1E" w:rsidRDefault="00703A1E" w:rsidP="00A77E77">
      <w:r>
        <w:t xml:space="preserve"> </w:t>
      </w:r>
    </w:p>
    <w:p w14:paraId="5E8CA730" w14:textId="3EC0CA0D" w:rsidR="0050345B" w:rsidRPr="00B87F72" w:rsidRDefault="00546AFB" w:rsidP="0050345B">
      <w:pPr>
        <w:spacing w:after="120"/>
      </w:pPr>
      <w:r>
        <w:t>SmartAC™</w:t>
      </w:r>
      <w:r w:rsidR="0050345B" w:rsidRPr="00CC5B63">
        <w:t xml:space="preserve"> customers </w:t>
      </w:r>
      <w:r w:rsidR="00E45CE9">
        <w:t>have historically been</w:t>
      </w:r>
      <w:r w:rsidR="0050345B" w:rsidRPr="00CC5B63">
        <w:t xml:space="preserve"> eligible to </w:t>
      </w:r>
      <w:r w:rsidR="00E45CE9">
        <w:t xml:space="preserve">also </w:t>
      </w:r>
      <w:r w:rsidR="0050345B" w:rsidRPr="00CC5B63">
        <w:t xml:space="preserve">enroll in the SmartRate™ program. </w:t>
      </w:r>
      <w:r w:rsidR="00E45CE9" w:rsidRPr="00E45CE9">
        <w:t>A recent CPUC decision grandfathers these dual participants through October 26, 2018</w:t>
      </w:r>
      <w:r w:rsidR="00E45CE9">
        <w:t>,</w:t>
      </w:r>
      <w:r w:rsidR="00E45CE9" w:rsidRPr="00E45CE9">
        <w:t xml:space="preserve"> but subsequent new dual participation is prohibited. </w:t>
      </w:r>
      <w:r w:rsidR="0050345B" w:rsidRPr="00CC5B63">
        <w:t xml:space="preserve">As of May 2018, </w:t>
      </w:r>
      <w:r>
        <w:t>SmartAC™</w:t>
      </w:r>
      <w:r w:rsidR="0050345B" w:rsidRPr="00CC5B63">
        <w:t xml:space="preserve"> had over </w:t>
      </w:r>
      <w:r w:rsidR="0050345B" w:rsidRPr="004C54C7">
        <w:t>113,000</w:t>
      </w:r>
      <w:r w:rsidR="0050345B" w:rsidRPr="00CC5B63">
        <w:t xml:space="preserve"> active enrolled residential customers; approximately </w:t>
      </w:r>
      <w:r w:rsidR="0050345B" w:rsidRPr="004C54C7">
        <w:t>27,000</w:t>
      </w:r>
      <w:r w:rsidR="0050345B" w:rsidRPr="00CC5B63">
        <w:t xml:space="preserve"> of these customers were dually enrolled in </w:t>
      </w:r>
      <w:r>
        <w:t>SmartAC™</w:t>
      </w:r>
      <w:r w:rsidR="0050345B" w:rsidRPr="00CC5B63">
        <w:t xml:space="preserve"> and SmartRate™.</w:t>
      </w:r>
      <w:r w:rsidR="00141C88">
        <w:rPr>
          <w:rStyle w:val="FootnoteReference"/>
        </w:rPr>
        <w:footnoteReference w:id="1"/>
      </w:r>
      <w:r w:rsidR="0050345B" w:rsidRPr="00CC5B63">
        <w:t xml:space="preserve"> On days whe</w:t>
      </w:r>
      <w:r w:rsidR="00141C88">
        <w:t>n</w:t>
      </w:r>
      <w:r w:rsidR="0050345B" w:rsidRPr="00CC5B63">
        <w:t xml:space="preserve"> both a </w:t>
      </w:r>
      <w:r>
        <w:t>SmartAC™</w:t>
      </w:r>
      <w:r w:rsidR="0050345B" w:rsidRPr="00CC5B63">
        <w:t xml:space="preserve"> event and a SmartRate™ event</w:t>
      </w:r>
      <w:r w:rsidR="00141C88">
        <w:t xml:space="preserve"> is</w:t>
      </w:r>
      <w:r w:rsidR="0050345B" w:rsidRPr="00CC5B63">
        <w:t xml:space="preserve"> called, the</w:t>
      </w:r>
      <w:r w:rsidR="007E2AA2">
        <w:t xml:space="preserve"> SmartRate</w:t>
      </w:r>
      <w:r w:rsidR="00DC200C">
        <w:rPr>
          <w:rFonts w:cs="Calibri"/>
        </w:rPr>
        <w:t>™</w:t>
      </w:r>
      <w:r w:rsidR="007E2AA2">
        <w:t xml:space="preserve"> customers are withheld from SmartAC</w:t>
      </w:r>
      <w:r w:rsidR="00DC200C">
        <w:rPr>
          <w:rFonts w:cs="Calibri"/>
        </w:rPr>
        <w:t>™</w:t>
      </w:r>
      <w:r w:rsidR="007E2AA2">
        <w:t xml:space="preserve"> events and the</w:t>
      </w:r>
      <w:r w:rsidR="0050345B" w:rsidRPr="00CC5B63">
        <w:t xml:space="preserve"> response from dually enrolled customers is attributed to the SmartRate™ program.</w:t>
      </w:r>
    </w:p>
    <w:p w14:paraId="588F195A" w14:textId="54F6C184" w:rsidR="00CE28FA" w:rsidRDefault="00CE28FA" w:rsidP="00E84DD2">
      <w:pPr>
        <w:spacing w:after="120"/>
      </w:pPr>
      <w:r>
        <w:t>The primary goals of the evaluation include:</w:t>
      </w:r>
    </w:p>
    <w:p w14:paraId="04CC69F7" w14:textId="4ED4F320" w:rsidR="00CE28FA" w:rsidRDefault="00CE28FA" w:rsidP="00D22D3B">
      <w:pPr>
        <w:numPr>
          <w:ilvl w:val="0"/>
          <w:numId w:val="7"/>
        </w:numPr>
        <w:spacing w:after="120"/>
      </w:pPr>
      <w:r>
        <w:t xml:space="preserve">Estimate hourly </w:t>
      </w:r>
      <w:r>
        <w:rPr>
          <w:i/>
        </w:rPr>
        <w:t>ex-post</w:t>
      </w:r>
      <w:r>
        <w:t xml:space="preserve"> load impacts</w:t>
      </w:r>
      <w:r w:rsidR="00397822">
        <w:t xml:space="preserve"> for the 2018 program year</w:t>
      </w:r>
      <w:r w:rsidR="00961C90">
        <w:t>, including:</w:t>
      </w:r>
    </w:p>
    <w:p w14:paraId="5A7FDF80" w14:textId="2DB59A64" w:rsidR="00961C90" w:rsidRDefault="00961C90" w:rsidP="00D22D3B">
      <w:pPr>
        <w:numPr>
          <w:ilvl w:val="1"/>
          <w:numId w:val="7"/>
        </w:numPr>
        <w:spacing w:after="120"/>
      </w:pPr>
      <w:r>
        <w:t>Hourly and average daily load impacts for each event</w:t>
      </w:r>
      <w:r w:rsidR="00002E97">
        <w:t>;</w:t>
      </w:r>
    </w:p>
    <w:p w14:paraId="18F17C24" w14:textId="6BF7D389" w:rsidR="00961C90" w:rsidRDefault="00961C90" w:rsidP="00D22D3B">
      <w:pPr>
        <w:numPr>
          <w:ilvl w:val="1"/>
          <w:numId w:val="7"/>
        </w:numPr>
        <w:spacing w:after="120"/>
      </w:pPr>
      <w:r>
        <w:t>The distribution of hourly and average daily load impacts by customer segment, including: sub-LAP, CARE/non-CARE customers, net-metering solar customers (NEM), housing type (</w:t>
      </w:r>
      <w:r w:rsidRPr="00734479">
        <w:rPr>
          <w:i/>
        </w:rPr>
        <w:t>i.e.</w:t>
      </w:r>
      <w:r w:rsidR="00002E97">
        <w:t>,</w:t>
      </w:r>
      <w:r>
        <w:t xml:space="preserve"> single family vs. multifamily customers), AC usage intensity, device type (</w:t>
      </w:r>
      <w:r w:rsidRPr="00734479">
        <w:rPr>
          <w:i/>
        </w:rPr>
        <w:t>i.e.</w:t>
      </w:r>
      <w:r w:rsidR="00002E97">
        <w:t>,</w:t>
      </w:r>
      <w:r>
        <w:t xml:space="preserve"> </w:t>
      </w:r>
      <w:r w:rsidR="0050345B">
        <w:t>ExpressStat, Utili</w:t>
      </w:r>
      <w:r w:rsidR="00CA1B26">
        <w:t>tyP</w:t>
      </w:r>
      <w:r w:rsidR="0050345B">
        <w:t>ro, Gen 1</w:t>
      </w:r>
      <w:r w:rsidR="000C5D9E">
        <w:t>, and Gen 2</w:t>
      </w:r>
      <w:r>
        <w:t>)</w:t>
      </w:r>
      <w:r w:rsidR="008B69EF">
        <w:rPr>
          <w:rStyle w:val="FootnoteReference"/>
        </w:rPr>
        <w:footnoteReference w:id="2"/>
      </w:r>
      <w:r>
        <w:t>, customers with multiple devices, and by marketing cohort</w:t>
      </w:r>
      <w:r>
        <w:rPr>
          <w:rStyle w:val="FootnoteReference"/>
        </w:rPr>
        <w:footnoteReference w:id="3"/>
      </w:r>
      <w:r w:rsidR="00002E97">
        <w:t>;</w:t>
      </w:r>
      <w:r>
        <w:t xml:space="preserve"> </w:t>
      </w:r>
    </w:p>
    <w:p w14:paraId="669D0FA3" w14:textId="369A5DAB" w:rsidR="00534D53" w:rsidRDefault="00534D53" w:rsidP="00D22D3B">
      <w:pPr>
        <w:numPr>
          <w:ilvl w:val="1"/>
          <w:numId w:val="7"/>
        </w:numPr>
        <w:spacing w:after="120"/>
      </w:pPr>
      <w:r>
        <w:t xml:space="preserve">Load Impact estimates for </w:t>
      </w:r>
      <w:r w:rsidR="00546AFB">
        <w:t>SmartAC™</w:t>
      </w:r>
      <w:r>
        <w:t xml:space="preserve">-only customers as compared to customers who are dually enrolled in </w:t>
      </w:r>
      <w:r w:rsidR="00546AFB">
        <w:t>SmartAC™</w:t>
      </w:r>
      <w:r>
        <w:t xml:space="preserve"> and SmartRate</w:t>
      </w:r>
      <w:r>
        <w:rPr>
          <w:rFonts w:cs="Calibri"/>
        </w:rPr>
        <w:t>™</w:t>
      </w:r>
      <w:r w:rsidR="00002E97">
        <w:rPr>
          <w:rFonts w:cs="Calibri"/>
        </w:rPr>
        <w:t>;</w:t>
      </w:r>
    </w:p>
    <w:p w14:paraId="4AA8213A" w14:textId="0BA290AD" w:rsidR="00534D53" w:rsidRPr="004C54C7" w:rsidRDefault="00534D53" w:rsidP="00D22D3B">
      <w:pPr>
        <w:numPr>
          <w:ilvl w:val="1"/>
          <w:numId w:val="7"/>
        </w:numPr>
        <w:spacing w:after="120"/>
      </w:pPr>
      <w:r w:rsidRPr="004C54C7">
        <w:t>The opt-out</w:t>
      </w:r>
      <w:r w:rsidR="0086632C" w:rsidRPr="004C54C7">
        <w:t xml:space="preserve"> / override</w:t>
      </w:r>
      <w:r w:rsidRPr="004C54C7">
        <w:t xml:space="preserve"> rate by customer segment</w:t>
      </w:r>
      <w:r w:rsidRPr="004C54C7">
        <w:rPr>
          <w:rStyle w:val="FootnoteReference"/>
        </w:rPr>
        <w:footnoteReference w:id="4"/>
      </w:r>
      <w:r w:rsidR="00002E97" w:rsidRPr="004C54C7">
        <w:t>; and</w:t>
      </w:r>
    </w:p>
    <w:p w14:paraId="6E758B62" w14:textId="08161674" w:rsidR="00534D53" w:rsidRPr="00534BDA" w:rsidRDefault="00534D53" w:rsidP="00D22D3B">
      <w:pPr>
        <w:numPr>
          <w:ilvl w:val="1"/>
          <w:numId w:val="7"/>
        </w:numPr>
        <w:spacing w:after="120"/>
      </w:pPr>
      <w:r w:rsidRPr="00534BDA">
        <w:t>The persistence of load reductions across event-hours for multiple hour events</w:t>
      </w:r>
      <w:r w:rsidR="00002E97" w:rsidRPr="00534BDA">
        <w:t>.</w:t>
      </w:r>
      <w:r w:rsidR="0067528D">
        <w:rPr>
          <w:rStyle w:val="FootnoteReference"/>
        </w:rPr>
        <w:footnoteReference w:id="5"/>
      </w:r>
    </w:p>
    <w:p w14:paraId="622970BC" w14:textId="32C9EAD3" w:rsidR="00CE28FA" w:rsidRDefault="00CE28FA" w:rsidP="00D22D3B">
      <w:pPr>
        <w:numPr>
          <w:ilvl w:val="0"/>
          <w:numId w:val="7"/>
        </w:numPr>
        <w:spacing w:after="120"/>
      </w:pPr>
      <w:r>
        <w:t xml:space="preserve">Produce </w:t>
      </w:r>
      <w:r>
        <w:rPr>
          <w:i/>
        </w:rPr>
        <w:t>ex-ante</w:t>
      </w:r>
      <w:r>
        <w:t xml:space="preserve"> load impact forecasts for 201</w:t>
      </w:r>
      <w:r w:rsidR="00534D53">
        <w:t>9</w:t>
      </w:r>
      <w:r>
        <w:t>-202</w:t>
      </w:r>
      <w:r w:rsidR="00534D53">
        <w:t>9</w:t>
      </w:r>
      <w:r w:rsidR="00DA2843">
        <w:t xml:space="preserve"> by LCA</w:t>
      </w:r>
      <w:r w:rsidR="0033070F">
        <w:t xml:space="preserve"> on an aggregate and per customer basis for a typical event day and the monthly system peak load day for May through October. Forecasts are based on the following four sets of weather conditions:</w:t>
      </w:r>
    </w:p>
    <w:p w14:paraId="1121E438" w14:textId="2CD7446E" w:rsidR="0033070F" w:rsidRDefault="0033070F" w:rsidP="00D22D3B">
      <w:pPr>
        <w:numPr>
          <w:ilvl w:val="1"/>
          <w:numId w:val="7"/>
        </w:numPr>
        <w:spacing w:after="120"/>
      </w:pPr>
      <w:r>
        <w:t xml:space="preserve">PG&amp;E’s peaking conditions </w:t>
      </w:r>
      <w:r w:rsidR="008E5119">
        <w:t xml:space="preserve">in a </w:t>
      </w:r>
      <w:r>
        <w:t>1-in-2</w:t>
      </w:r>
      <w:r w:rsidR="008E5119">
        <w:t xml:space="preserve"> weather year;</w:t>
      </w:r>
    </w:p>
    <w:p w14:paraId="5C3D0212" w14:textId="3A38F32B" w:rsidR="0033070F" w:rsidRDefault="0033070F" w:rsidP="00D22D3B">
      <w:pPr>
        <w:numPr>
          <w:ilvl w:val="1"/>
          <w:numId w:val="7"/>
        </w:numPr>
        <w:spacing w:after="120"/>
      </w:pPr>
      <w:r>
        <w:t xml:space="preserve">PG&amp;E’s peaking conditions </w:t>
      </w:r>
      <w:r w:rsidR="008E5119">
        <w:t xml:space="preserve">in a </w:t>
      </w:r>
      <w:r>
        <w:t>1-in-10</w:t>
      </w:r>
      <w:r w:rsidR="008E5119">
        <w:t xml:space="preserve"> weather year;</w:t>
      </w:r>
    </w:p>
    <w:p w14:paraId="2B85628D" w14:textId="7E799A8D" w:rsidR="0033070F" w:rsidRDefault="0033070F" w:rsidP="00D22D3B">
      <w:pPr>
        <w:numPr>
          <w:ilvl w:val="1"/>
          <w:numId w:val="7"/>
        </w:numPr>
        <w:spacing w:after="120"/>
      </w:pPr>
      <w:r>
        <w:t xml:space="preserve">CAISO peaking conditions </w:t>
      </w:r>
      <w:r w:rsidR="008E5119">
        <w:t xml:space="preserve">in a </w:t>
      </w:r>
      <w:r>
        <w:t>1-in-2</w:t>
      </w:r>
      <w:r w:rsidR="008E5119">
        <w:t xml:space="preserve"> weather year; and</w:t>
      </w:r>
    </w:p>
    <w:p w14:paraId="205BF806" w14:textId="35D6A330" w:rsidR="0033070F" w:rsidRDefault="0033070F" w:rsidP="00D22D3B">
      <w:pPr>
        <w:numPr>
          <w:ilvl w:val="1"/>
          <w:numId w:val="7"/>
        </w:numPr>
        <w:spacing w:after="120"/>
      </w:pPr>
      <w:r>
        <w:t xml:space="preserve">CAISO peaking conditions </w:t>
      </w:r>
      <w:r w:rsidR="008E5119">
        <w:t xml:space="preserve">in a </w:t>
      </w:r>
      <w:r>
        <w:t>1-in-10</w:t>
      </w:r>
      <w:r w:rsidR="008E5119">
        <w:t xml:space="preserve"> weather year.</w:t>
      </w:r>
    </w:p>
    <w:p w14:paraId="451CE5E2" w14:textId="61B1A5BE" w:rsidR="00B323AF" w:rsidRPr="00CE28FA" w:rsidRDefault="00CE28FA" w:rsidP="00E84DD2">
      <w:pPr>
        <w:pStyle w:val="BodyText"/>
        <w:rPr>
          <w:rFonts w:ascii="Times New Roman" w:hAnsi="Times New Roman"/>
          <w:szCs w:val="24"/>
        </w:rPr>
      </w:pPr>
      <w:r>
        <w:t>Th</w:t>
      </w:r>
      <w:r w:rsidR="00BA2F06">
        <w:t>e</w:t>
      </w:r>
      <w:r w:rsidR="0033070F">
        <w:t xml:space="preserve"> </w:t>
      </w:r>
      <w:r>
        <w:t>evaluation conform</w:t>
      </w:r>
      <w:r w:rsidR="00AE4797">
        <w:t>s</w:t>
      </w:r>
      <w:r>
        <w:t xml:space="preserve"> to the Load Impact Protocols adopted by the California Public Utilities Commission (CPUC) in April 2008 (D.08-04-050).</w:t>
      </w:r>
      <w:r>
        <w:rPr>
          <w:rFonts w:ascii="Times New Roman" w:hAnsi="Times New Roman"/>
          <w:szCs w:val="24"/>
        </w:rPr>
        <w:t xml:space="preserve"> </w:t>
      </w:r>
    </w:p>
    <w:p w14:paraId="378B894B" w14:textId="2605DF24" w:rsidR="00321E09" w:rsidRDefault="00321E09" w:rsidP="00E84DD2">
      <w:pPr>
        <w:spacing w:after="120"/>
      </w:pPr>
      <w:r w:rsidRPr="00812AB6">
        <w:t>Th</w:t>
      </w:r>
      <w:r w:rsidR="000A3C94">
        <w:t xml:space="preserve">is </w:t>
      </w:r>
      <w:r w:rsidRPr="00812AB6">
        <w:t xml:space="preserve">report is organized </w:t>
      </w:r>
      <w:r w:rsidR="00D76851" w:rsidRPr="00812AB6">
        <w:t>as follows</w:t>
      </w:r>
      <w:r w:rsidR="000A3C94">
        <w:t>:</w:t>
      </w:r>
      <w:r w:rsidR="00D76851" w:rsidRPr="00812AB6">
        <w:t xml:space="preserve"> </w:t>
      </w:r>
      <w:r w:rsidRPr="00812AB6">
        <w:t>Section</w:t>
      </w:r>
      <w:r w:rsidR="00812AB6">
        <w:t xml:space="preserve"> 2</w:t>
      </w:r>
      <w:r w:rsidRPr="00812AB6">
        <w:t xml:space="preserve"> describes the </w:t>
      </w:r>
      <w:r w:rsidR="00FC106E" w:rsidRPr="00812AB6">
        <w:t xml:space="preserve">evaluation </w:t>
      </w:r>
      <w:r w:rsidRPr="00812AB6">
        <w:t>meth</w:t>
      </w:r>
      <w:r w:rsidR="00071500" w:rsidRPr="00812AB6">
        <w:t>ods used in the study; Section</w:t>
      </w:r>
      <w:r w:rsidR="00812AB6">
        <w:t xml:space="preserve"> 3</w:t>
      </w:r>
      <w:r w:rsidRPr="00812AB6">
        <w:t xml:space="preserve"> contains </w:t>
      </w:r>
      <w:r w:rsidR="000A3C94" w:rsidRPr="00E15983">
        <w:rPr>
          <w:i/>
        </w:rPr>
        <w:t>ex-post</w:t>
      </w:r>
      <w:r w:rsidRPr="00812AB6">
        <w:t xml:space="preserve"> load impact results;</w:t>
      </w:r>
      <w:r w:rsidR="004F33D7" w:rsidRPr="00812AB6">
        <w:t xml:space="preserve"> </w:t>
      </w:r>
      <w:r w:rsidR="00071500" w:rsidRPr="00812AB6">
        <w:t>Section</w:t>
      </w:r>
      <w:r w:rsidR="00812AB6">
        <w:t xml:space="preserve"> 4</w:t>
      </w:r>
      <w:r w:rsidR="004F33D7" w:rsidRPr="00812AB6">
        <w:t xml:space="preserve"> </w:t>
      </w:r>
      <w:r w:rsidR="00812AB6" w:rsidRPr="00812AB6">
        <w:t xml:space="preserve">contains </w:t>
      </w:r>
      <w:r w:rsidR="000A3C94" w:rsidRPr="00C45175">
        <w:rPr>
          <w:i/>
        </w:rPr>
        <w:t>ex-ante</w:t>
      </w:r>
      <w:r w:rsidR="000A3C94">
        <w:t xml:space="preserve"> forecasts; Section 5 compares </w:t>
      </w:r>
      <w:r w:rsidR="000A3C94" w:rsidRPr="00E15983">
        <w:rPr>
          <w:i/>
        </w:rPr>
        <w:t>ex-post</w:t>
      </w:r>
      <w:r w:rsidR="000A3C94">
        <w:t xml:space="preserve"> and </w:t>
      </w:r>
      <w:r w:rsidR="000A3C94" w:rsidRPr="00C45175">
        <w:rPr>
          <w:i/>
        </w:rPr>
        <w:t>ex-ante</w:t>
      </w:r>
      <w:r w:rsidR="000A3C94">
        <w:t xml:space="preserve"> estimates to those from previous years; and</w:t>
      </w:r>
      <w:r w:rsidR="00812AB6">
        <w:t xml:space="preserve"> </w:t>
      </w:r>
      <w:r w:rsidR="00047B5B" w:rsidRPr="00812AB6">
        <w:t>Section</w:t>
      </w:r>
      <w:r w:rsidR="00812AB6">
        <w:t xml:space="preserve"> 6 </w:t>
      </w:r>
      <w:r w:rsidR="009E5C4E" w:rsidRPr="00812AB6">
        <w:t xml:space="preserve">provides </w:t>
      </w:r>
      <w:r w:rsidRPr="00812AB6">
        <w:t>recommendations.</w:t>
      </w:r>
      <w:r w:rsidRPr="009068D9">
        <w:t xml:space="preserve"> </w:t>
      </w:r>
      <w:r w:rsidR="00812AB6">
        <w:t>Appendices describe the results of our control-group matching process</w:t>
      </w:r>
      <w:r w:rsidR="00647CB6">
        <w:t>, approaches used to evaluate the quality of results,</w:t>
      </w:r>
      <w:r w:rsidR="00812AB6">
        <w:t xml:space="preserve"> and contain electronic versions of the required Protocol table generators.</w:t>
      </w:r>
    </w:p>
    <w:p w14:paraId="4F147638" w14:textId="789CE954" w:rsidR="000409E9" w:rsidRDefault="006924AF" w:rsidP="00E84DD2">
      <w:pPr>
        <w:pStyle w:val="Heading1"/>
        <w:spacing w:after="120"/>
      </w:pPr>
      <w:bookmarkStart w:id="41" w:name="_Ref506899729"/>
      <w:bookmarkStart w:id="42" w:name="_Toc4578147"/>
      <w:r>
        <w:t xml:space="preserve">Study </w:t>
      </w:r>
      <w:r w:rsidR="00F27AFF">
        <w:t>Methodology</w:t>
      </w:r>
      <w:bookmarkEnd w:id="41"/>
      <w:bookmarkEnd w:id="42"/>
      <w:r w:rsidR="004F33D7">
        <w:t xml:space="preserve"> </w:t>
      </w:r>
    </w:p>
    <w:p w14:paraId="36B040AA" w14:textId="07427D0B" w:rsidR="00E64B9F" w:rsidRPr="00E64B9F" w:rsidRDefault="00E64B9F" w:rsidP="00E64B9F">
      <w:r>
        <w:t xml:space="preserve">The primary objectives of this evaluation were outlined in Section 1. This section describes the data and methods used to produce </w:t>
      </w:r>
      <w:r w:rsidRPr="00E15983">
        <w:rPr>
          <w:i/>
        </w:rPr>
        <w:t>ex-post</w:t>
      </w:r>
      <w:r>
        <w:t xml:space="preserve"> load impacts and </w:t>
      </w:r>
      <w:r w:rsidRPr="00C45175">
        <w:rPr>
          <w:i/>
        </w:rPr>
        <w:t>ex-ante</w:t>
      </w:r>
      <w:r>
        <w:t xml:space="preserve"> forecasts.</w:t>
      </w:r>
    </w:p>
    <w:p w14:paraId="6E3CD718" w14:textId="21018A9D" w:rsidR="000A688F" w:rsidRDefault="006D46F2" w:rsidP="000A688F">
      <w:pPr>
        <w:pStyle w:val="Heading2"/>
      </w:pPr>
      <w:bookmarkStart w:id="43" w:name="_Toc326148608"/>
      <w:bookmarkStart w:id="44" w:name="_Toc494460148"/>
      <w:bookmarkStart w:id="45" w:name="_Toc498089312"/>
      <w:bookmarkStart w:id="46" w:name="_Toc4578148"/>
      <w:r w:rsidRPr="00E15983">
        <w:t>Ex-post</w:t>
      </w:r>
      <w:r w:rsidRPr="006D46F2">
        <w:t xml:space="preserve"> Load Impact Evaluation</w:t>
      </w:r>
      <w:bookmarkEnd w:id="43"/>
      <w:bookmarkEnd w:id="44"/>
      <w:bookmarkEnd w:id="45"/>
      <w:bookmarkEnd w:id="46"/>
    </w:p>
    <w:p w14:paraId="2E4E6515" w14:textId="417A7308" w:rsidR="00E64B9F" w:rsidRDefault="00E64B9F" w:rsidP="00E64B9F">
      <w:r>
        <w:t xml:space="preserve">For the </w:t>
      </w:r>
      <w:r w:rsidRPr="003C71C3">
        <w:rPr>
          <w:i/>
        </w:rPr>
        <w:t>ex-post</w:t>
      </w:r>
      <w:r>
        <w:t xml:space="preserve"> evaluation, we estimate load impacts by comparing </w:t>
      </w:r>
      <w:r w:rsidR="00546AFB">
        <w:t>SmartAC™</w:t>
      </w:r>
      <w:r>
        <w:t xml:space="preserve"> customer loads to </w:t>
      </w:r>
      <w:r w:rsidR="0090214E">
        <w:t>that of a quasi-experimental matched control group</w:t>
      </w:r>
      <w:r>
        <w:t xml:space="preserve"> on event days, </w:t>
      </w:r>
      <w:r w:rsidR="0090214E">
        <w:t xml:space="preserve">net of the </w:t>
      </w:r>
      <w:r>
        <w:t>differences in</w:t>
      </w:r>
      <w:r w:rsidR="0090214E">
        <w:t xml:space="preserve"> </w:t>
      </w:r>
      <w:r>
        <w:t xml:space="preserve">loads on </w:t>
      </w:r>
      <w:r w:rsidR="00D46064">
        <w:t xml:space="preserve">event-like </w:t>
      </w:r>
      <w:r>
        <w:t>non-event days.</w:t>
      </w:r>
      <w:r w:rsidR="00DA3466">
        <w:t xml:space="preserve"> This regression-based approach, known as the difference-in-differences</w:t>
      </w:r>
      <w:r w:rsidR="00991961">
        <w:t xml:space="preserve"> (D-in-D)</w:t>
      </w:r>
      <w:r w:rsidR="00DA3466">
        <w:t xml:space="preserve"> method, can be used to produce estimates of standard errors to develop confidence intervals about the estimated event hour or event day load impacts. </w:t>
      </w:r>
      <w:r>
        <w:t>The eligible control-group customers consist of</w:t>
      </w:r>
      <w:r w:rsidR="0090214E">
        <w:t xml:space="preserve"> residential</w:t>
      </w:r>
      <w:r>
        <w:t xml:space="preserve"> customers who </w:t>
      </w:r>
      <w:r w:rsidR="00070E3F">
        <w:t xml:space="preserve">are </w:t>
      </w:r>
      <w:r w:rsidR="0090214E">
        <w:t xml:space="preserve">not enrolled in </w:t>
      </w:r>
      <w:r w:rsidR="00546AFB">
        <w:t>SmartAC™</w:t>
      </w:r>
      <w:r w:rsidR="0090214E">
        <w:t xml:space="preserve"> or SmartRate</w:t>
      </w:r>
      <w:r w:rsidR="0090214E">
        <w:rPr>
          <w:rFonts w:cs="Calibri"/>
        </w:rPr>
        <w:t>™</w:t>
      </w:r>
      <w:r>
        <w:t>.</w:t>
      </w:r>
      <w:r w:rsidR="00DA3466">
        <w:t xml:space="preserve"> We match control-group customers based on the similarity of available customer characteristics (</w:t>
      </w:r>
      <w:r w:rsidR="00DA3466" w:rsidRPr="00734479">
        <w:rPr>
          <w:i/>
        </w:rPr>
        <w:t>e.g.</w:t>
      </w:r>
      <w:r w:rsidR="008E5119">
        <w:t>,</w:t>
      </w:r>
      <w:r w:rsidR="00DA3466">
        <w:t xml:space="preserve"> sub-LAP, AC usage, CARE status, NEM status) as well as usage patterns on non-event days.</w:t>
      </w:r>
      <w:r>
        <w:t xml:space="preserve"> </w:t>
      </w:r>
    </w:p>
    <w:p w14:paraId="44EE9D05" w14:textId="085007BC" w:rsidR="000A688F" w:rsidRPr="00D223A1" w:rsidRDefault="006D46F2" w:rsidP="00D223A1">
      <w:pPr>
        <w:pStyle w:val="Heading3"/>
      </w:pPr>
      <w:bookmarkStart w:id="47" w:name="_Toc4578149"/>
      <w:r w:rsidRPr="00D223A1">
        <w:t>Data</w:t>
      </w:r>
      <w:bookmarkEnd w:id="47"/>
    </w:p>
    <w:p w14:paraId="110AA9A0" w14:textId="23718B73" w:rsidR="000A688F" w:rsidRDefault="00F6084F" w:rsidP="000A688F">
      <w:r>
        <w:t xml:space="preserve">To </w:t>
      </w:r>
      <w:r w:rsidR="000A688F" w:rsidRPr="006A1B70">
        <w:t>address each of the load impact objectives listed in</w:t>
      </w:r>
      <w:r w:rsidR="00734479">
        <w:t xml:space="preserve"> Section </w:t>
      </w:r>
      <w:r w:rsidR="00734479">
        <w:fldChar w:fldCharType="begin"/>
      </w:r>
      <w:r w:rsidR="00734479">
        <w:instrText xml:space="preserve"> REF _Ref2163674 \r \h </w:instrText>
      </w:r>
      <w:r w:rsidR="00734479">
        <w:fldChar w:fldCharType="separate"/>
      </w:r>
      <w:r w:rsidR="00445DF3">
        <w:t>1</w:t>
      </w:r>
      <w:r w:rsidR="00734479">
        <w:fldChar w:fldCharType="end"/>
      </w:r>
      <w:r>
        <w:t xml:space="preserve">, the </w:t>
      </w:r>
      <w:r w:rsidR="000A688F" w:rsidRPr="006A1B70">
        <w:t xml:space="preserve">following </w:t>
      </w:r>
      <w:r>
        <w:t>data is required</w:t>
      </w:r>
      <w:r w:rsidR="000A688F" w:rsidRPr="006A1B70">
        <w:t>:</w:t>
      </w:r>
    </w:p>
    <w:p w14:paraId="611A2CAD" w14:textId="21C69BAF" w:rsidR="000A688F" w:rsidRPr="00CB6333" w:rsidRDefault="000A688F" w:rsidP="00D22D3B">
      <w:pPr>
        <w:numPr>
          <w:ilvl w:val="0"/>
          <w:numId w:val="2"/>
        </w:numPr>
        <w:rPr>
          <w:szCs w:val="32"/>
        </w:rPr>
      </w:pPr>
      <w:r w:rsidRPr="00CB6333">
        <w:rPr>
          <w:i/>
          <w:szCs w:val="32"/>
        </w:rPr>
        <w:t>Customer</w:t>
      </w:r>
      <w:r w:rsidRPr="00CB6333">
        <w:rPr>
          <w:szCs w:val="32"/>
        </w:rPr>
        <w:t xml:space="preserve"> information for </w:t>
      </w:r>
      <w:r w:rsidR="00546AFB">
        <w:rPr>
          <w:szCs w:val="32"/>
        </w:rPr>
        <w:t>SmartAC™</w:t>
      </w:r>
      <w:r w:rsidR="00F6084F">
        <w:rPr>
          <w:szCs w:val="32"/>
        </w:rPr>
        <w:t xml:space="preserve"> </w:t>
      </w:r>
      <w:r>
        <w:rPr>
          <w:szCs w:val="32"/>
        </w:rPr>
        <w:t>customers</w:t>
      </w:r>
      <w:r w:rsidRPr="00CB6333">
        <w:rPr>
          <w:szCs w:val="32"/>
        </w:rPr>
        <w:t xml:space="preserve"> and potential control</w:t>
      </w:r>
      <w:r>
        <w:rPr>
          <w:szCs w:val="32"/>
        </w:rPr>
        <w:t>-</w:t>
      </w:r>
      <w:r w:rsidRPr="00CB6333">
        <w:rPr>
          <w:szCs w:val="32"/>
        </w:rPr>
        <w:t>group customers (</w:t>
      </w:r>
      <w:r w:rsidRPr="008E5119">
        <w:rPr>
          <w:i/>
          <w:szCs w:val="32"/>
        </w:rPr>
        <w:t>e.g</w:t>
      </w:r>
      <w:r w:rsidRPr="00734479">
        <w:rPr>
          <w:i/>
          <w:szCs w:val="32"/>
        </w:rPr>
        <w:t>.</w:t>
      </w:r>
      <w:r w:rsidR="008E5119">
        <w:rPr>
          <w:szCs w:val="32"/>
        </w:rPr>
        <w:t>,</w:t>
      </w:r>
      <w:r w:rsidRPr="00CB6333">
        <w:rPr>
          <w:szCs w:val="32"/>
        </w:rPr>
        <w:t xml:space="preserve"> </w:t>
      </w:r>
      <w:r w:rsidR="00F6084F">
        <w:rPr>
          <w:szCs w:val="32"/>
        </w:rPr>
        <w:t>sub-LAP, LCA</w:t>
      </w:r>
      <w:r>
        <w:rPr>
          <w:szCs w:val="32"/>
        </w:rPr>
        <w:t>,</w:t>
      </w:r>
      <w:r w:rsidR="00F6084F">
        <w:rPr>
          <w:szCs w:val="32"/>
        </w:rPr>
        <w:t xml:space="preserve"> </w:t>
      </w:r>
      <w:r>
        <w:rPr>
          <w:szCs w:val="32"/>
        </w:rPr>
        <w:t xml:space="preserve">weather station, </w:t>
      </w:r>
      <w:r w:rsidR="00F6084F">
        <w:rPr>
          <w:szCs w:val="32"/>
        </w:rPr>
        <w:t xml:space="preserve">AC usage level, housing type, </w:t>
      </w:r>
      <w:r w:rsidR="00D33FA1">
        <w:rPr>
          <w:szCs w:val="32"/>
        </w:rPr>
        <w:t>CARE status, NEM status</w:t>
      </w:r>
      <w:r w:rsidRPr="00CB6333">
        <w:rPr>
          <w:szCs w:val="32"/>
        </w:rPr>
        <w:t>)</w:t>
      </w:r>
      <w:r w:rsidR="00FA32D3">
        <w:rPr>
          <w:szCs w:val="32"/>
        </w:rPr>
        <w:t>;</w:t>
      </w:r>
    </w:p>
    <w:p w14:paraId="4430C29D" w14:textId="64AC3CD5" w:rsidR="000A688F" w:rsidRPr="00CB6333" w:rsidRDefault="000A688F" w:rsidP="00D22D3B">
      <w:pPr>
        <w:numPr>
          <w:ilvl w:val="0"/>
          <w:numId w:val="2"/>
        </w:numPr>
        <w:rPr>
          <w:szCs w:val="32"/>
        </w:rPr>
      </w:pPr>
      <w:r w:rsidRPr="00CB6333">
        <w:rPr>
          <w:szCs w:val="32"/>
        </w:rPr>
        <w:t xml:space="preserve">Billing-based </w:t>
      </w:r>
      <w:r w:rsidRPr="00CB6333">
        <w:rPr>
          <w:i/>
          <w:szCs w:val="32"/>
        </w:rPr>
        <w:t>interval load data</w:t>
      </w:r>
      <w:r>
        <w:rPr>
          <w:i/>
          <w:szCs w:val="32"/>
        </w:rPr>
        <w:t xml:space="preserve"> </w:t>
      </w:r>
      <w:r w:rsidRPr="00CB6333">
        <w:rPr>
          <w:szCs w:val="32"/>
        </w:rPr>
        <w:t>(</w:t>
      </w:r>
      <w:r w:rsidRPr="00CB6333">
        <w:rPr>
          <w:i/>
          <w:szCs w:val="32"/>
        </w:rPr>
        <w:t>i.e.</w:t>
      </w:r>
      <w:r w:rsidR="008E5119">
        <w:rPr>
          <w:szCs w:val="32"/>
        </w:rPr>
        <w:t>,</w:t>
      </w:r>
      <w:r w:rsidRPr="00CB6333">
        <w:rPr>
          <w:szCs w:val="32"/>
        </w:rPr>
        <w:t xml:space="preserve"> hourly loads for each </w:t>
      </w:r>
      <w:r>
        <w:rPr>
          <w:szCs w:val="32"/>
        </w:rPr>
        <w:t xml:space="preserve">treatment </w:t>
      </w:r>
      <w:r w:rsidRPr="00CB6333">
        <w:rPr>
          <w:szCs w:val="32"/>
        </w:rPr>
        <w:t>and potential control group customer)</w:t>
      </w:r>
      <w:r w:rsidR="000350B8">
        <w:rPr>
          <w:szCs w:val="32"/>
        </w:rPr>
        <w:t xml:space="preserve"> for </w:t>
      </w:r>
      <w:r w:rsidR="00DA7724">
        <w:rPr>
          <w:szCs w:val="32"/>
        </w:rPr>
        <w:t>PY</w:t>
      </w:r>
      <w:r w:rsidR="000350B8">
        <w:rPr>
          <w:szCs w:val="32"/>
        </w:rPr>
        <w:t>2018 (May 1 through October 31)</w:t>
      </w:r>
      <w:r w:rsidR="00FA32D3">
        <w:rPr>
          <w:szCs w:val="32"/>
        </w:rPr>
        <w:t>;</w:t>
      </w:r>
    </w:p>
    <w:p w14:paraId="1DA6CBBE" w14:textId="18070B30" w:rsidR="000A688F" w:rsidRPr="00CB6333" w:rsidRDefault="000A688F" w:rsidP="00D22D3B">
      <w:pPr>
        <w:numPr>
          <w:ilvl w:val="0"/>
          <w:numId w:val="2"/>
        </w:numPr>
        <w:rPr>
          <w:szCs w:val="32"/>
        </w:rPr>
      </w:pPr>
      <w:r w:rsidRPr="00CB6333">
        <w:rPr>
          <w:i/>
          <w:szCs w:val="32"/>
        </w:rPr>
        <w:t>Weather</w:t>
      </w:r>
      <w:r w:rsidRPr="00CB6333">
        <w:rPr>
          <w:szCs w:val="32"/>
        </w:rPr>
        <w:t xml:space="preserve"> </w:t>
      </w:r>
      <w:r w:rsidRPr="00CB6333">
        <w:rPr>
          <w:i/>
          <w:szCs w:val="32"/>
        </w:rPr>
        <w:t>data</w:t>
      </w:r>
      <w:r w:rsidRPr="00CB6333">
        <w:rPr>
          <w:szCs w:val="32"/>
        </w:rPr>
        <w:t xml:space="preserve"> (</w:t>
      </w:r>
      <w:r w:rsidRPr="00CB6333">
        <w:rPr>
          <w:i/>
          <w:szCs w:val="32"/>
        </w:rPr>
        <w:t>i.e.</w:t>
      </w:r>
      <w:r w:rsidR="008E5119">
        <w:rPr>
          <w:szCs w:val="32"/>
        </w:rPr>
        <w:t>,</w:t>
      </w:r>
      <w:r w:rsidRPr="00CB6333">
        <w:rPr>
          <w:szCs w:val="32"/>
        </w:rPr>
        <w:t xml:space="preserve"> hourly temperatures and other variables for </w:t>
      </w:r>
      <w:r w:rsidR="00DA7724">
        <w:rPr>
          <w:szCs w:val="32"/>
        </w:rPr>
        <w:t>PY</w:t>
      </w:r>
      <w:r w:rsidR="000350B8">
        <w:rPr>
          <w:szCs w:val="32"/>
        </w:rPr>
        <w:t>2018</w:t>
      </w:r>
      <w:r>
        <w:rPr>
          <w:szCs w:val="32"/>
        </w:rPr>
        <w:t>, by weather station</w:t>
      </w:r>
      <w:r w:rsidRPr="00CB6333">
        <w:rPr>
          <w:szCs w:val="32"/>
        </w:rPr>
        <w:t>)</w:t>
      </w:r>
      <w:r w:rsidR="00FA32D3">
        <w:rPr>
          <w:szCs w:val="32"/>
        </w:rPr>
        <w:t>;</w:t>
      </w:r>
    </w:p>
    <w:p w14:paraId="22E2EF2C" w14:textId="19C1EF73" w:rsidR="000A688F" w:rsidRDefault="000A688F" w:rsidP="00D22D3B">
      <w:pPr>
        <w:numPr>
          <w:ilvl w:val="0"/>
          <w:numId w:val="2"/>
        </w:numPr>
        <w:rPr>
          <w:szCs w:val="32"/>
        </w:rPr>
      </w:pPr>
      <w:r w:rsidRPr="00CB6333">
        <w:rPr>
          <w:i/>
          <w:szCs w:val="32"/>
        </w:rPr>
        <w:t>Program event data</w:t>
      </w:r>
      <w:r w:rsidRPr="00CB6333">
        <w:rPr>
          <w:szCs w:val="32"/>
        </w:rPr>
        <w:t xml:space="preserve"> (</w:t>
      </w:r>
      <w:r w:rsidRPr="00CB6333">
        <w:rPr>
          <w:i/>
          <w:szCs w:val="32"/>
        </w:rPr>
        <w:t>i.e.</w:t>
      </w:r>
      <w:r w:rsidR="008E5119">
        <w:rPr>
          <w:szCs w:val="32"/>
        </w:rPr>
        <w:t>,</w:t>
      </w:r>
      <w:r w:rsidRPr="00CB6333">
        <w:rPr>
          <w:szCs w:val="32"/>
        </w:rPr>
        <w:t xml:space="preserve"> dates and hours of </w:t>
      </w:r>
      <w:r w:rsidR="00546AFB">
        <w:rPr>
          <w:szCs w:val="32"/>
        </w:rPr>
        <w:t>SmartAC™</w:t>
      </w:r>
      <w:r w:rsidR="00F6084F">
        <w:rPr>
          <w:szCs w:val="32"/>
        </w:rPr>
        <w:t xml:space="preserve"> and SmartRate</w:t>
      </w:r>
      <w:r w:rsidR="00D33FA1">
        <w:rPr>
          <w:rFonts w:cs="Calibri"/>
          <w:szCs w:val="32"/>
        </w:rPr>
        <w:t>™</w:t>
      </w:r>
      <w:r w:rsidRPr="00CB6333">
        <w:rPr>
          <w:szCs w:val="32"/>
        </w:rPr>
        <w:t xml:space="preserve"> events</w:t>
      </w:r>
      <w:r w:rsidR="00D33FA1">
        <w:rPr>
          <w:szCs w:val="32"/>
        </w:rPr>
        <w:t xml:space="preserve"> and a list of </w:t>
      </w:r>
      <w:r w:rsidR="00546AFB">
        <w:rPr>
          <w:szCs w:val="32"/>
        </w:rPr>
        <w:t>SmartAC™</w:t>
      </w:r>
      <w:r w:rsidR="00D33FA1">
        <w:rPr>
          <w:szCs w:val="32"/>
        </w:rPr>
        <w:t xml:space="preserve"> customers who</w:t>
      </w:r>
      <w:r w:rsidR="0024498E">
        <w:rPr>
          <w:szCs w:val="32"/>
        </w:rPr>
        <w:t xml:space="preserve"> </w:t>
      </w:r>
      <w:r w:rsidR="004F78E0">
        <w:rPr>
          <w:szCs w:val="32"/>
        </w:rPr>
        <w:t>are dually enrolled in both programs</w:t>
      </w:r>
      <w:r w:rsidRPr="00CB6333">
        <w:rPr>
          <w:szCs w:val="32"/>
        </w:rPr>
        <w:t>)</w:t>
      </w:r>
      <w:r w:rsidR="00FA32D3">
        <w:rPr>
          <w:szCs w:val="32"/>
        </w:rPr>
        <w:t>; and</w:t>
      </w:r>
    </w:p>
    <w:p w14:paraId="2A181D1F" w14:textId="5058C3A0" w:rsidR="000350B8" w:rsidRPr="00CB6333" w:rsidRDefault="000350B8" w:rsidP="00D22D3B">
      <w:pPr>
        <w:numPr>
          <w:ilvl w:val="0"/>
          <w:numId w:val="2"/>
        </w:numPr>
        <w:rPr>
          <w:szCs w:val="32"/>
        </w:rPr>
      </w:pPr>
      <w:r>
        <w:rPr>
          <w:i/>
          <w:szCs w:val="32"/>
        </w:rPr>
        <w:t>Device Information</w:t>
      </w:r>
      <w:r>
        <w:rPr>
          <w:szCs w:val="32"/>
        </w:rPr>
        <w:t xml:space="preserve"> for </w:t>
      </w:r>
      <w:r w:rsidR="00546AFB">
        <w:rPr>
          <w:szCs w:val="32"/>
        </w:rPr>
        <w:t>SmartAC™</w:t>
      </w:r>
      <w:r>
        <w:rPr>
          <w:szCs w:val="32"/>
        </w:rPr>
        <w:t xml:space="preserve"> customers (</w:t>
      </w:r>
      <w:r w:rsidRPr="00734479">
        <w:rPr>
          <w:i/>
          <w:szCs w:val="32"/>
        </w:rPr>
        <w:t>i.e.</w:t>
      </w:r>
      <w:r w:rsidR="008E5119">
        <w:rPr>
          <w:szCs w:val="32"/>
        </w:rPr>
        <w:t>,</w:t>
      </w:r>
      <w:r>
        <w:rPr>
          <w:szCs w:val="32"/>
        </w:rPr>
        <w:t xml:space="preserve"> the type and number of devices installed at each premise) </w:t>
      </w:r>
      <w:r w:rsidRPr="004C54C7">
        <w:rPr>
          <w:szCs w:val="32"/>
        </w:rPr>
        <w:t xml:space="preserve">as well as </w:t>
      </w:r>
      <w:r w:rsidR="00546AFB">
        <w:rPr>
          <w:szCs w:val="32"/>
        </w:rPr>
        <w:t>SmartAC™</w:t>
      </w:r>
      <w:r w:rsidRPr="004C54C7">
        <w:rPr>
          <w:szCs w:val="32"/>
        </w:rPr>
        <w:t xml:space="preserve"> customer opt-outs on each date</w:t>
      </w:r>
      <w:r w:rsidR="00FA32D3" w:rsidRPr="004C54C7">
        <w:rPr>
          <w:szCs w:val="32"/>
        </w:rPr>
        <w:t>.</w:t>
      </w:r>
    </w:p>
    <w:p w14:paraId="7F8E71F2" w14:textId="460C213E" w:rsidR="00F6084F" w:rsidRDefault="00F6084F" w:rsidP="00D223A1">
      <w:pPr>
        <w:pStyle w:val="Heading3"/>
      </w:pPr>
      <w:bookmarkStart w:id="48" w:name="_Toc326148610"/>
      <w:bookmarkStart w:id="49" w:name="_Toc494460150"/>
      <w:bookmarkStart w:id="50" w:name="_Toc498089314"/>
      <w:bookmarkStart w:id="51" w:name="_Ref506888235"/>
      <w:bookmarkStart w:id="52" w:name="_Ref506888287"/>
      <w:bookmarkStart w:id="53" w:name="_Ref506888317"/>
      <w:bookmarkStart w:id="54" w:name="_Ref506974995"/>
      <w:bookmarkStart w:id="55" w:name="_Ref506987984"/>
      <w:bookmarkStart w:id="56" w:name="_Ref506987991"/>
      <w:bookmarkStart w:id="57" w:name="_Ref507503759"/>
      <w:bookmarkStart w:id="58" w:name="_Toc4578150"/>
      <w:r>
        <w:t>Control Group Selection</w:t>
      </w:r>
      <w:bookmarkEnd w:id="58"/>
    </w:p>
    <w:p w14:paraId="4F006971" w14:textId="66DDAE58" w:rsidR="009465A0" w:rsidRDefault="00DA3466" w:rsidP="00D22D3B">
      <w:pPr>
        <w:spacing w:after="120"/>
      </w:pPr>
      <w:r>
        <w:t xml:space="preserve">The objective in selecting a quasi-experimental matched control group is to identify a group of customers that are as </w:t>
      </w:r>
      <w:r w:rsidR="002059EE">
        <w:t xml:space="preserve">similar </w:t>
      </w:r>
      <w:r>
        <w:t xml:space="preserve">as possible to treatment customers, particularly in </w:t>
      </w:r>
      <w:r w:rsidR="002059EE">
        <w:t xml:space="preserve">terms of their </w:t>
      </w:r>
      <w:r>
        <w:t>hourly load profile</w:t>
      </w:r>
      <w:r w:rsidR="002059EE">
        <w:t>s</w:t>
      </w:r>
      <w:r>
        <w:t xml:space="preserve">. </w:t>
      </w:r>
      <w:r w:rsidR="00963852">
        <w:t>Due to the high number of potential control customers, we perform the matching in two stages. In the first stage, we use propensity score matching to identify three control customers for each treatment customer that have the closest match in terms of monthly usage</w:t>
      </w:r>
      <w:r w:rsidR="00A236B5">
        <w:t xml:space="preserve"> (based on billing data)</w:t>
      </w:r>
      <w:r w:rsidR="00B14B89">
        <w:t xml:space="preserve">, weather station and cooling degree days, and customer characteristics such as CARE status, NEM status, dwelling type, AC usage, and rate schedule. </w:t>
      </w:r>
      <w:r w:rsidR="009465A0">
        <w:t xml:space="preserve">Following the first-stage matching, we obtain interval load data for the treatment customers and the paired-down set of matched control customers.  </w:t>
      </w:r>
    </w:p>
    <w:p w14:paraId="25C96126" w14:textId="0514372F" w:rsidR="00F6084F" w:rsidRDefault="00B14B89" w:rsidP="00D22D3B">
      <w:pPr>
        <w:spacing w:after="120"/>
        <w:rPr>
          <w:rFonts w:asciiTheme="minorHAnsi" w:hAnsiTheme="minorHAnsi"/>
        </w:rPr>
      </w:pPr>
      <w:r>
        <w:t xml:space="preserve">The first-stage matching </w:t>
      </w:r>
      <w:r w:rsidR="009465A0">
        <w:t>allows for a more tractable matching</w:t>
      </w:r>
      <w:r w:rsidR="00070E3F">
        <w:t xml:space="preserve"> process in the second stage</w:t>
      </w:r>
      <w:r w:rsidR="009465A0">
        <w:t xml:space="preserve"> </w:t>
      </w:r>
      <w:r w:rsidR="00070E3F">
        <w:t>using the</w:t>
      </w:r>
      <w:r w:rsidR="009465A0">
        <w:t xml:space="preserve"> interval load data. T</w:t>
      </w:r>
      <w:r w:rsidR="00DA3466">
        <w:t>he</w:t>
      </w:r>
      <w:r w:rsidR="009465A0">
        <w:t xml:space="preserve"> second</w:t>
      </w:r>
      <w:r w:rsidR="009402A1">
        <w:t>-stage</w:t>
      </w:r>
      <w:r w:rsidR="00DA3466">
        <w:t xml:space="preserve"> matching process </w:t>
      </w:r>
      <w:r w:rsidR="007737EA">
        <w:t xml:space="preserve">uses propensity score matching to find a single control customer for each </w:t>
      </w:r>
      <w:r w:rsidR="00546AFB">
        <w:t>SmartAC™</w:t>
      </w:r>
      <w:r w:rsidR="007737EA">
        <w:t xml:space="preserve"> customer with the closest hourly load profile on</w:t>
      </w:r>
      <w:r w:rsidR="00DA3466">
        <w:t xml:space="preserve"> </w:t>
      </w:r>
      <w:r w:rsidR="007737EA">
        <w:t xml:space="preserve">a selection of </w:t>
      </w:r>
      <w:r w:rsidR="00DA3466">
        <w:t>non-event</w:t>
      </w:r>
      <w:r w:rsidR="00070E3F">
        <w:t>, non-holiday</w:t>
      </w:r>
      <w:r w:rsidR="00284361">
        <w:t xml:space="preserve"> week</w:t>
      </w:r>
      <w:r w:rsidR="00DA3466">
        <w:t>days.</w:t>
      </w:r>
      <w:r w:rsidR="009402A1">
        <w:t xml:space="preserve"> </w:t>
      </w:r>
      <w:r w:rsidR="007737EA">
        <w:t>Moreo</w:t>
      </w:r>
      <w:r w:rsidR="002059EE">
        <w:t>ver, to ensure that customers are matched based on the sensitivity of their energy usage to weather conditions, we</w:t>
      </w:r>
      <w:r w:rsidR="007737EA">
        <w:t xml:space="preserve"> perform this </w:t>
      </w:r>
      <w:r w:rsidR="002059EE">
        <w:t>match</w:t>
      </w:r>
      <w:r w:rsidR="007737EA">
        <w:t>ing process</w:t>
      </w:r>
      <w:r w:rsidR="002059EE">
        <w:t xml:space="preserve"> </w:t>
      </w:r>
      <w:r w:rsidR="00284361">
        <w:t>using</w:t>
      </w:r>
      <w:r w:rsidR="007737EA">
        <w:t xml:space="preserve"> two 24-hour </w:t>
      </w:r>
      <w:r w:rsidR="002059EE">
        <w:t>load profile</w:t>
      </w:r>
      <w:r w:rsidR="007737EA">
        <w:t xml:space="preserve">s drawn from different temperature profiles. The first 24-hour load profile reflects usage patterns </w:t>
      </w:r>
      <w:r w:rsidR="002059EE">
        <w:t>during the hottest 10 percent of non-event day</w:t>
      </w:r>
      <w:r w:rsidR="007737EA">
        <w:t xml:space="preserve">s. The second 24-hour load profile reflects usage </w:t>
      </w:r>
      <w:r w:rsidR="002059EE">
        <w:t>over a set of cooler days taken</w:t>
      </w:r>
      <w:r w:rsidR="00DA7724">
        <w:t xml:space="preserve"> </w:t>
      </w:r>
      <w:r w:rsidR="002059EE">
        <w:t>from the middle 50 percent of non-event days</w:t>
      </w:r>
      <w:r w:rsidR="00284361">
        <w:t>.</w:t>
      </w:r>
      <w:r w:rsidR="00FE3F70">
        <w:t xml:space="preserve"> </w:t>
      </w:r>
      <w:r w:rsidR="00284361">
        <w:rPr>
          <w:rFonts w:asciiTheme="minorHAnsi" w:hAnsiTheme="minorHAnsi"/>
        </w:rPr>
        <w:t>In addition to two 24-hour load profiles, customers are also matched based on CARE-status, NEM-status, dwelling type, and AC usage</w:t>
      </w:r>
      <w:r w:rsidR="00FE3F70">
        <w:rPr>
          <w:rFonts w:asciiTheme="minorHAnsi" w:hAnsiTheme="minorHAnsi"/>
        </w:rPr>
        <w:t xml:space="preserve"> level</w:t>
      </w:r>
      <w:r w:rsidR="00284361">
        <w:rPr>
          <w:rFonts w:asciiTheme="minorHAnsi" w:hAnsiTheme="minorHAnsi"/>
        </w:rPr>
        <w:t>.</w:t>
      </w:r>
      <w:r w:rsidR="00FE3F70">
        <w:rPr>
          <w:rFonts w:asciiTheme="minorHAnsi" w:hAnsiTheme="minorHAnsi"/>
        </w:rPr>
        <w:t xml:space="preserve"> Finally, we require that </w:t>
      </w:r>
      <w:r w:rsidR="00546AFB">
        <w:rPr>
          <w:rFonts w:asciiTheme="minorHAnsi" w:hAnsiTheme="minorHAnsi"/>
        </w:rPr>
        <w:t>SmartAC™</w:t>
      </w:r>
      <w:r w:rsidR="00FE3F70">
        <w:rPr>
          <w:rFonts w:asciiTheme="minorHAnsi" w:hAnsiTheme="minorHAnsi"/>
        </w:rPr>
        <w:t xml:space="preserve"> customers are matched to a control customer residing in the same sub-LAP area.</w:t>
      </w:r>
    </w:p>
    <w:p w14:paraId="7F1CE1B6" w14:textId="7EA1A522" w:rsidR="003C37D9" w:rsidRDefault="003C37D9" w:rsidP="00D22D3B">
      <w:pPr>
        <w:spacing w:after="120"/>
      </w:pPr>
      <w:r>
        <w:t>Propensity score matching involves estimating</w:t>
      </w:r>
      <w:r w:rsidR="00D94D6B">
        <w:t xml:space="preserve"> a </w:t>
      </w:r>
      <w:r w:rsidR="003B31D4">
        <w:t>regression</w:t>
      </w:r>
      <w:r w:rsidR="00093DF4">
        <w:t xml:space="preserve"> to determine each customer</w:t>
      </w:r>
      <w:r w:rsidR="003B31D4">
        <w:t>’</w:t>
      </w:r>
      <w:r w:rsidR="00093DF4">
        <w:t>s probability (</w:t>
      </w:r>
      <w:r w:rsidR="00093DF4" w:rsidRPr="00734479">
        <w:rPr>
          <w:i/>
        </w:rPr>
        <w:t>i.e.</w:t>
      </w:r>
      <w:r w:rsidR="008E5119">
        <w:t>,</w:t>
      </w:r>
      <w:r w:rsidR="00093DF4">
        <w:t xml:space="preserve"> “propensity”) of being </w:t>
      </w:r>
      <w:r w:rsidR="003B31D4">
        <w:t>assigned</w:t>
      </w:r>
      <w:r w:rsidR="00093DF4">
        <w:t xml:space="preserve"> treatment </w:t>
      </w:r>
      <w:r w:rsidR="00D94D6B">
        <w:t>based upon observable characteristics</w:t>
      </w:r>
      <w:r w:rsidR="00093DF4">
        <w:t>.</w:t>
      </w:r>
      <w:r>
        <w:t xml:space="preserve"> Each </w:t>
      </w:r>
      <w:r w:rsidR="00546AFB">
        <w:t>SmartAC™</w:t>
      </w:r>
      <w:r>
        <w:t xml:space="preserve"> customer is then matched to the control customer with the nearest value in terms of the</w:t>
      </w:r>
      <w:r w:rsidR="00D94D6B">
        <w:t>ir</w:t>
      </w:r>
      <w:r>
        <w:t xml:space="preserve"> predicted </w:t>
      </w:r>
      <w:r w:rsidR="00D94D6B">
        <w:t>probability, also known as their “</w:t>
      </w:r>
      <w:r>
        <w:t>propensity score</w:t>
      </w:r>
      <w:r w:rsidR="00D94D6B">
        <w:t>”</w:t>
      </w:r>
      <w:r>
        <w:t xml:space="preserve">. </w:t>
      </w:r>
      <w:r w:rsidR="00895102">
        <w:t>For the second stage matching, w</w:t>
      </w:r>
      <w:r w:rsidR="00F15F73">
        <w:t xml:space="preserve">e assume the </w:t>
      </w:r>
      <w:r w:rsidR="00093DF4">
        <w:t>probability model</w:t>
      </w:r>
      <w:r w:rsidR="00F15F73">
        <w:t xml:space="preserve"> </w:t>
      </w:r>
      <w:r w:rsidR="00895102">
        <w:t>i</w:t>
      </w:r>
      <w:r w:rsidR="00D94D6B">
        <w:t xml:space="preserve">s a logistic function of </w:t>
      </w:r>
      <w:r w:rsidR="00F15F73">
        <w:t>the following form:</w:t>
      </w:r>
    </w:p>
    <w:p w14:paraId="228189C2" w14:textId="3B80318B" w:rsidR="00F15F73" w:rsidRDefault="0084166B" w:rsidP="00D22D3B">
      <w:pPr>
        <w:spacing w:after="120"/>
        <w:jc w:val="center"/>
      </w:pPr>
      <m:oMath>
        <m:r>
          <w:rPr>
            <w:rFonts w:ascii="Cambria Math" w:hAnsi="Cambria Math"/>
          </w:rPr>
          <m:t>logit</m:t>
        </m:r>
        <m:d>
          <m:dPr>
            <m:ctrlPr>
              <w:rPr>
                <w:rFonts w:ascii="Cambria Math" w:hAnsi="Cambria Math"/>
                <w:i/>
              </w:rPr>
            </m:ctrlPr>
          </m:dPr>
          <m:e>
            <m:sSub>
              <m:sSubPr>
                <m:ctrlPr>
                  <w:rPr>
                    <w:rFonts w:ascii="Cambria Math" w:hAnsi="Cambria Math"/>
                    <w:i/>
                  </w:rPr>
                </m:ctrlPr>
              </m:sSubPr>
              <m:e>
                <m:r>
                  <w:rPr>
                    <w:rFonts w:ascii="Cambria Math" w:hAnsi="Cambria Math"/>
                  </w:rPr>
                  <m:t>SmartAC</m:t>
                </m:r>
              </m:e>
              <m:sub>
                <m:r>
                  <w:rPr>
                    <w:rFonts w:ascii="Cambria Math" w:hAnsi="Cambria Math"/>
                  </w:rPr>
                  <m:t>c</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subSup"/>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24</m:t>
            </m:r>
          </m:sup>
          <m:e>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1,</m:t>
                    </m:r>
                    <m:r>
                      <w:rPr>
                        <w:rFonts w:ascii="Cambria Math" w:hAnsi="Cambria Math"/>
                      </w:rPr>
                      <m:t>h</m:t>
                    </m:r>
                  </m:sub>
                </m:sSub>
                <m:r>
                  <w:rPr>
                    <w:rFonts w:ascii="Cambria Math" w:hAnsi="Cambria Math"/>
                  </w:rPr>
                  <m:t>avgkW</m:t>
                </m:r>
              </m:e>
              <m:sub>
                <m:r>
                  <w:rPr>
                    <w:rFonts w:ascii="Cambria Math" w:hAnsi="Cambria Math"/>
                  </w:rPr>
                  <m:t>c,h</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all j</m:t>
            </m:r>
          </m:sub>
          <m:sup/>
          <m:e>
            <m:sSub>
              <m:sSubPr>
                <m:ctrlPr>
                  <w:rPr>
                    <w:rFonts w:ascii="Cambria Math" w:hAnsi="Cambria Math"/>
                    <w:i/>
                  </w:rPr>
                </m:ctrlPr>
              </m:sSubPr>
              <m:e>
                <m:r>
                  <w:rPr>
                    <w:rFonts w:ascii="Cambria Math" w:hAnsi="Cambria Math"/>
                  </w:rPr>
                  <m:t>β</m:t>
                </m:r>
              </m:e>
              <m:sub>
                <m:r>
                  <w:rPr>
                    <w:rFonts w:ascii="Cambria Math" w:hAnsi="Cambria Math"/>
                  </w:rPr>
                  <m:t>2,j</m:t>
                </m:r>
              </m:sub>
            </m:sSub>
          </m:e>
        </m:nary>
        <m:sSub>
          <m:sSubPr>
            <m:ctrlPr>
              <w:rPr>
                <w:rFonts w:ascii="Cambria Math" w:hAnsi="Cambria Math"/>
                <w:i/>
              </w:rPr>
            </m:ctrlPr>
          </m:sSubPr>
          <m:e>
            <m:r>
              <w:rPr>
                <w:rFonts w:ascii="Cambria Math" w:hAnsi="Cambria Math"/>
              </w:rPr>
              <m:t>X</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c</m:t>
            </m:r>
          </m:sub>
        </m:sSub>
      </m:oMath>
      <w:r w:rsidR="00D22D3B">
        <w:t xml:space="preserve"> </w:t>
      </w:r>
    </w:p>
    <w:p w14:paraId="68C7397A" w14:textId="77777777" w:rsidR="007C3FE0" w:rsidRDefault="007C3FE0" w:rsidP="00D22D3B">
      <w:pPr>
        <w:spacing w:after="120"/>
      </w:pPr>
      <w:r>
        <w:t>The variables and coefficients in the equation are described in the following table:</w:t>
      </w:r>
    </w:p>
    <w:p w14:paraId="5B498315" w14:textId="78F27190" w:rsidR="00511353" w:rsidRDefault="00511353" w:rsidP="008C767B">
      <w:pPr>
        <w:pStyle w:val="TableCaption"/>
      </w:pPr>
      <w:bookmarkStart w:id="59" w:name="_Toc4578172"/>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2</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1</w:t>
      </w:r>
      <w:r w:rsidR="005D5F52">
        <w:rPr>
          <w:noProof/>
        </w:rPr>
        <w:fldChar w:fldCharType="end"/>
      </w:r>
      <w:r>
        <w:t>: Propensity Score Model Terms</w:t>
      </w:r>
      <w:bookmarkEnd w:id="59"/>
    </w:p>
    <w:tbl>
      <w:tblPr>
        <w:tblW w:w="0" w:type="auto"/>
        <w:tblLook w:val="04A0" w:firstRow="1" w:lastRow="0" w:firstColumn="1" w:lastColumn="0" w:noHBand="0" w:noVBand="1"/>
      </w:tblPr>
      <w:tblGrid>
        <w:gridCol w:w="1638"/>
        <w:gridCol w:w="6992"/>
      </w:tblGrid>
      <w:tr w:rsidR="00511353" w14:paraId="032429A6" w14:textId="77777777" w:rsidTr="008C767B">
        <w:trPr>
          <w:cantSplit/>
        </w:trPr>
        <w:tc>
          <w:tcPr>
            <w:tcW w:w="1638" w:type="dxa"/>
            <w:tcBorders>
              <w:left w:val="single" w:sz="4" w:space="0" w:color="auto"/>
              <w:bottom w:val="single" w:sz="4" w:space="0" w:color="auto"/>
              <w:right w:val="single" w:sz="4" w:space="0" w:color="FFFFFF" w:themeColor="background1"/>
            </w:tcBorders>
            <w:shd w:val="clear" w:color="auto" w:fill="0C2577"/>
          </w:tcPr>
          <w:p w14:paraId="2E369FAF" w14:textId="77777777" w:rsidR="00511353" w:rsidRPr="00D41508" w:rsidRDefault="00511353" w:rsidP="008C767B">
            <w:pPr>
              <w:keepNext/>
              <w:jc w:val="center"/>
              <w:rPr>
                <w:rFonts w:ascii="Arial" w:hAnsi="Arial" w:cs="Arial"/>
                <w:b/>
                <w:sz w:val="20"/>
              </w:rPr>
            </w:pPr>
            <w:r w:rsidRPr="00D41508">
              <w:rPr>
                <w:rFonts w:ascii="Arial" w:hAnsi="Arial" w:cs="Arial"/>
                <w:b/>
                <w:sz w:val="20"/>
              </w:rPr>
              <w:t>Symbol</w:t>
            </w:r>
          </w:p>
        </w:tc>
        <w:tc>
          <w:tcPr>
            <w:tcW w:w="6992" w:type="dxa"/>
            <w:tcBorders>
              <w:left w:val="single" w:sz="4" w:space="0" w:color="FFFFFF" w:themeColor="background1"/>
              <w:bottom w:val="single" w:sz="4" w:space="0" w:color="auto"/>
            </w:tcBorders>
            <w:shd w:val="clear" w:color="auto" w:fill="0C2577"/>
          </w:tcPr>
          <w:p w14:paraId="0098DB5D" w14:textId="77777777" w:rsidR="00511353" w:rsidRPr="00D41508" w:rsidRDefault="00511353" w:rsidP="008C767B">
            <w:pPr>
              <w:keepNext/>
              <w:jc w:val="center"/>
              <w:rPr>
                <w:rFonts w:ascii="Arial" w:hAnsi="Arial" w:cs="Arial"/>
                <w:b/>
                <w:sz w:val="20"/>
              </w:rPr>
            </w:pPr>
            <w:r w:rsidRPr="00D41508">
              <w:rPr>
                <w:rFonts w:ascii="Arial" w:hAnsi="Arial" w:cs="Arial"/>
                <w:b/>
                <w:sz w:val="20"/>
              </w:rPr>
              <w:t>Description</w:t>
            </w:r>
          </w:p>
        </w:tc>
      </w:tr>
      <w:tr w:rsidR="007C3FE0" w14:paraId="2B12CB6F" w14:textId="77777777" w:rsidTr="008C767B">
        <w:trPr>
          <w:cantSplit/>
          <w:trHeight w:val="440"/>
        </w:trPr>
        <w:tc>
          <w:tcPr>
            <w:tcW w:w="1638" w:type="dxa"/>
            <w:tcBorders>
              <w:top w:val="single" w:sz="4" w:space="0" w:color="auto"/>
              <w:left w:val="single" w:sz="4" w:space="0" w:color="auto"/>
              <w:bottom w:val="single" w:sz="4" w:space="0" w:color="auto"/>
              <w:right w:val="single" w:sz="4" w:space="0" w:color="auto"/>
            </w:tcBorders>
          </w:tcPr>
          <w:p w14:paraId="026C55CB" w14:textId="719A84B9" w:rsidR="007C3FE0" w:rsidRPr="007C3FE0" w:rsidRDefault="00F92C6B" w:rsidP="008C767B">
            <w:pPr>
              <w:keepNext/>
              <w:rPr>
                <w:rFonts w:ascii="Arial" w:hAnsi="Arial" w:cs="Arial"/>
                <w:i/>
                <w:sz w:val="20"/>
                <w:szCs w:val="22"/>
              </w:rPr>
            </w:pPr>
            <w:r>
              <w:rPr>
                <w:rFonts w:ascii="Arial" w:hAnsi="Arial" w:cs="Arial"/>
                <w:i/>
                <w:sz w:val="20"/>
                <w:szCs w:val="22"/>
              </w:rPr>
              <w:t>SmartAC</w:t>
            </w:r>
            <w:r w:rsidR="007C3FE0">
              <w:rPr>
                <w:rFonts w:ascii="Arial" w:hAnsi="Arial" w:cs="Arial"/>
                <w:i/>
                <w:sz w:val="20"/>
                <w:szCs w:val="22"/>
                <w:vertAlign w:val="subscript"/>
              </w:rPr>
              <w:t>c</w:t>
            </w:r>
          </w:p>
        </w:tc>
        <w:tc>
          <w:tcPr>
            <w:tcW w:w="6992" w:type="dxa"/>
            <w:tcBorders>
              <w:top w:val="single" w:sz="4" w:space="0" w:color="auto"/>
              <w:left w:val="single" w:sz="4" w:space="0" w:color="auto"/>
              <w:bottom w:val="single" w:sz="4" w:space="0" w:color="auto"/>
              <w:right w:val="single" w:sz="4" w:space="0" w:color="auto"/>
            </w:tcBorders>
          </w:tcPr>
          <w:p w14:paraId="1123F24A" w14:textId="4FE2ADA2" w:rsidR="007C3FE0" w:rsidRDefault="00F92C6B" w:rsidP="008C767B">
            <w:pPr>
              <w:keepNext/>
              <w:rPr>
                <w:rFonts w:ascii="Arial" w:hAnsi="Arial" w:cs="Arial"/>
                <w:sz w:val="20"/>
                <w:szCs w:val="22"/>
              </w:rPr>
            </w:pPr>
            <w:r>
              <w:rPr>
                <w:rFonts w:ascii="Arial" w:hAnsi="Arial" w:cs="Arial"/>
                <w:sz w:val="20"/>
                <w:szCs w:val="22"/>
              </w:rPr>
              <w:t>Variable indicating whether customer c is a SmartAC (1) or Control (0) customer</w:t>
            </w:r>
          </w:p>
        </w:tc>
      </w:tr>
      <w:tr w:rsidR="00511353" w14:paraId="44D0ACBC" w14:textId="77777777" w:rsidTr="008C767B">
        <w:trPr>
          <w:cantSplit/>
        </w:trPr>
        <w:tc>
          <w:tcPr>
            <w:tcW w:w="1638" w:type="dxa"/>
            <w:tcBorders>
              <w:top w:val="single" w:sz="4" w:space="0" w:color="auto"/>
              <w:left w:val="single" w:sz="4" w:space="0" w:color="auto"/>
              <w:bottom w:val="single" w:sz="4" w:space="0" w:color="auto"/>
              <w:right w:val="single" w:sz="4" w:space="0" w:color="auto"/>
            </w:tcBorders>
          </w:tcPr>
          <w:p w14:paraId="1D5E74E3" w14:textId="2CB0C9C2" w:rsidR="00511353" w:rsidRPr="00D41508" w:rsidRDefault="00511353" w:rsidP="008C767B">
            <w:pPr>
              <w:keepNext/>
              <w:rPr>
                <w:rFonts w:ascii="Arial" w:hAnsi="Arial" w:cs="Arial"/>
                <w:sz w:val="20"/>
                <w:szCs w:val="22"/>
              </w:rPr>
            </w:pPr>
            <w:r>
              <w:rPr>
                <w:rFonts w:ascii="Arial" w:hAnsi="Arial" w:cs="Arial"/>
                <w:i/>
                <w:sz w:val="20"/>
                <w:szCs w:val="22"/>
              </w:rPr>
              <w:t>avg</w:t>
            </w:r>
            <w:r w:rsidRPr="00D41508">
              <w:rPr>
                <w:rFonts w:ascii="Arial" w:hAnsi="Arial" w:cs="Arial"/>
                <w:i/>
                <w:sz w:val="20"/>
                <w:szCs w:val="22"/>
              </w:rPr>
              <w:t>kW</w:t>
            </w:r>
            <w:r w:rsidRPr="00D41508">
              <w:rPr>
                <w:rFonts w:ascii="Arial" w:hAnsi="Arial" w:cs="Arial"/>
                <w:sz w:val="20"/>
                <w:szCs w:val="22"/>
                <w:vertAlign w:val="subscript"/>
              </w:rPr>
              <w:t>c,</w:t>
            </w:r>
            <w:r>
              <w:rPr>
                <w:rFonts w:ascii="Arial" w:hAnsi="Arial" w:cs="Arial"/>
                <w:sz w:val="20"/>
                <w:szCs w:val="22"/>
                <w:vertAlign w:val="subscript"/>
              </w:rPr>
              <w:t>h</w:t>
            </w:r>
          </w:p>
        </w:tc>
        <w:tc>
          <w:tcPr>
            <w:tcW w:w="6992" w:type="dxa"/>
            <w:tcBorders>
              <w:top w:val="single" w:sz="4" w:space="0" w:color="auto"/>
              <w:left w:val="single" w:sz="4" w:space="0" w:color="auto"/>
              <w:bottom w:val="single" w:sz="4" w:space="0" w:color="auto"/>
              <w:right w:val="single" w:sz="4" w:space="0" w:color="auto"/>
            </w:tcBorders>
          </w:tcPr>
          <w:p w14:paraId="4BB6F48D" w14:textId="5B583D72" w:rsidR="00511353" w:rsidRPr="00D41508" w:rsidRDefault="00511353" w:rsidP="008C767B">
            <w:pPr>
              <w:keepNext/>
              <w:rPr>
                <w:rFonts w:ascii="Arial" w:hAnsi="Arial" w:cs="Arial"/>
                <w:sz w:val="20"/>
                <w:szCs w:val="22"/>
              </w:rPr>
            </w:pPr>
            <w:r>
              <w:rPr>
                <w:rFonts w:ascii="Arial" w:hAnsi="Arial" w:cs="Arial"/>
                <w:sz w:val="20"/>
                <w:szCs w:val="22"/>
              </w:rPr>
              <w:t xml:space="preserve">Average </w:t>
            </w:r>
            <w:r w:rsidR="007C3FE0">
              <w:rPr>
                <w:rFonts w:ascii="Arial" w:hAnsi="Arial" w:cs="Arial"/>
                <w:sz w:val="20"/>
                <w:szCs w:val="22"/>
              </w:rPr>
              <w:t>l</w:t>
            </w:r>
            <w:r w:rsidRPr="00D41508">
              <w:rPr>
                <w:rFonts w:ascii="Arial" w:hAnsi="Arial" w:cs="Arial"/>
                <w:sz w:val="20"/>
                <w:szCs w:val="22"/>
              </w:rPr>
              <w:t xml:space="preserve">oad </w:t>
            </w:r>
            <w:r>
              <w:rPr>
                <w:rFonts w:ascii="Arial" w:hAnsi="Arial" w:cs="Arial"/>
                <w:sz w:val="20"/>
                <w:szCs w:val="22"/>
              </w:rPr>
              <w:t>during</w:t>
            </w:r>
            <w:r w:rsidRPr="00D41508">
              <w:rPr>
                <w:rFonts w:ascii="Arial" w:hAnsi="Arial" w:cs="Arial"/>
                <w:sz w:val="20"/>
                <w:szCs w:val="22"/>
              </w:rPr>
              <w:t xml:space="preserve"> hour</w:t>
            </w:r>
            <w:r w:rsidR="007C3FE0">
              <w:rPr>
                <w:rFonts w:ascii="Arial" w:hAnsi="Arial" w:cs="Arial"/>
                <w:sz w:val="20"/>
                <w:szCs w:val="22"/>
              </w:rPr>
              <w:t xml:space="preserve"> h</w:t>
            </w:r>
            <w:r w:rsidRPr="00D41508">
              <w:rPr>
                <w:rFonts w:ascii="Arial" w:hAnsi="Arial" w:cs="Arial"/>
                <w:sz w:val="20"/>
                <w:szCs w:val="22"/>
              </w:rPr>
              <w:t xml:space="preserve"> for customer </w:t>
            </w:r>
            <w:r w:rsidRPr="00D41508">
              <w:rPr>
                <w:rFonts w:ascii="Arial" w:hAnsi="Arial" w:cs="Arial"/>
                <w:i/>
                <w:sz w:val="20"/>
                <w:szCs w:val="22"/>
              </w:rPr>
              <w:t>c</w:t>
            </w:r>
          </w:p>
        </w:tc>
      </w:tr>
      <w:tr w:rsidR="00511353" w14:paraId="6778CEF8" w14:textId="77777777" w:rsidTr="008C767B">
        <w:trPr>
          <w:cantSplit/>
        </w:trPr>
        <w:tc>
          <w:tcPr>
            <w:tcW w:w="1638" w:type="dxa"/>
            <w:tcBorders>
              <w:top w:val="single" w:sz="4" w:space="0" w:color="auto"/>
              <w:left w:val="single" w:sz="4" w:space="0" w:color="auto"/>
              <w:bottom w:val="single" w:sz="4" w:space="0" w:color="auto"/>
              <w:right w:val="single" w:sz="4" w:space="0" w:color="auto"/>
            </w:tcBorders>
          </w:tcPr>
          <w:p w14:paraId="147F92D9" w14:textId="11F68395" w:rsidR="00511353" w:rsidRPr="00D41508" w:rsidRDefault="009007B8" w:rsidP="008C767B">
            <w:pPr>
              <w:keepNext/>
              <w:rPr>
                <w:rFonts w:ascii="Arial" w:hAnsi="Arial" w:cs="Arial"/>
                <w:i/>
                <w:sz w:val="20"/>
                <w:szCs w:val="22"/>
              </w:rPr>
            </w:pPr>
            <w:r>
              <w:rPr>
                <w:rFonts w:ascii="Arial" w:hAnsi="Arial" w:cs="Arial"/>
                <w:i/>
                <w:sz w:val="20"/>
                <w:szCs w:val="22"/>
              </w:rPr>
              <w:t>X</w:t>
            </w:r>
            <w:r w:rsidR="00511353" w:rsidRPr="00D41508">
              <w:rPr>
                <w:rFonts w:ascii="Arial" w:hAnsi="Arial" w:cs="Arial"/>
                <w:i/>
                <w:sz w:val="20"/>
                <w:szCs w:val="22"/>
                <w:vertAlign w:val="subscript"/>
              </w:rPr>
              <w:t>c,</w:t>
            </w:r>
            <w:r w:rsidR="00404D6D">
              <w:rPr>
                <w:rFonts w:ascii="Arial" w:hAnsi="Arial" w:cs="Arial"/>
                <w:i/>
                <w:sz w:val="20"/>
                <w:szCs w:val="22"/>
                <w:vertAlign w:val="subscript"/>
              </w:rPr>
              <w:t>j</w:t>
            </w:r>
          </w:p>
        </w:tc>
        <w:tc>
          <w:tcPr>
            <w:tcW w:w="6992" w:type="dxa"/>
            <w:tcBorders>
              <w:top w:val="single" w:sz="4" w:space="0" w:color="auto"/>
              <w:left w:val="single" w:sz="4" w:space="0" w:color="auto"/>
              <w:bottom w:val="single" w:sz="4" w:space="0" w:color="auto"/>
              <w:right w:val="single" w:sz="4" w:space="0" w:color="auto"/>
            </w:tcBorders>
          </w:tcPr>
          <w:p w14:paraId="7D314D8B" w14:textId="6DA811B3" w:rsidR="00511353" w:rsidRPr="00D41508" w:rsidRDefault="007C3FE0" w:rsidP="008C767B">
            <w:pPr>
              <w:keepNext/>
              <w:rPr>
                <w:rFonts w:ascii="Arial" w:hAnsi="Arial" w:cs="Arial"/>
                <w:sz w:val="20"/>
                <w:szCs w:val="22"/>
              </w:rPr>
            </w:pPr>
            <w:r>
              <w:rPr>
                <w:rFonts w:ascii="Arial" w:hAnsi="Arial" w:cs="Arial"/>
                <w:sz w:val="20"/>
                <w:szCs w:val="22"/>
              </w:rPr>
              <w:t xml:space="preserve">The value of characteristic </w:t>
            </w:r>
            <w:r w:rsidR="00404D6D">
              <w:rPr>
                <w:rFonts w:ascii="Arial" w:hAnsi="Arial" w:cs="Arial"/>
                <w:sz w:val="20"/>
                <w:szCs w:val="22"/>
              </w:rPr>
              <w:t>j</w:t>
            </w:r>
            <w:r>
              <w:rPr>
                <w:rFonts w:ascii="Arial" w:hAnsi="Arial" w:cs="Arial"/>
                <w:sz w:val="20"/>
                <w:szCs w:val="22"/>
              </w:rPr>
              <w:t xml:space="preserve"> for customer c</w:t>
            </w:r>
            <w:r w:rsidR="00511353" w:rsidRPr="00D41508">
              <w:rPr>
                <w:rFonts w:ascii="Arial" w:hAnsi="Arial" w:cs="Arial"/>
                <w:sz w:val="20"/>
                <w:szCs w:val="22"/>
              </w:rPr>
              <w:t xml:space="preserve"> </w:t>
            </w:r>
          </w:p>
        </w:tc>
      </w:tr>
      <w:tr w:rsidR="00511353" w14:paraId="1C20516E" w14:textId="77777777" w:rsidTr="008C767B">
        <w:trPr>
          <w:cantSplit/>
        </w:trPr>
        <w:tc>
          <w:tcPr>
            <w:tcW w:w="1638" w:type="dxa"/>
            <w:tcBorders>
              <w:top w:val="single" w:sz="4" w:space="0" w:color="auto"/>
              <w:left w:val="single" w:sz="4" w:space="0" w:color="auto"/>
              <w:bottom w:val="single" w:sz="4" w:space="0" w:color="auto"/>
              <w:right w:val="single" w:sz="4" w:space="0" w:color="auto"/>
            </w:tcBorders>
          </w:tcPr>
          <w:p w14:paraId="7D45901B" w14:textId="77777777" w:rsidR="00511353" w:rsidRPr="00D41508" w:rsidRDefault="00511353" w:rsidP="008C767B">
            <w:pPr>
              <w:keepNext/>
              <w:rPr>
                <w:rFonts w:ascii="Arial" w:hAnsi="Arial" w:cs="Arial"/>
                <w:sz w:val="20"/>
                <w:szCs w:val="22"/>
              </w:rPr>
            </w:pPr>
            <w:r w:rsidRPr="00D41508">
              <w:rPr>
                <w:rFonts w:ascii="Arial" w:hAnsi="Arial" w:cs="Arial"/>
                <w:sz w:val="20"/>
                <w:szCs w:val="22"/>
              </w:rPr>
              <w:t>β</w:t>
            </w:r>
            <w:r w:rsidRPr="00D41508">
              <w:rPr>
                <w:rFonts w:ascii="Arial" w:hAnsi="Arial" w:cs="Arial"/>
                <w:sz w:val="20"/>
                <w:szCs w:val="22"/>
                <w:vertAlign w:val="subscript"/>
              </w:rPr>
              <w:t>0</w:t>
            </w:r>
          </w:p>
        </w:tc>
        <w:tc>
          <w:tcPr>
            <w:tcW w:w="6992" w:type="dxa"/>
            <w:tcBorders>
              <w:top w:val="single" w:sz="4" w:space="0" w:color="auto"/>
              <w:left w:val="single" w:sz="4" w:space="0" w:color="auto"/>
              <w:bottom w:val="single" w:sz="4" w:space="0" w:color="auto"/>
              <w:right w:val="single" w:sz="4" w:space="0" w:color="auto"/>
            </w:tcBorders>
          </w:tcPr>
          <w:p w14:paraId="70B64920" w14:textId="77777777" w:rsidR="00511353" w:rsidRPr="00D41508" w:rsidRDefault="00511353" w:rsidP="008C767B">
            <w:pPr>
              <w:keepNext/>
              <w:rPr>
                <w:rFonts w:ascii="Arial" w:hAnsi="Arial" w:cs="Arial"/>
                <w:sz w:val="20"/>
                <w:szCs w:val="22"/>
              </w:rPr>
            </w:pPr>
            <w:r w:rsidRPr="00D41508">
              <w:rPr>
                <w:rFonts w:ascii="Arial" w:hAnsi="Arial" w:cs="Arial"/>
                <w:sz w:val="20"/>
                <w:szCs w:val="22"/>
              </w:rPr>
              <w:t>Estimated constant coefficient</w:t>
            </w:r>
          </w:p>
        </w:tc>
      </w:tr>
      <w:tr w:rsidR="00511353" w14:paraId="39595B41" w14:textId="77777777" w:rsidTr="008C767B">
        <w:trPr>
          <w:cantSplit/>
        </w:trPr>
        <w:tc>
          <w:tcPr>
            <w:tcW w:w="1638" w:type="dxa"/>
            <w:tcBorders>
              <w:top w:val="single" w:sz="4" w:space="0" w:color="auto"/>
              <w:left w:val="single" w:sz="4" w:space="0" w:color="auto"/>
              <w:bottom w:val="single" w:sz="4" w:space="0" w:color="auto"/>
              <w:right w:val="single" w:sz="4" w:space="0" w:color="auto"/>
            </w:tcBorders>
          </w:tcPr>
          <w:p w14:paraId="1EE0A5BB" w14:textId="679E931C" w:rsidR="00511353" w:rsidRPr="00D41508" w:rsidRDefault="00511353" w:rsidP="008C767B">
            <w:pPr>
              <w:keepNext/>
              <w:rPr>
                <w:rFonts w:ascii="Arial" w:hAnsi="Arial" w:cs="Arial"/>
                <w:sz w:val="20"/>
                <w:szCs w:val="22"/>
              </w:rPr>
            </w:pPr>
            <w:r w:rsidRPr="00D41508">
              <w:rPr>
                <w:rFonts w:ascii="Arial" w:hAnsi="Arial" w:cs="Arial"/>
                <w:sz w:val="20"/>
                <w:szCs w:val="22"/>
              </w:rPr>
              <w:t>β</w:t>
            </w:r>
            <w:r w:rsidRPr="00D41508">
              <w:rPr>
                <w:rFonts w:ascii="Arial" w:hAnsi="Arial" w:cs="Arial"/>
                <w:sz w:val="20"/>
                <w:szCs w:val="22"/>
                <w:vertAlign w:val="subscript"/>
              </w:rPr>
              <w:t xml:space="preserve"> 1,</w:t>
            </w:r>
            <w:r w:rsidR="007C3FE0">
              <w:rPr>
                <w:rFonts w:ascii="Arial" w:hAnsi="Arial" w:cs="Arial"/>
                <w:sz w:val="20"/>
                <w:szCs w:val="22"/>
                <w:vertAlign w:val="subscript"/>
              </w:rPr>
              <w:t>h</w:t>
            </w:r>
          </w:p>
        </w:tc>
        <w:tc>
          <w:tcPr>
            <w:tcW w:w="6992" w:type="dxa"/>
            <w:tcBorders>
              <w:top w:val="single" w:sz="4" w:space="0" w:color="auto"/>
              <w:left w:val="single" w:sz="4" w:space="0" w:color="auto"/>
              <w:bottom w:val="single" w:sz="4" w:space="0" w:color="auto"/>
              <w:right w:val="single" w:sz="4" w:space="0" w:color="auto"/>
            </w:tcBorders>
          </w:tcPr>
          <w:p w14:paraId="2B42B653" w14:textId="143524C7" w:rsidR="00511353" w:rsidRPr="00D41508" w:rsidRDefault="00511353" w:rsidP="008C767B">
            <w:pPr>
              <w:keepNext/>
              <w:rPr>
                <w:rFonts w:ascii="Arial" w:hAnsi="Arial" w:cs="Arial"/>
                <w:sz w:val="20"/>
                <w:szCs w:val="22"/>
              </w:rPr>
            </w:pPr>
            <w:r w:rsidRPr="00D41508">
              <w:rPr>
                <w:rFonts w:ascii="Arial" w:hAnsi="Arial" w:cs="Arial"/>
                <w:sz w:val="20"/>
                <w:szCs w:val="22"/>
              </w:rPr>
              <w:t xml:space="preserve">Estimated </w:t>
            </w:r>
            <w:r w:rsidR="007C3FE0">
              <w:rPr>
                <w:rFonts w:ascii="Arial" w:hAnsi="Arial" w:cs="Arial"/>
                <w:sz w:val="20"/>
                <w:szCs w:val="22"/>
              </w:rPr>
              <w:t>coefficient for hour h of 24-hour load profile</w:t>
            </w:r>
          </w:p>
        </w:tc>
      </w:tr>
      <w:tr w:rsidR="00511353" w14:paraId="3BD77117" w14:textId="77777777" w:rsidTr="008C767B">
        <w:trPr>
          <w:cantSplit/>
        </w:trPr>
        <w:tc>
          <w:tcPr>
            <w:tcW w:w="1638" w:type="dxa"/>
            <w:tcBorders>
              <w:top w:val="single" w:sz="4" w:space="0" w:color="auto"/>
              <w:left w:val="single" w:sz="4" w:space="0" w:color="auto"/>
              <w:bottom w:val="single" w:sz="4" w:space="0" w:color="auto"/>
              <w:right w:val="single" w:sz="4" w:space="0" w:color="auto"/>
            </w:tcBorders>
          </w:tcPr>
          <w:p w14:paraId="340EA2EF" w14:textId="7591C508" w:rsidR="00511353" w:rsidRPr="00D41508" w:rsidRDefault="007C3FE0" w:rsidP="008C767B">
            <w:pPr>
              <w:keepNext/>
              <w:rPr>
                <w:rFonts w:ascii="Arial" w:hAnsi="Arial" w:cs="Arial"/>
                <w:sz w:val="20"/>
                <w:szCs w:val="22"/>
              </w:rPr>
            </w:pPr>
            <w:r w:rsidRPr="00D41508">
              <w:rPr>
                <w:rFonts w:ascii="Arial" w:hAnsi="Arial" w:cs="Arial"/>
                <w:sz w:val="20"/>
                <w:szCs w:val="22"/>
              </w:rPr>
              <w:t>β</w:t>
            </w:r>
            <w:r w:rsidRPr="00D41508">
              <w:rPr>
                <w:rFonts w:ascii="Arial" w:hAnsi="Arial" w:cs="Arial"/>
                <w:sz w:val="20"/>
                <w:szCs w:val="22"/>
                <w:vertAlign w:val="subscript"/>
              </w:rPr>
              <w:t xml:space="preserve"> </w:t>
            </w:r>
            <w:r>
              <w:rPr>
                <w:rFonts w:ascii="Arial" w:hAnsi="Arial" w:cs="Arial"/>
                <w:sz w:val="20"/>
                <w:szCs w:val="22"/>
                <w:vertAlign w:val="subscript"/>
              </w:rPr>
              <w:t>2</w:t>
            </w:r>
            <w:r w:rsidRPr="00D41508">
              <w:rPr>
                <w:rFonts w:ascii="Arial" w:hAnsi="Arial" w:cs="Arial"/>
                <w:sz w:val="20"/>
                <w:szCs w:val="22"/>
                <w:vertAlign w:val="subscript"/>
              </w:rPr>
              <w:t>,</w:t>
            </w:r>
            <w:r>
              <w:rPr>
                <w:rFonts w:ascii="Arial" w:hAnsi="Arial" w:cs="Arial"/>
                <w:sz w:val="20"/>
                <w:szCs w:val="22"/>
                <w:vertAlign w:val="subscript"/>
              </w:rPr>
              <w:t>i</w:t>
            </w:r>
          </w:p>
        </w:tc>
        <w:tc>
          <w:tcPr>
            <w:tcW w:w="6992" w:type="dxa"/>
            <w:tcBorders>
              <w:top w:val="single" w:sz="4" w:space="0" w:color="auto"/>
              <w:left w:val="single" w:sz="4" w:space="0" w:color="auto"/>
              <w:bottom w:val="single" w:sz="4" w:space="0" w:color="auto"/>
              <w:right w:val="single" w:sz="4" w:space="0" w:color="auto"/>
            </w:tcBorders>
          </w:tcPr>
          <w:p w14:paraId="308D67E4" w14:textId="0ECE51F0" w:rsidR="00511353" w:rsidRPr="00D41508" w:rsidRDefault="007C3FE0" w:rsidP="008C767B">
            <w:pPr>
              <w:keepNext/>
              <w:rPr>
                <w:rFonts w:ascii="Arial" w:hAnsi="Arial" w:cs="Arial"/>
                <w:sz w:val="20"/>
                <w:szCs w:val="22"/>
              </w:rPr>
            </w:pPr>
            <w:r>
              <w:rPr>
                <w:rFonts w:ascii="Arial" w:hAnsi="Arial" w:cs="Arial"/>
                <w:sz w:val="20"/>
                <w:szCs w:val="22"/>
              </w:rPr>
              <w:t xml:space="preserve">Estimated coefficient for customer characteristic </w:t>
            </w:r>
            <w:r w:rsidR="009007B8">
              <w:rPr>
                <w:rFonts w:ascii="Arial" w:hAnsi="Arial" w:cs="Arial"/>
                <w:sz w:val="20"/>
                <w:szCs w:val="22"/>
              </w:rPr>
              <w:t>j</w:t>
            </w:r>
          </w:p>
        </w:tc>
      </w:tr>
      <w:tr w:rsidR="00511353" w14:paraId="78F922F4" w14:textId="77777777" w:rsidTr="008C767B">
        <w:trPr>
          <w:cantSplit/>
        </w:trPr>
        <w:tc>
          <w:tcPr>
            <w:tcW w:w="1638" w:type="dxa"/>
            <w:tcBorders>
              <w:top w:val="single" w:sz="4" w:space="0" w:color="auto"/>
              <w:left w:val="single" w:sz="4" w:space="0" w:color="auto"/>
              <w:bottom w:val="single" w:sz="4" w:space="0" w:color="auto"/>
              <w:right w:val="single" w:sz="4" w:space="0" w:color="auto"/>
            </w:tcBorders>
          </w:tcPr>
          <w:p w14:paraId="79F44250" w14:textId="75092866" w:rsidR="00511353" w:rsidRPr="00D41508" w:rsidRDefault="00511353" w:rsidP="008C767B">
            <w:pPr>
              <w:keepNext/>
              <w:rPr>
                <w:rFonts w:ascii="Arial" w:hAnsi="Arial" w:cs="Arial"/>
                <w:sz w:val="20"/>
                <w:szCs w:val="22"/>
              </w:rPr>
            </w:pPr>
            <w:r w:rsidRPr="00D41508">
              <w:rPr>
                <w:rFonts w:ascii="Arial" w:hAnsi="Arial" w:cs="Arial"/>
                <w:sz w:val="20"/>
                <w:szCs w:val="22"/>
              </w:rPr>
              <w:t>ε</w:t>
            </w:r>
            <w:r w:rsidRPr="00D41508">
              <w:rPr>
                <w:rFonts w:ascii="Arial" w:hAnsi="Arial" w:cs="Arial"/>
                <w:sz w:val="20"/>
                <w:szCs w:val="22"/>
                <w:vertAlign w:val="subscript"/>
              </w:rPr>
              <w:t>c</w:t>
            </w:r>
          </w:p>
        </w:tc>
        <w:tc>
          <w:tcPr>
            <w:tcW w:w="6992" w:type="dxa"/>
            <w:tcBorders>
              <w:top w:val="single" w:sz="4" w:space="0" w:color="auto"/>
              <w:left w:val="single" w:sz="4" w:space="0" w:color="auto"/>
              <w:bottom w:val="single" w:sz="4" w:space="0" w:color="auto"/>
              <w:right w:val="single" w:sz="4" w:space="0" w:color="auto"/>
            </w:tcBorders>
          </w:tcPr>
          <w:p w14:paraId="2AA0E18A" w14:textId="3B6F9651" w:rsidR="00511353" w:rsidRPr="00D41508" w:rsidRDefault="00511353" w:rsidP="008C767B">
            <w:pPr>
              <w:keepNext/>
              <w:rPr>
                <w:rFonts w:ascii="Arial" w:hAnsi="Arial" w:cs="Arial"/>
                <w:sz w:val="20"/>
                <w:szCs w:val="22"/>
              </w:rPr>
            </w:pPr>
            <w:r w:rsidRPr="00D41508">
              <w:rPr>
                <w:rFonts w:ascii="Arial" w:hAnsi="Arial" w:cs="Arial"/>
                <w:sz w:val="20"/>
                <w:szCs w:val="22"/>
              </w:rPr>
              <w:t>Error term</w:t>
            </w:r>
            <w:r w:rsidR="007C3FE0">
              <w:rPr>
                <w:rFonts w:ascii="Arial" w:hAnsi="Arial" w:cs="Arial"/>
                <w:sz w:val="20"/>
                <w:szCs w:val="22"/>
              </w:rPr>
              <w:t xml:space="preserve"> for customer c</w:t>
            </w:r>
          </w:p>
        </w:tc>
      </w:tr>
    </w:tbl>
    <w:p w14:paraId="172C5DFC" w14:textId="77777777" w:rsidR="008C767B" w:rsidRPr="008C767B" w:rsidRDefault="008C767B" w:rsidP="008C767B">
      <w:pPr>
        <w:spacing w:afterLines="120" w:after="288"/>
        <w:rPr>
          <w:sz w:val="8"/>
          <w:szCs w:val="8"/>
        </w:rPr>
      </w:pPr>
    </w:p>
    <w:p w14:paraId="314CB15C" w14:textId="7395AD1C" w:rsidR="00DA7724" w:rsidRDefault="009778E1" w:rsidP="00DC2309">
      <w:pPr>
        <w:spacing w:after="120"/>
      </w:pPr>
      <w:r>
        <w:t>We estimate a logistic regression that includes two 24-hour profiles: one that averages customer load across hot days</w:t>
      </w:r>
      <w:r w:rsidR="008C767B">
        <w:t xml:space="preserve"> (</w:t>
      </w:r>
      <w:r w:rsidR="008C767B" w:rsidRPr="00734479">
        <w:rPr>
          <w:i/>
        </w:rPr>
        <w:t>i.e.</w:t>
      </w:r>
      <w:r w:rsidR="008E5119">
        <w:t>,</w:t>
      </w:r>
      <w:r w:rsidR="008C767B">
        <w:t xml:space="preserve"> the hottest 10 percent of non-event days)</w:t>
      </w:r>
      <w:r>
        <w:t xml:space="preserve"> and one that average</w:t>
      </w:r>
      <w:r w:rsidR="00AA7DF4">
        <w:t>s</w:t>
      </w:r>
      <w:r>
        <w:t xml:space="preserve"> customer load across</w:t>
      </w:r>
      <w:r w:rsidR="00AA7DF4">
        <w:t xml:space="preserve"> a random selection of</w:t>
      </w:r>
      <w:r>
        <w:t xml:space="preserve"> cooler days</w:t>
      </w:r>
      <w:r w:rsidR="008C767B">
        <w:t xml:space="preserve"> (</w:t>
      </w:r>
      <w:r w:rsidR="008C767B" w:rsidRPr="00734479">
        <w:rPr>
          <w:i/>
        </w:rPr>
        <w:t>i.e.</w:t>
      </w:r>
      <w:r w:rsidR="008E5119">
        <w:t>,</w:t>
      </w:r>
      <w:r w:rsidR="008C767B">
        <w:t xml:space="preserve"> days that fall between the 25</w:t>
      </w:r>
      <w:r w:rsidR="008C767B" w:rsidRPr="008C767B">
        <w:rPr>
          <w:vertAlign w:val="superscript"/>
        </w:rPr>
        <w:t>th</w:t>
      </w:r>
      <w:r w:rsidR="008C767B">
        <w:t xml:space="preserve"> and 75</w:t>
      </w:r>
      <w:r w:rsidR="008C767B" w:rsidRPr="008C767B">
        <w:rPr>
          <w:vertAlign w:val="superscript"/>
        </w:rPr>
        <w:t>th</w:t>
      </w:r>
      <w:r w:rsidR="008C767B">
        <w:t xml:space="preserve"> percentile of non-event days based on average temperature)</w:t>
      </w:r>
      <w:r>
        <w:t xml:space="preserve">. Furthermore, we include indicators for CARE status, NEM status, type of dwelling, and AC usage level as customer characteristics in the regression. </w:t>
      </w:r>
      <w:r w:rsidR="007C3FE0">
        <w:t xml:space="preserve">This model is estimated separately for each </w:t>
      </w:r>
      <w:r>
        <w:t>sub-LAP.</w:t>
      </w:r>
      <w:r w:rsidR="00895102">
        <w:t xml:space="preserve"> </w:t>
      </w:r>
    </w:p>
    <w:p w14:paraId="5F41F81C" w14:textId="04399D1A" w:rsidR="004A2325" w:rsidRDefault="00895102" w:rsidP="00DC2309">
      <w:pPr>
        <w:spacing w:after="120"/>
      </w:pPr>
      <w:r>
        <w:t>For the first stage matching, we estimate a similar logistic regression to the one described above, however, this regression is based on monthly billing data and includes the average usage divided by the number of billed days</w:t>
      </w:r>
      <w:r w:rsidR="008C767B">
        <w:t xml:space="preserve"> </w:t>
      </w:r>
      <w:r>
        <w:t>in place of the 24-hour load profiles above,</w:t>
      </w:r>
      <w:r w:rsidR="008C767B">
        <w:t xml:space="preserve"> as well as characteristics that include:</w:t>
      </w:r>
      <w:r>
        <w:t xml:space="preserve"> average cooling degrees per billed day, an indicator for weather station, the share of billed days on each type of rate schedule, an indicator for whether the customer switched rate schedules, an indicator for dwelling type, and an indicator for AC usage.</w:t>
      </w:r>
    </w:p>
    <w:p w14:paraId="0DCA0E15" w14:textId="5C16CF33" w:rsidR="00F6084F" w:rsidRPr="00BD2BBD" w:rsidRDefault="004A2325" w:rsidP="00DC2309">
      <w:pPr>
        <w:spacing w:after="120"/>
        <w:rPr>
          <w:highlight w:val="yellow"/>
        </w:rPr>
      </w:pPr>
      <w:r>
        <w:t xml:space="preserve">To assess the validity of the control-group matching processes, we compare the characteristics and non-event-day load profiles of the matched control-group and treatment customers. </w:t>
      </w:r>
      <w:r w:rsidR="00BD2BBD">
        <w:t>More details about our matching process</w:t>
      </w:r>
      <w:r w:rsidR="00FE3F70">
        <w:t>,</w:t>
      </w:r>
      <w:r w:rsidR="00BD2BBD">
        <w:t xml:space="preserve"> including evaluation </w:t>
      </w:r>
      <w:r w:rsidR="00F6084F">
        <w:t>of match quality</w:t>
      </w:r>
      <w:r w:rsidR="00FE3F70">
        <w:t>,</w:t>
      </w:r>
      <w:r w:rsidR="00F6084F">
        <w:t xml:space="preserve"> are provided in</w:t>
      </w:r>
      <w:r w:rsidR="009C1F95">
        <w:t xml:space="preserve"> Section </w:t>
      </w:r>
      <w:r w:rsidR="009C1F95">
        <w:fldChar w:fldCharType="begin"/>
      </w:r>
      <w:r w:rsidR="009C1F95">
        <w:instrText xml:space="preserve"> REF _Ref3800575 \r \h </w:instrText>
      </w:r>
      <w:r w:rsidR="009C1F95">
        <w:fldChar w:fldCharType="separate"/>
      </w:r>
      <w:r w:rsidR="00445DF3">
        <w:t>3.1</w:t>
      </w:r>
      <w:r w:rsidR="009C1F95">
        <w:fldChar w:fldCharType="end"/>
      </w:r>
      <w:r w:rsidR="009C1F95">
        <w:t xml:space="preserve"> and</w:t>
      </w:r>
      <w:r w:rsidR="00F6084F">
        <w:t xml:space="preserve"> Appendix</w:t>
      </w:r>
      <w:r w:rsidR="00447B93">
        <w:t xml:space="preserve"> A</w:t>
      </w:r>
      <w:r w:rsidR="00F6084F">
        <w:t xml:space="preserve">. </w:t>
      </w:r>
    </w:p>
    <w:p w14:paraId="76FE38D5" w14:textId="18794666" w:rsidR="000A688F" w:rsidRPr="00D223A1" w:rsidRDefault="000A688F" w:rsidP="00D223A1">
      <w:pPr>
        <w:pStyle w:val="Heading3"/>
      </w:pPr>
      <w:bookmarkStart w:id="60" w:name="_Ref533445"/>
      <w:bookmarkStart w:id="61" w:name="_Ref533708"/>
      <w:bookmarkStart w:id="62" w:name="_Toc4578151"/>
      <w:r w:rsidRPr="00D223A1">
        <w:t>Analysis Methods</w:t>
      </w:r>
      <w:bookmarkEnd w:id="48"/>
      <w:bookmarkEnd w:id="49"/>
      <w:bookmarkEnd w:id="50"/>
      <w:bookmarkEnd w:id="51"/>
      <w:bookmarkEnd w:id="52"/>
      <w:bookmarkEnd w:id="53"/>
      <w:bookmarkEnd w:id="54"/>
      <w:bookmarkEnd w:id="55"/>
      <w:bookmarkEnd w:id="56"/>
      <w:bookmarkEnd w:id="57"/>
      <w:bookmarkEnd w:id="60"/>
      <w:bookmarkEnd w:id="61"/>
      <w:bookmarkEnd w:id="62"/>
      <w:r w:rsidRPr="00D223A1">
        <w:t xml:space="preserve"> </w:t>
      </w:r>
    </w:p>
    <w:p w14:paraId="11D73905" w14:textId="76615112" w:rsidR="000A688F" w:rsidRDefault="00264A1F" w:rsidP="00DC2309">
      <w:pPr>
        <w:spacing w:after="120"/>
      </w:pPr>
      <w:bookmarkStart w:id="63" w:name="_Toc326148611"/>
      <w:bookmarkStart w:id="64" w:name="_Toc326154181"/>
      <w:bookmarkStart w:id="65" w:name="_Toc494460153"/>
      <w:r>
        <w:t xml:space="preserve">We estimate the following </w:t>
      </w:r>
      <w:r w:rsidR="000A688F">
        <w:t>panel model</w:t>
      </w:r>
      <w:r>
        <w:t xml:space="preserve"> for each hour of the day </w:t>
      </w:r>
      <w:r w:rsidR="000A688F">
        <w:t xml:space="preserve">and </w:t>
      </w:r>
      <w:r>
        <w:t>s</w:t>
      </w:r>
      <w:r w:rsidR="000A688F">
        <w:t>ub-</w:t>
      </w:r>
      <w:r>
        <w:t>LAP</w:t>
      </w:r>
      <w:r w:rsidR="000A688F">
        <w:t>:</w:t>
      </w:r>
    </w:p>
    <w:p w14:paraId="17819CB4" w14:textId="13D1B662" w:rsidR="000A688F" w:rsidRDefault="00445DF3" w:rsidP="00DC2309">
      <w:pPr>
        <w:spacing w:after="120"/>
        <w:jc w:val="center"/>
      </w:pPr>
      <m:oMath>
        <m:sSub>
          <m:sSubPr>
            <m:ctrlPr>
              <w:rPr>
                <w:rFonts w:ascii="Cambria Math" w:hAnsi="Cambria Math"/>
                <w:i/>
              </w:rPr>
            </m:ctrlPr>
          </m:sSubPr>
          <m:e>
            <m:r>
              <w:rPr>
                <w:rFonts w:ascii="Cambria Math" w:hAnsi="Cambria Math"/>
              </w:rPr>
              <m:t>kW</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SmartAC</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Evt</m:t>
                    </m:r>
                  </m:e>
                  <m:sub>
                    <m:r>
                      <w:rPr>
                        <w:rFonts w:ascii="Cambria Math" w:hAnsi="Cambria Math"/>
                      </w:rPr>
                      <m:t>i,d</m:t>
                    </m:r>
                  </m:sub>
                </m:sSub>
              </m:e>
            </m:d>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all j</m:t>
            </m:r>
          </m:sub>
          <m:sup/>
          <m:e>
            <m:sSub>
              <m:sSubPr>
                <m:ctrlPr>
                  <w:rPr>
                    <w:rFonts w:ascii="Cambria Math" w:hAnsi="Cambria Math"/>
                    <w:i/>
                  </w:rPr>
                </m:ctrlPr>
              </m:sSubPr>
              <m:e>
                <m:r>
                  <w:rPr>
                    <w:rFonts w:ascii="Cambria Math" w:hAnsi="Cambria Math"/>
                  </w:rPr>
                  <m:t>β</m:t>
                </m:r>
              </m:e>
              <m:sub>
                <m:r>
                  <w:rPr>
                    <w:rFonts w:ascii="Cambria Math" w:hAnsi="Cambria Math"/>
                  </w:rPr>
                  <m:t>2,j</m:t>
                </m:r>
              </m:sub>
            </m:sSub>
          </m:e>
        </m:nary>
        <m:sSub>
          <m:sSubPr>
            <m:ctrlPr>
              <w:rPr>
                <w:rFonts w:ascii="Cambria Math" w:hAnsi="Cambria Math"/>
                <w:i/>
              </w:rPr>
            </m:ctrlPr>
          </m:sSubPr>
          <m:e>
            <m:r>
              <w:rPr>
                <w:rFonts w:ascii="Cambria Math" w:hAnsi="Cambria Math"/>
              </w:rPr>
              <m:t>X</m:t>
            </m:r>
          </m:e>
          <m:sub>
            <m:r>
              <w:rPr>
                <w:rFonts w:ascii="Cambria Math" w:hAnsi="Cambria Math"/>
              </w:rPr>
              <m:t>c,d,j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c,d</m:t>
            </m:r>
          </m:sub>
        </m:sSub>
      </m:oMath>
      <w:r w:rsidR="009007B8">
        <w:t xml:space="preserve"> </w:t>
      </w:r>
    </w:p>
    <w:p w14:paraId="62656FB8" w14:textId="77777777" w:rsidR="000A688F" w:rsidRDefault="000A688F" w:rsidP="00DC2309">
      <w:pPr>
        <w:spacing w:after="120"/>
      </w:pPr>
      <w:r>
        <w:t>The variables and coefficients in the equation are described in the following table:</w:t>
      </w:r>
    </w:p>
    <w:p w14:paraId="13A018E9" w14:textId="4C388CB7" w:rsidR="006D46F2" w:rsidRDefault="006D46F2" w:rsidP="00D41508">
      <w:pPr>
        <w:pStyle w:val="TableCaption"/>
      </w:pPr>
      <w:bookmarkStart w:id="66" w:name="_Toc4578173"/>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2</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2</w:t>
      </w:r>
      <w:r w:rsidR="005D5F52">
        <w:rPr>
          <w:noProof/>
        </w:rPr>
        <w:fldChar w:fldCharType="end"/>
      </w:r>
      <w:r w:rsidR="00D41508">
        <w:t>:</w:t>
      </w:r>
      <w:r w:rsidR="001210AD">
        <w:t xml:space="preserve"> </w:t>
      </w:r>
      <w:r w:rsidR="003D6ECF" w:rsidRPr="003C71C3">
        <w:rPr>
          <w:i/>
        </w:rPr>
        <w:t>Ex-Post</w:t>
      </w:r>
      <w:r w:rsidR="003D6ECF">
        <w:t xml:space="preserve"> Load Impacts </w:t>
      </w:r>
      <w:r w:rsidR="001210AD">
        <w:t>Model Terms</w:t>
      </w:r>
      <w:bookmarkEnd w:id="66"/>
    </w:p>
    <w:tbl>
      <w:tblPr>
        <w:tblW w:w="0" w:type="auto"/>
        <w:tblLook w:val="04A0" w:firstRow="1" w:lastRow="0" w:firstColumn="1" w:lastColumn="0" w:noHBand="0" w:noVBand="1"/>
      </w:tblPr>
      <w:tblGrid>
        <w:gridCol w:w="1255"/>
        <w:gridCol w:w="7375"/>
      </w:tblGrid>
      <w:tr w:rsidR="000A688F" w14:paraId="7C33C58E" w14:textId="77777777" w:rsidTr="00307E99">
        <w:tc>
          <w:tcPr>
            <w:tcW w:w="1255" w:type="dxa"/>
            <w:tcBorders>
              <w:left w:val="single" w:sz="4" w:space="0" w:color="auto"/>
              <w:bottom w:val="single" w:sz="4" w:space="0" w:color="auto"/>
              <w:right w:val="single" w:sz="4" w:space="0" w:color="FFFFFF" w:themeColor="background1"/>
            </w:tcBorders>
            <w:shd w:val="clear" w:color="auto" w:fill="0C2577"/>
          </w:tcPr>
          <w:p w14:paraId="6F8961D4" w14:textId="77777777" w:rsidR="000A688F" w:rsidRPr="00D41508" w:rsidRDefault="000A688F" w:rsidP="000755D3">
            <w:pPr>
              <w:keepNext/>
              <w:jc w:val="center"/>
              <w:rPr>
                <w:rFonts w:ascii="Arial" w:hAnsi="Arial" w:cs="Arial"/>
                <w:b/>
                <w:sz w:val="20"/>
              </w:rPr>
            </w:pPr>
            <w:r w:rsidRPr="00D41508">
              <w:rPr>
                <w:rFonts w:ascii="Arial" w:hAnsi="Arial" w:cs="Arial"/>
                <w:b/>
                <w:sz w:val="20"/>
              </w:rPr>
              <w:t>Symbol</w:t>
            </w:r>
          </w:p>
        </w:tc>
        <w:tc>
          <w:tcPr>
            <w:tcW w:w="7375" w:type="dxa"/>
            <w:tcBorders>
              <w:left w:val="single" w:sz="4" w:space="0" w:color="FFFFFF" w:themeColor="background1"/>
              <w:bottom w:val="single" w:sz="4" w:space="0" w:color="auto"/>
            </w:tcBorders>
            <w:shd w:val="clear" w:color="auto" w:fill="0C2577"/>
          </w:tcPr>
          <w:p w14:paraId="047AF5C9" w14:textId="77777777" w:rsidR="000A688F" w:rsidRPr="00D41508" w:rsidRDefault="000A688F" w:rsidP="000755D3">
            <w:pPr>
              <w:keepNext/>
              <w:jc w:val="center"/>
              <w:rPr>
                <w:rFonts w:ascii="Arial" w:hAnsi="Arial" w:cs="Arial"/>
                <w:b/>
                <w:sz w:val="20"/>
              </w:rPr>
            </w:pPr>
            <w:r w:rsidRPr="00D41508">
              <w:rPr>
                <w:rFonts w:ascii="Arial" w:hAnsi="Arial" w:cs="Arial"/>
                <w:b/>
                <w:sz w:val="20"/>
              </w:rPr>
              <w:t>Description</w:t>
            </w:r>
          </w:p>
        </w:tc>
      </w:tr>
      <w:tr w:rsidR="000A688F" w14:paraId="20A64F5E" w14:textId="77777777" w:rsidTr="00307E99">
        <w:tc>
          <w:tcPr>
            <w:tcW w:w="1255" w:type="dxa"/>
            <w:tcBorders>
              <w:top w:val="single" w:sz="4" w:space="0" w:color="auto"/>
              <w:left w:val="single" w:sz="4" w:space="0" w:color="auto"/>
              <w:bottom w:val="single" w:sz="4" w:space="0" w:color="auto"/>
              <w:right w:val="single" w:sz="4" w:space="0" w:color="auto"/>
            </w:tcBorders>
          </w:tcPr>
          <w:p w14:paraId="692ED8DC" w14:textId="77777777" w:rsidR="000A688F" w:rsidRPr="00D41508" w:rsidRDefault="000A688F" w:rsidP="000755D3">
            <w:pPr>
              <w:keepNext/>
              <w:rPr>
                <w:rFonts w:ascii="Arial" w:hAnsi="Arial" w:cs="Arial"/>
                <w:sz w:val="20"/>
                <w:szCs w:val="22"/>
              </w:rPr>
            </w:pPr>
            <w:r w:rsidRPr="00D41508">
              <w:rPr>
                <w:rFonts w:ascii="Arial" w:hAnsi="Arial" w:cs="Arial"/>
                <w:i/>
                <w:sz w:val="20"/>
                <w:szCs w:val="22"/>
              </w:rPr>
              <w:t>kW</w:t>
            </w:r>
            <w:r w:rsidRPr="00D41508">
              <w:rPr>
                <w:rFonts w:ascii="Arial" w:hAnsi="Arial" w:cs="Arial"/>
                <w:sz w:val="20"/>
                <w:szCs w:val="22"/>
                <w:vertAlign w:val="subscript"/>
              </w:rPr>
              <w:t>c,d</w:t>
            </w:r>
          </w:p>
        </w:tc>
        <w:tc>
          <w:tcPr>
            <w:tcW w:w="7375" w:type="dxa"/>
            <w:tcBorders>
              <w:top w:val="single" w:sz="4" w:space="0" w:color="auto"/>
              <w:left w:val="single" w:sz="4" w:space="0" w:color="auto"/>
              <w:bottom w:val="single" w:sz="4" w:space="0" w:color="auto"/>
              <w:right w:val="single" w:sz="4" w:space="0" w:color="auto"/>
            </w:tcBorders>
          </w:tcPr>
          <w:p w14:paraId="45426EED" w14:textId="4CA658C3" w:rsidR="000A688F" w:rsidRPr="00D41508" w:rsidRDefault="000A688F" w:rsidP="000755D3">
            <w:pPr>
              <w:keepNext/>
              <w:rPr>
                <w:rFonts w:ascii="Arial" w:hAnsi="Arial" w:cs="Arial"/>
                <w:sz w:val="20"/>
                <w:szCs w:val="22"/>
              </w:rPr>
            </w:pPr>
            <w:r w:rsidRPr="00D41508">
              <w:rPr>
                <w:rFonts w:ascii="Arial" w:hAnsi="Arial" w:cs="Arial"/>
                <w:sz w:val="20"/>
                <w:szCs w:val="22"/>
              </w:rPr>
              <w:t xml:space="preserve">Load </w:t>
            </w:r>
            <w:r w:rsidR="00FB54D3">
              <w:rPr>
                <w:rFonts w:ascii="Arial" w:hAnsi="Arial" w:cs="Arial"/>
                <w:sz w:val="20"/>
                <w:szCs w:val="22"/>
              </w:rPr>
              <w:t>during</w:t>
            </w:r>
            <w:r w:rsidRPr="00D41508">
              <w:rPr>
                <w:rFonts w:ascii="Arial" w:hAnsi="Arial" w:cs="Arial"/>
                <w:sz w:val="20"/>
                <w:szCs w:val="22"/>
              </w:rPr>
              <w:t xml:space="preserve"> a </w:t>
            </w:r>
            <w:r w:rsidR="00FB54D3">
              <w:rPr>
                <w:rFonts w:ascii="Arial" w:hAnsi="Arial" w:cs="Arial"/>
                <w:sz w:val="20"/>
                <w:szCs w:val="22"/>
              </w:rPr>
              <w:t>given</w:t>
            </w:r>
            <w:r w:rsidRPr="00D41508">
              <w:rPr>
                <w:rFonts w:ascii="Arial" w:hAnsi="Arial" w:cs="Arial"/>
                <w:sz w:val="20"/>
                <w:szCs w:val="22"/>
              </w:rPr>
              <w:t xml:space="preserve"> hour for customer </w:t>
            </w:r>
            <w:r w:rsidRPr="00D41508">
              <w:rPr>
                <w:rFonts w:ascii="Arial" w:hAnsi="Arial" w:cs="Arial"/>
                <w:i/>
                <w:sz w:val="20"/>
                <w:szCs w:val="22"/>
              </w:rPr>
              <w:t>c</w:t>
            </w:r>
            <w:r w:rsidRPr="00D41508">
              <w:rPr>
                <w:rFonts w:ascii="Arial" w:hAnsi="Arial" w:cs="Arial"/>
                <w:sz w:val="20"/>
                <w:szCs w:val="22"/>
              </w:rPr>
              <w:t xml:space="preserve"> on day </w:t>
            </w:r>
            <w:r w:rsidRPr="00D41508">
              <w:rPr>
                <w:rFonts w:ascii="Arial" w:hAnsi="Arial" w:cs="Arial"/>
                <w:i/>
                <w:sz w:val="20"/>
                <w:szCs w:val="22"/>
              </w:rPr>
              <w:t>d</w:t>
            </w:r>
          </w:p>
        </w:tc>
      </w:tr>
      <w:tr w:rsidR="000A688F" w14:paraId="10A142EC" w14:textId="77777777" w:rsidTr="00307E99">
        <w:tc>
          <w:tcPr>
            <w:tcW w:w="1255" w:type="dxa"/>
            <w:tcBorders>
              <w:top w:val="single" w:sz="4" w:space="0" w:color="auto"/>
              <w:left w:val="single" w:sz="4" w:space="0" w:color="auto"/>
              <w:bottom w:val="single" w:sz="4" w:space="0" w:color="auto"/>
              <w:right w:val="single" w:sz="4" w:space="0" w:color="auto"/>
            </w:tcBorders>
          </w:tcPr>
          <w:p w14:paraId="273F97C0" w14:textId="799224E7" w:rsidR="000A688F" w:rsidRPr="00D41508" w:rsidRDefault="00307E99" w:rsidP="000755D3">
            <w:pPr>
              <w:keepNext/>
              <w:rPr>
                <w:rFonts w:ascii="Arial" w:hAnsi="Arial" w:cs="Arial"/>
                <w:i/>
                <w:sz w:val="20"/>
                <w:szCs w:val="22"/>
              </w:rPr>
            </w:pPr>
            <w:r>
              <w:rPr>
                <w:rFonts w:ascii="Arial" w:hAnsi="Arial" w:cs="Arial"/>
                <w:i/>
                <w:sz w:val="20"/>
                <w:szCs w:val="22"/>
              </w:rPr>
              <w:t>SmartAC</w:t>
            </w:r>
            <w:r w:rsidR="000A688F" w:rsidRPr="00D41508">
              <w:rPr>
                <w:rFonts w:ascii="Arial" w:hAnsi="Arial" w:cs="Arial"/>
                <w:i/>
                <w:sz w:val="20"/>
                <w:szCs w:val="22"/>
                <w:vertAlign w:val="subscript"/>
              </w:rPr>
              <w:t>c,d</w:t>
            </w:r>
          </w:p>
        </w:tc>
        <w:tc>
          <w:tcPr>
            <w:tcW w:w="7375" w:type="dxa"/>
            <w:tcBorders>
              <w:top w:val="single" w:sz="4" w:space="0" w:color="auto"/>
              <w:left w:val="single" w:sz="4" w:space="0" w:color="auto"/>
              <w:bottom w:val="single" w:sz="4" w:space="0" w:color="auto"/>
              <w:right w:val="single" w:sz="4" w:space="0" w:color="auto"/>
            </w:tcBorders>
          </w:tcPr>
          <w:p w14:paraId="4DAD68FB" w14:textId="5C295002" w:rsidR="000A688F" w:rsidRPr="00D41508" w:rsidRDefault="000A688F" w:rsidP="000755D3">
            <w:pPr>
              <w:keepNext/>
              <w:rPr>
                <w:rFonts w:ascii="Arial" w:hAnsi="Arial" w:cs="Arial"/>
                <w:sz w:val="20"/>
                <w:szCs w:val="22"/>
              </w:rPr>
            </w:pPr>
            <w:r w:rsidRPr="00D41508">
              <w:rPr>
                <w:rFonts w:ascii="Arial" w:hAnsi="Arial" w:cs="Arial"/>
                <w:sz w:val="20"/>
                <w:szCs w:val="22"/>
              </w:rPr>
              <w:t xml:space="preserve">Variable indicating whether customer </w:t>
            </w:r>
            <w:r w:rsidRPr="00D41508">
              <w:rPr>
                <w:rFonts w:ascii="Arial" w:hAnsi="Arial" w:cs="Arial"/>
                <w:i/>
                <w:sz w:val="20"/>
                <w:szCs w:val="22"/>
              </w:rPr>
              <w:t>c</w:t>
            </w:r>
            <w:r w:rsidRPr="00D41508">
              <w:rPr>
                <w:rFonts w:ascii="Arial" w:hAnsi="Arial" w:cs="Arial"/>
                <w:sz w:val="20"/>
                <w:szCs w:val="22"/>
              </w:rPr>
              <w:t xml:space="preserve"> is a </w:t>
            </w:r>
            <w:r w:rsidR="00307E99">
              <w:rPr>
                <w:rFonts w:ascii="Arial" w:hAnsi="Arial" w:cs="Arial"/>
                <w:sz w:val="20"/>
                <w:szCs w:val="22"/>
              </w:rPr>
              <w:t>SmartAC</w:t>
            </w:r>
            <w:r w:rsidRPr="00D41508">
              <w:rPr>
                <w:rFonts w:ascii="Arial" w:hAnsi="Arial" w:cs="Arial"/>
                <w:sz w:val="20"/>
                <w:szCs w:val="22"/>
              </w:rPr>
              <w:t xml:space="preserve"> (1) or Control (0) customer </w:t>
            </w:r>
          </w:p>
        </w:tc>
      </w:tr>
      <w:tr w:rsidR="000A688F" w14:paraId="08027144" w14:textId="77777777" w:rsidTr="00307E99">
        <w:tc>
          <w:tcPr>
            <w:tcW w:w="1255" w:type="dxa"/>
            <w:tcBorders>
              <w:top w:val="single" w:sz="4" w:space="0" w:color="auto"/>
              <w:left w:val="single" w:sz="4" w:space="0" w:color="auto"/>
              <w:bottom w:val="single" w:sz="4" w:space="0" w:color="auto"/>
              <w:right w:val="single" w:sz="4" w:space="0" w:color="auto"/>
            </w:tcBorders>
          </w:tcPr>
          <w:p w14:paraId="15911421" w14:textId="77777777" w:rsidR="000A688F" w:rsidRPr="00D41508" w:rsidRDefault="000A688F" w:rsidP="000755D3">
            <w:pPr>
              <w:keepNext/>
              <w:rPr>
                <w:rFonts w:ascii="Arial" w:hAnsi="Arial" w:cs="Arial"/>
                <w:i/>
                <w:sz w:val="20"/>
                <w:szCs w:val="22"/>
              </w:rPr>
            </w:pPr>
            <w:r w:rsidRPr="00D41508">
              <w:rPr>
                <w:rFonts w:ascii="Arial" w:hAnsi="Arial" w:cs="Arial"/>
                <w:i/>
                <w:sz w:val="20"/>
                <w:szCs w:val="22"/>
              </w:rPr>
              <w:t>Evt</w:t>
            </w:r>
            <w:r w:rsidRPr="00D41508">
              <w:rPr>
                <w:rFonts w:ascii="Arial" w:hAnsi="Arial" w:cs="Arial"/>
                <w:i/>
                <w:sz w:val="20"/>
                <w:szCs w:val="22"/>
                <w:vertAlign w:val="subscript"/>
              </w:rPr>
              <w:t>i,d</w:t>
            </w:r>
          </w:p>
        </w:tc>
        <w:tc>
          <w:tcPr>
            <w:tcW w:w="7375" w:type="dxa"/>
            <w:tcBorders>
              <w:top w:val="single" w:sz="4" w:space="0" w:color="auto"/>
              <w:left w:val="single" w:sz="4" w:space="0" w:color="auto"/>
              <w:bottom w:val="single" w:sz="4" w:space="0" w:color="auto"/>
              <w:right w:val="single" w:sz="4" w:space="0" w:color="auto"/>
            </w:tcBorders>
          </w:tcPr>
          <w:p w14:paraId="79BDF8E5" w14:textId="64E5D337" w:rsidR="000A688F" w:rsidRPr="00D41508" w:rsidRDefault="000A688F" w:rsidP="000755D3">
            <w:pPr>
              <w:keepNext/>
              <w:rPr>
                <w:rFonts w:ascii="Arial" w:hAnsi="Arial" w:cs="Arial"/>
                <w:sz w:val="20"/>
                <w:szCs w:val="22"/>
              </w:rPr>
            </w:pPr>
            <w:r w:rsidRPr="00D41508">
              <w:rPr>
                <w:rFonts w:ascii="Arial" w:hAnsi="Arial" w:cs="Arial"/>
                <w:sz w:val="20"/>
                <w:szCs w:val="22"/>
              </w:rPr>
              <w:t xml:space="preserve">Variable indicating that day </w:t>
            </w:r>
            <w:r w:rsidRPr="00D41508">
              <w:rPr>
                <w:rFonts w:ascii="Arial" w:hAnsi="Arial" w:cs="Arial"/>
                <w:i/>
                <w:sz w:val="20"/>
                <w:szCs w:val="22"/>
              </w:rPr>
              <w:t>d</w:t>
            </w:r>
            <w:r w:rsidRPr="00D41508">
              <w:rPr>
                <w:rFonts w:ascii="Arial" w:hAnsi="Arial" w:cs="Arial"/>
                <w:sz w:val="20"/>
                <w:szCs w:val="22"/>
              </w:rPr>
              <w:t xml:space="preserve"> is the </w:t>
            </w:r>
            <w:r w:rsidRPr="00D41508">
              <w:rPr>
                <w:rFonts w:ascii="Arial" w:hAnsi="Arial" w:cs="Arial"/>
                <w:i/>
                <w:sz w:val="20"/>
                <w:szCs w:val="22"/>
              </w:rPr>
              <w:t>i</w:t>
            </w:r>
            <w:r w:rsidRPr="00D41508">
              <w:rPr>
                <w:rFonts w:ascii="Arial" w:hAnsi="Arial" w:cs="Arial"/>
                <w:sz w:val="20"/>
                <w:szCs w:val="22"/>
                <w:vertAlign w:val="superscript"/>
              </w:rPr>
              <w:t>th</w:t>
            </w:r>
            <w:r w:rsidRPr="00D41508">
              <w:rPr>
                <w:rFonts w:ascii="Arial" w:hAnsi="Arial" w:cs="Arial"/>
                <w:sz w:val="20"/>
                <w:szCs w:val="22"/>
              </w:rPr>
              <w:t xml:space="preserve"> event day (1</w:t>
            </w:r>
            <w:r w:rsidR="00FB54D3">
              <w:rPr>
                <w:rFonts w:ascii="Arial" w:hAnsi="Arial" w:cs="Arial"/>
                <w:sz w:val="20"/>
                <w:szCs w:val="22"/>
              </w:rPr>
              <w:t>) or not (</w:t>
            </w:r>
            <w:r w:rsidRPr="00D41508">
              <w:rPr>
                <w:rFonts w:ascii="Arial" w:hAnsi="Arial" w:cs="Arial"/>
                <w:sz w:val="20"/>
                <w:szCs w:val="22"/>
              </w:rPr>
              <w:t>0)</w:t>
            </w:r>
          </w:p>
        </w:tc>
      </w:tr>
      <w:tr w:rsidR="002D39B6" w14:paraId="3726D6C2" w14:textId="77777777" w:rsidTr="00307E99">
        <w:tc>
          <w:tcPr>
            <w:tcW w:w="1255" w:type="dxa"/>
            <w:tcBorders>
              <w:top w:val="single" w:sz="4" w:space="0" w:color="auto"/>
              <w:left w:val="single" w:sz="4" w:space="0" w:color="auto"/>
              <w:bottom w:val="single" w:sz="4" w:space="0" w:color="auto"/>
              <w:right w:val="single" w:sz="4" w:space="0" w:color="auto"/>
            </w:tcBorders>
          </w:tcPr>
          <w:p w14:paraId="60BC35AF" w14:textId="1BE43E42" w:rsidR="002D39B6" w:rsidRPr="002D39B6" w:rsidRDefault="002D39B6" w:rsidP="000755D3">
            <w:pPr>
              <w:keepNext/>
              <w:rPr>
                <w:rFonts w:ascii="Arial" w:hAnsi="Arial" w:cs="Arial"/>
                <w:sz w:val="20"/>
                <w:szCs w:val="22"/>
                <w:vertAlign w:val="subscript"/>
              </w:rPr>
            </w:pPr>
            <w:r>
              <w:rPr>
                <w:rFonts w:ascii="Arial" w:hAnsi="Arial" w:cs="Arial"/>
                <w:sz w:val="20"/>
                <w:szCs w:val="22"/>
              </w:rPr>
              <w:t>X</w:t>
            </w:r>
            <w:r>
              <w:rPr>
                <w:rFonts w:ascii="Arial" w:hAnsi="Arial" w:cs="Arial"/>
                <w:sz w:val="20"/>
                <w:szCs w:val="22"/>
                <w:vertAlign w:val="subscript"/>
              </w:rPr>
              <w:t>c,d,j</w:t>
            </w:r>
          </w:p>
        </w:tc>
        <w:tc>
          <w:tcPr>
            <w:tcW w:w="7375" w:type="dxa"/>
            <w:tcBorders>
              <w:top w:val="single" w:sz="4" w:space="0" w:color="auto"/>
              <w:left w:val="single" w:sz="4" w:space="0" w:color="auto"/>
              <w:bottom w:val="single" w:sz="4" w:space="0" w:color="auto"/>
              <w:right w:val="single" w:sz="4" w:space="0" w:color="auto"/>
            </w:tcBorders>
          </w:tcPr>
          <w:p w14:paraId="2F64553D" w14:textId="3EC1DE99" w:rsidR="002D39B6" w:rsidRPr="00D41508" w:rsidRDefault="002D39B6" w:rsidP="000755D3">
            <w:pPr>
              <w:keepNext/>
              <w:rPr>
                <w:rFonts w:ascii="Arial" w:hAnsi="Arial" w:cs="Arial"/>
                <w:sz w:val="20"/>
                <w:szCs w:val="22"/>
              </w:rPr>
            </w:pPr>
            <w:r>
              <w:rPr>
                <w:rFonts w:ascii="Arial" w:hAnsi="Arial" w:cs="Arial"/>
                <w:sz w:val="20"/>
                <w:szCs w:val="22"/>
              </w:rPr>
              <w:t xml:space="preserve">The value of </w:t>
            </w:r>
            <w:r w:rsidR="001A4F0C">
              <w:rPr>
                <w:rFonts w:ascii="Arial" w:hAnsi="Arial" w:cs="Arial"/>
                <w:sz w:val="20"/>
                <w:szCs w:val="22"/>
              </w:rPr>
              <w:t>weather variable</w:t>
            </w:r>
            <w:r>
              <w:rPr>
                <w:rFonts w:ascii="Arial" w:hAnsi="Arial" w:cs="Arial"/>
                <w:sz w:val="20"/>
                <w:szCs w:val="22"/>
              </w:rPr>
              <w:t xml:space="preserve"> j on day d for customer c</w:t>
            </w:r>
          </w:p>
        </w:tc>
      </w:tr>
      <w:tr w:rsidR="000A688F" w14:paraId="551C17DD" w14:textId="77777777" w:rsidTr="00307E99">
        <w:tc>
          <w:tcPr>
            <w:tcW w:w="1255" w:type="dxa"/>
            <w:tcBorders>
              <w:top w:val="single" w:sz="4" w:space="0" w:color="auto"/>
              <w:left w:val="single" w:sz="4" w:space="0" w:color="auto"/>
              <w:bottom w:val="single" w:sz="4" w:space="0" w:color="auto"/>
              <w:right w:val="single" w:sz="4" w:space="0" w:color="auto"/>
            </w:tcBorders>
          </w:tcPr>
          <w:p w14:paraId="60BFEBC8" w14:textId="77777777" w:rsidR="000A688F" w:rsidRPr="00D41508" w:rsidRDefault="000A688F" w:rsidP="000755D3">
            <w:pPr>
              <w:keepNext/>
              <w:rPr>
                <w:rFonts w:ascii="Arial" w:hAnsi="Arial" w:cs="Arial"/>
                <w:sz w:val="20"/>
                <w:szCs w:val="22"/>
              </w:rPr>
            </w:pPr>
            <w:r w:rsidRPr="00D41508">
              <w:rPr>
                <w:rFonts w:ascii="Arial" w:hAnsi="Arial" w:cs="Arial"/>
                <w:sz w:val="20"/>
                <w:szCs w:val="22"/>
              </w:rPr>
              <w:t>β</w:t>
            </w:r>
            <w:r w:rsidRPr="00D41508">
              <w:rPr>
                <w:rFonts w:ascii="Arial" w:hAnsi="Arial" w:cs="Arial"/>
                <w:sz w:val="20"/>
                <w:szCs w:val="22"/>
                <w:vertAlign w:val="subscript"/>
              </w:rPr>
              <w:t>0</w:t>
            </w:r>
          </w:p>
        </w:tc>
        <w:tc>
          <w:tcPr>
            <w:tcW w:w="7375" w:type="dxa"/>
            <w:tcBorders>
              <w:top w:val="single" w:sz="4" w:space="0" w:color="auto"/>
              <w:left w:val="single" w:sz="4" w:space="0" w:color="auto"/>
              <w:bottom w:val="single" w:sz="4" w:space="0" w:color="auto"/>
              <w:right w:val="single" w:sz="4" w:space="0" w:color="auto"/>
            </w:tcBorders>
          </w:tcPr>
          <w:p w14:paraId="3DC54CB2" w14:textId="77777777" w:rsidR="000A688F" w:rsidRPr="00D41508" w:rsidRDefault="000A688F" w:rsidP="000755D3">
            <w:pPr>
              <w:keepNext/>
              <w:rPr>
                <w:rFonts w:ascii="Arial" w:hAnsi="Arial" w:cs="Arial"/>
                <w:sz w:val="20"/>
                <w:szCs w:val="22"/>
              </w:rPr>
            </w:pPr>
            <w:r w:rsidRPr="00D41508">
              <w:rPr>
                <w:rFonts w:ascii="Arial" w:hAnsi="Arial" w:cs="Arial"/>
                <w:sz w:val="20"/>
                <w:szCs w:val="22"/>
              </w:rPr>
              <w:t>Estimated constant coefficient</w:t>
            </w:r>
          </w:p>
        </w:tc>
      </w:tr>
      <w:tr w:rsidR="000A688F" w14:paraId="22AD3354" w14:textId="77777777" w:rsidTr="00307E99">
        <w:tc>
          <w:tcPr>
            <w:tcW w:w="1255" w:type="dxa"/>
            <w:tcBorders>
              <w:top w:val="single" w:sz="4" w:space="0" w:color="auto"/>
              <w:left w:val="single" w:sz="4" w:space="0" w:color="auto"/>
              <w:bottom w:val="single" w:sz="4" w:space="0" w:color="auto"/>
              <w:right w:val="single" w:sz="4" w:space="0" w:color="auto"/>
            </w:tcBorders>
          </w:tcPr>
          <w:p w14:paraId="31CC52E7" w14:textId="1D7B1799" w:rsidR="000A688F" w:rsidRPr="00D41508" w:rsidRDefault="000A688F" w:rsidP="000755D3">
            <w:pPr>
              <w:keepNext/>
              <w:rPr>
                <w:rFonts w:ascii="Arial" w:hAnsi="Arial" w:cs="Arial"/>
                <w:sz w:val="20"/>
                <w:szCs w:val="22"/>
              </w:rPr>
            </w:pPr>
            <w:r w:rsidRPr="00D41508">
              <w:rPr>
                <w:rFonts w:ascii="Arial" w:hAnsi="Arial" w:cs="Arial"/>
                <w:sz w:val="20"/>
                <w:szCs w:val="22"/>
              </w:rPr>
              <w:t>β</w:t>
            </w:r>
            <w:r w:rsidRPr="00D41508">
              <w:rPr>
                <w:rFonts w:ascii="Arial" w:hAnsi="Arial" w:cs="Arial"/>
                <w:sz w:val="20"/>
                <w:szCs w:val="22"/>
                <w:vertAlign w:val="subscript"/>
              </w:rPr>
              <w:t>1,i</w:t>
            </w:r>
          </w:p>
        </w:tc>
        <w:tc>
          <w:tcPr>
            <w:tcW w:w="7375" w:type="dxa"/>
            <w:tcBorders>
              <w:top w:val="single" w:sz="4" w:space="0" w:color="auto"/>
              <w:left w:val="single" w:sz="4" w:space="0" w:color="auto"/>
              <w:bottom w:val="single" w:sz="4" w:space="0" w:color="auto"/>
              <w:right w:val="single" w:sz="4" w:space="0" w:color="auto"/>
            </w:tcBorders>
          </w:tcPr>
          <w:p w14:paraId="069524B0" w14:textId="77777777" w:rsidR="000A688F" w:rsidRPr="00D41508" w:rsidRDefault="000A688F" w:rsidP="000755D3">
            <w:pPr>
              <w:keepNext/>
              <w:rPr>
                <w:rFonts w:ascii="Arial" w:hAnsi="Arial" w:cs="Arial"/>
                <w:sz w:val="20"/>
                <w:szCs w:val="22"/>
              </w:rPr>
            </w:pPr>
            <w:r w:rsidRPr="00D41508">
              <w:rPr>
                <w:rFonts w:ascii="Arial" w:hAnsi="Arial" w:cs="Arial"/>
                <w:sz w:val="20"/>
                <w:szCs w:val="22"/>
              </w:rPr>
              <w:t xml:space="preserve">Estimated load impact for event </w:t>
            </w:r>
            <w:r w:rsidRPr="00D41508">
              <w:rPr>
                <w:rFonts w:ascii="Arial" w:hAnsi="Arial" w:cs="Arial"/>
                <w:i/>
                <w:sz w:val="20"/>
                <w:szCs w:val="22"/>
              </w:rPr>
              <w:t>i</w:t>
            </w:r>
          </w:p>
        </w:tc>
      </w:tr>
      <w:tr w:rsidR="009007B8" w14:paraId="370FBB6A" w14:textId="77777777" w:rsidTr="00307E99">
        <w:tc>
          <w:tcPr>
            <w:tcW w:w="1255" w:type="dxa"/>
            <w:tcBorders>
              <w:top w:val="single" w:sz="4" w:space="0" w:color="auto"/>
              <w:left w:val="single" w:sz="4" w:space="0" w:color="auto"/>
              <w:bottom w:val="single" w:sz="4" w:space="0" w:color="auto"/>
              <w:right w:val="single" w:sz="4" w:space="0" w:color="auto"/>
            </w:tcBorders>
          </w:tcPr>
          <w:p w14:paraId="2AB8B3DC" w14:textId="1645008E" w:rsidR="009007B8" w:rsidRPr="00D41508" w:rsidRDefault="009007B8" w:rsidP="009007B8">
            <w:pPr>
              <w:keepNext/>
              <w:rPr>
                <w:rFonts w:ascii="Arial" w:hAnsi="Arial" w:cs="Arial"/>
                <w:i/>
                <w:sz w:val="20"/>
                <w:szCs w:val="22"/>
              </w:rPr>
            </w:pPr>
            <w:r w:rsidRPr="00D41508">
              <w:rPr>
                <w:rFonts w:ascii="Arial" w:hAnsi="Arial" w:cs="Arial"/>
                <w:sz w:val="20"/>
                <w:szCs w:val="22"/>
              </w:rPr>
              <w:t>β</w:t>
            </w:r>
            <w:r>
              <w:rPr>
                <w:rFonts w:ascii="Arial" w:hAnsi="Arial" w:cs="Arial"/>
                <w:sz w:val="20"/>
                <w:szCs w:val="22"/>
                <w:vertAlign w:val="subscript"/>
              </w:rPr>
              <w:t>2</w:t>
            </w:r>
            <w:r w:rsidRPr="00D41508">
              <w:rPr>
                <w:rFonts w:ascii="Arial" w:hAnsi="Arial" w:cs="Arial"/>
                <w:sz w:val="20"/>
                <w:szCs w:val="22"/>
                <w:vertAlign w:val="subscript"/>
              </w:rPr>
              <w:t>,</w:t>
            </w:r>
            <w:r>
              <w:rPr>
                <w:rFonts w:ascii="Arial" w:hAnsi="Arial" w:cs="Arial"/>
                <w:sz w:val="20"/>
                <w:szCs w:val="22"/>
                <w:vertAlign w:val="subscript"/>
              </w:rPr>
              <w:t>i</w:t>
            </w:r>
          </w:p>
        </w:tc>
        <w:tc>
          <w:tcPr>
            <w:tcW w:w="7375" w:type="dxa"/>
            <w:tcBorders>
              <w:top w:val="single" w:sz="4" w:space="0" w:color="auto"/>
              <w:left w:val="single" w:sz="4" w:space="0" w:color="auto"/>
              <w:bottom w:val="single" w:sz="4" w:space="0" w:color="auto"/>
              <w:right w:val="single" w:sz="4" w:space="0" w:color="auto"/>
            </w:tcBorders>
          </w:tcPr>
          <w:p w14:paraId="0AD8B7CC" w14:textId="6D846D75" w:rsidR="009007B8" w:rsidRPr="00D41508" w:rsidRDefault="009007B8" w:rsidP="009007B8">
            <w:pPr>
              <w:keepNext/>
              <w:rPr>
                <w:rFonts w:ascii="Arial" w:hAnsi="Arial" w:cs="Arial"/>
                <w:sz w:val="20"/>
                <w:szCs w:val="22"/>
              </w:rPr>
            </w:pPr>
            <w:r>
              <w:rPr>
                <w:rFonts w:ascii="Arial" w:hAnsi="Arial" w:cs="Arial"/>
                <w:sz w:val="20"/>
                <w:szCs w:val="22"/>
              </w:rPr>
              <w:t>Estimated coefficient for customer characteristic j</w:t>
            </w:r>
          </w:p>
        </w:tc>
      </w:tr>
      <w:tr w:rsidR="000A688F" w14:paraId="4B1DA0E9" w14:textId="77777777" w:rsidTr="00307E99">
        <w:tc>
          <w:tcPr>
            <w:tcW w:w="1255" w:type="dxa"/>
            <w:tcBorders>
              <w:top w:val="single" w:sz="4" w:space="0" w:color="auto"/>
              <w:left w:val="single" w:sz="4" w:space="0" w:color="auto"/>
              <w:bottom w:val="single" w:sz="4" w:space="0" w:color="auto"/>
              <w:right w:val="single" w:sz="4" w:space="0" w:color="auto"/>
            </w:tcBorders>
          </w:tcPr>
          <w:p w14:paraId="6996EA9D" w14:textId="77777777" w:rsidR="000A688F" w:rsidRPr="00D41508" w:rsidRDefault="000A688F" w:rsidP="000755D3">
            <w:pPr>
              <w:keepNext/>
              <w:rPr>
                <w:rFonts w:ascii="Arial" w:hAnsi="Arial" w:cs="Arial"/>
                <w:sz w:val="20"/>
                <w:szCs w:val="22"/>
              </w:rPr>
            </w:pPr>
            <w:r w:rsidRPr="00D41508">
              <w:rPr>
                <w:rFonts w:ascii="Arial" w:hAnsi="Arial" w:cs="Arial"/>
                <w:i/>
                <w:sz w:val="20"/>
                <w:szCs w:val="22"/>
              </w:rPr>
              <w:t>C</w:t>
            </w:r>
            <w:r w:rsidRPr="00D41508">
              <w:rPr>
                <w:rFonts w:ascii="Arial" w:hAnsi="Arial" w:cs="Arial"/>
                <w:i/>
                <w:sz w:val="20"/>
                <w:szCs w:val="22"/>
                <w:vertAlign w:val="subscript"/>
              </w:rPr>
              <w:t>c</w:t>
            </w:r>
          </w:p>
        </w:tc>
        <w:tc>
          <w:tcPr>
            <w:tcW w:w="7375" w:type="dxa"/>
            <w:tcBorders>
              <w:top w:val="single" w:sz="4" w:space="0" w:color="auto"/>
              <w:left w:val="single" w:sz="4" w:space="0" w:color="auto"/>
              <w:bottom w:val="single" w:sz="4" w:space="0" w:color="auto"/>
              <w:right w:val="single" w:sz="4" w:space="0" w:color="auto"/>
            </w:tcBorders>
          </w:tcPr>
          <w:p w14:paraId="5DB385B7" w14:textId="77777777" w:rsidR="000A688F" w:rsidRPr="00D41508" w:rsidRDefault="000A688F" w:rsidP="000755D3">
            <w:pPr>
              <w:keepNext/>
              <w:rPr>
                <w:rFonts w:ascii="Arial" w:hAnsi="Arial" w:cs="Arial"/>
                <w:sz w:val="20"/>
                <w:szCs w:val="22"/>
              </w:rPr>
            </w:pPr>
            <w:r w:rsidRPr="00D41508">
              <w:rPr>
                <w:rFonts w:ascii="Arial" w:hAnsi="Arial" w:cs="Arial"/>
                <w:sz w:val="20"/>
                <w:szCs w:val="22"/>
              </w:rPr>
              <w:t>Customer fixed effects</w:t>
            </w:r>
          </w:p>
        </w:tc>
      </w:tr>
      <w:tr w:rsidR="000A688F" w14:paraId="22B75A28" w14:textId="77777777" w:rsidTr="00307E99">
        <w:tc>
          <w:tcPr>
            <w:tcW w:w="1255" w:type="dxa"/>
            <w:tcBorders>
              <w:top w:val="single" w:sz="4" w:space="0" w:color="auto"/>
              <w:left w:val="single" w:sz="4" w:space="0" w:color="auto"/>
              <w:bottom w:val="single" w:sz="4" w:space="0" w:color="auto"/>
              <w:right w:val="single" w:sz="4" w:space="0" w:color="auto"/>
            </w:tcBorders>
          </w:tcPr>
          <w:p w14:paraId="4AB2E5E8" w14:textId="77777777" w:rsidR="000A688F" w:rsidRPr="00D41508" w:rsidRDefault="000A688F" w:rsidP="000755D3">
            <w:pPr>
              <w:keepNext/>
              <w:rPr>
                <w:rFonts w:ascii="Arial" w:hAnsi="Arial" w:cs="Arial"/>
                <w:sz w:val="20"/>
                <w:szCs w:val="22"/>
              </w:rPr>
            </w:pPr>
            <w:r w:rsidRPr="00D41508">
              <w:rPr>
                <w:rFonts w:ascii="Arial" w:hAnsi="Arial" w:cs="Arial"/>
                <w:i/>
                <w:sz w:val="20"/>
                <w:szCs w:val="22"/>
              </w:rPr>
              <w:t>D</w:t>
            </w:r>
            <w:r w:rsidRPr="00D41508">
              <w:rPr>
                <w:rFonts w:ascii="Arial" w:hAnsi="Arial" w:cs="Arial"/>
                <w:i/>
                <w:sz w:val="20"/>
                <w:szCs w:val="22"/>
                <w:vertAlign w:val="subscript"/>
              </w:rPr>
              <w:t>d</w:t>
            </w:r>
          </w:p>
        </w:tc>
        <w:tc>
          <w:tcPr>
            <w:tcW w:w="7375" w:type="dxa"/>
            <w:tcBorders>
              <w:top w:val="single" w:sz="4" w:space="0" w:color="auto"/>
              <w:left w:val="single" w:sz="4" w:space="0" w:color="auto"/>
              <w:bottom w:val="single" w:sz="4" w:space="0" w:color="auto"/>
              <w:right w:val="single" w:sz="4" w:space="0" w:color="auto"/>
            </w:tcBorders>
          </w:tcPr>
          <w:p w14:paraId="4C2AD843" w14:textId="77777777" w:rsidR="000A688F" w:rsidRPr="00D41508" w:rsidRDefault="000A688F" w:rsidP="000755D3">
            <w:pPr>
              <w:keepNext/>
              <w:rPr>
                <w:rFonts w:ascii="Arial" w:hAnsi="Arial" w:cs="Arial"/>
                <w:sz w:val="20"/>
                <w:szCs w:val="22"/>
              </w:rPr>
            </w:pPr>
            <w:r w:rsidRPr="00D41508">
              <w:rPr>
                <w:rFonts w:ascii="Arial" w:hAnsi="Arial" w:cs="Arial"/>
                <w:sz w:val="20"/>
                <w:szCs w:val="22"/>
              </w:rPr>
              <w:t>Date fixed effects</w:t>
            </w:r>
          </w:p>
        </w:tc>
      </w:tr>
      <w:tr w:rsidR="000A688F" w14:paraId="0CA3832D" w14:textId="77777777" w:rsidTr="00307E99">
        <w:tc>
          <w:tcPr>
            <w:tcW w:w="1255" w:type="dxa"/>
            <w:tcBorders>
              <w:top w:val="single" w:sz="4" w:space="0" w:color="auto"/>
              <w:left w:val="single" w:sz="4" w:space="0" w:color="auto"/>
              <w:bottom w:val="single" w:sz="4" w:space="0" w:color="auto"/>
              <w:right w:val="single" w:sz="4" w:space="0" w:color="auto"/>
            </w:tcBorders>
          </w:tcPr>
          <w:p w14:paraId="6F0A85DF" w14:textId="77777777" w:rsidR="000A688F" w:rsidRPr="00D41508" w:rsidRDefault="000A688F" w:rsidP="000755D3">
            <w:pPr>
              <w:keepNext/>
              <w:rPr>
                <w:rFonts w:ascii="Arial" w:hAnsi="Arial" w:cs="Arial"/>
                <w:sz w:val="20"/>
                <w:szCs w:val="22"/>
              </w:rPr>
            </w:pPr>
            <w:r w:rsidRPr="00D41508">
              <w:rPr>
                <w:rFonts w:ascii="Arial" w:hAnsi="Arial" w:cs="Arial"/>
                <w:sz w:val="20"/>
                <w:szCs w:val="22"/>
              </w:rPr>
              <w:t>ε</w:t>
            </w:r>
            <w:r w:rsidRPr="00D41508">
              <w:rPr>
                <w:rFonts w:ascii="Arial" w:hAnsi="Arial" w:cs="Arial"/>
                <w:sz w:val="20"/>
                <w:szCs w:val="22"/>
                <w:vertAlign w:val="subscript"/>
              </w:rPr>
              <w:t>c,d</w:t>
            </w:r>
          </w:p>
        </w:tc>
        <w:tc>
          <w:tcPr>
            <w:tcW w:w="7375" w:type="dxa"/>
            <w:tcBorders>
              <w:top w:val="single" w:sz="4" w:space="0" w:color="auto"/>
              <w:left w:val="single" w:sz="4" w:space="0" w:color="auto"/>
              <w:bottom w:val="single" w:sz="4" w:space="0" w:color="auto"/>
              <w:right w:val="single" w:sz="4" w:space="0" w:color="auto"/>
            </w:tcBorders>
          </w:tcPr>
          <w:p w14:paraId="01BEB7F2" w14:textId="384AEB03" w:rsidR="000A688F" w:rsidRPr="00D41508" w:rsidRDefault="000A688F" w:rsidP="000755D3">
            <w:pPr>
              <w:keepNext/>
              <w:rPr>
                <w:rFonts w:ascii="Arial" w:hAnsi="Arial" w:cs="Arial"/>
                <w:sz w:val="20"/>
                <w:szCs w:val="22"/>
              </w:rPr>
            </w:pPr>
            <w:r w:rsidRPr="00D41508">
              <w:rPr>
                <w:rFonts w:ascii="Arial" w:hAnsi="Arial" w:cs="Arial"/>
                <w:sz w:val="20"/>
                <w:szCs w:val="22"/>
              </w:rPr>
              <w:t>Error term</w:t>
            </w:r>
            <w:r w:rsidR="00FB54D3">
              <w:rPr>
                <w:rFonts w:ascii="Arial" w:hAnsi="Arial" w:cs="Arial"/>
                <w:sz w:val="20"/>
                <w:szCs w:val="22"/>
              </w:rPr>
              <w:t xml:space="preserve"> (correlated at the customer level) </w:t>
            </w:r>
          </w:p>
        </w:tc>
      </w:tr>
    </w:tbl>
    <w:p w14:paraId="77EC1B08" w14:textId="77777777" w:rsidR="000A688F" w:rsidRDefault="000A688F" w:rsidP="000A688F"/>
    <w:p w14:paraId="37D5EFE4" w14:textId="481FCFC6" w:rsidR="000A688F" w:rsidRDefault="00025EDD" w:rsidP="00DC2309">
      <w:pPr>
        <w:spacing w:after="120"/>
      </w:pPr>
      <w:r>
        <w:t xml:space="preserve">The model includes date and customer fixed effects to account for factors that commonly affect all customers over time </w:t>
      </w:r>
      <w:r w:rsidR="00347C9D">
        <w:t>(</w:t>
      </w:r>
      <w:r w:rsidR="00347C9D" w:rsidRPr="00734479">
        <w:rPr>
          <w:i/>
        </w:rPr>
        <w:t>e.g.</w:t>
      </w:r>
      <w:r w:rsidR="00347C9D">
        <w:t xml:space="preserve">, </w:t>
      </w:r>
      <w:r>
        <w:t>weather</w:t>
      </w:r>
      <w:r w:rsidR="00347C9D">
        <w:t>)</w:t>
      </w:r>
      <w:r>
        <w:t xml:space="preserve"> and </w:t>
      </w:r>
      <w:r w:rsidR="003464A8">
        <w:t xml:space="preserve">time-invariant </w:t>
      </w:r>
      <w:r>
        <w:t>customer characteristics (</w:t>
      </w:r>
      <w:r w:rsidR="001A4F0C" w:rsidRPr="00734479">
        <w:rPr>
          <w:i/>
        </w:rPr>
        <w:t>e.g.</w:t>
      </w:r>
      <w:r w:rsidR="008E5119">
        <w:t>,</w:t>
      </w:r>
      <w:r>
        <w:t xml:space="preserve"> </w:t>
      </w:r>
      <w:r w:rsidR="00347C9D">
        <w:t>home size</w:t>
      </w:r>
      <w:r>
        <w:t>). In addition, the model includes</w:t>
      </w:r>
      <w:r w:rsidR="001A4F0C">
        <w:t xml:space="preserve"> time variant weather controls such as </w:t>
      </w:r>
      <w:r>
        <w:t>the mean temperature across the first 17 hours of the day</w:t>
      </w:r>
      <w:r>
        <w:rPr>
          <w:rStyle w:val="FootnoteReference"/>
        </w:rPr>
        <w:footnoteReference w:id="6"/>
      </w:r>
      <w:r w:rsidR="005F21C1">
        <w:t>.</w:t>
      </w:r>
      <w:r>
        <w:t xml:space="preserve"> The </w:t>
      </w:r>
      <w:r w:rsidRPr="00271447">
        <w:rPr>
          <w:rFonts w:ascii="Symbol" w:hAnsi="Symbol"/>
          <w:i/>
        </w:rPr>
        <w:t></w:t>
      </w:r>
      <w:r w:rsidRPr="00271447">
        <w:rPr>
          <w:i/>
          <w:vertAlign w:val="subscript"/>
        </w:rPr>
        <w:t>1,i</w:t>
      </w:r>
      <w:r>
        <w:t xml:space="preserve"> coefficients represent the estimated load impacts for each hour of every event day.</w:t>
      </w:r>
    </w:p>
    <w:p w14:paraId="6D1CF737" w14:textId="2690C02F" w:rsidR="000A688F" w:rsidRDefault="002D731D" w:rsidP="00DC2309">
      <w:pPr>
        <w:spacing w:after="120"/>
      </w:pPr>
      <w:r>
        <w:rPr>
          <w:rFonts w:asciiTheme="minorHAnsi" w:hAnsiTheme="minorHAnsi" w:cstheme="minorHAnsi"/>
        </w:rPr>
        <w:t>We estimate t</w:t>
      </w:r>
      <w:r w:rsidR="000A688F" w:rsidRPr="002D731D">
        <w:rPr>
          <w:rFonts w:asciiTheme="minorHAnsi" w:hAnsiTheme="minorHAnsi" w:cstheme="minorHAnsi"/>
        </w:rPr>
        <w:t>his model separately for each hour of the day using only event and event-like non-event days</w:t>
      </w:r>
      <w:r>
        <w:rPr>
          <w:rFonts w:asciiTheme="minorHAnsi" w:hAnsiTheme="minorHAnsi" w:cstheme="minorHAnsi"/>
        </w:rPr>
        <w:t xml:space="preserve"> (</w:t>
      </w:r>
      <w:r w:rsidRPr="00734479">
        <w:rPr>
          <w:rFonts w:asciiTheme="minorHAnsi" w:hAnsiTheme="minorHAnsi" w:cstheme="minorHAnsi"/>
          <w:i/>
        </w:rPr>
        <w:t>i.e.</w:t>
      </w:r>
      <w:r w:rsidR="008E5119">
        <w:rPr>
          <w:rFonts w:asciiTheme="minorHAnsi" w:hAnsiTheme="minorHAnsi" w:cstheme="minorHAnsi"/>
        </w:rPr>
        <w:t>,</w:t>
      </w:r>
      <w:r>
        <w:rPr>
          <w:rFonts w:asciiTheme="minorHAnsi" w:hAnsiTheme="minorHAnsi" w:cstheme="minorHAnsi"/>
        </w:rPr>
        <w:t xml:space="preserve"> t</w:t>
      </w:r>
      <w:r w:rsidR="001A4F0C" w:rsidRPr="002D731D">
        <w:rPr>
          <w:rFonts w:asciiTheme="minorHAnsi" w:hAnsiTheme="minorHAnsi" w:cstheme="minorHAnsi"/>
        </w:rPr>
        <w:t>he hottest 10% of non-event days</w:t>
      </w:r>
      <w:r>
        <w:rPr>
          <w:rFonts w:asciiTheme="minorHAnsi" w:hAnsiTheme="minorHAnsi" w:cstheme="minorHAnsi"/>
        </w:rPr>
        <w:t>)</w:t>
      </w:r>
      <w:r w:rsidR="001A4F0C" w:rsidRPr="002D731D">
        <w:rPr>
          <w:rFonts w:asciiTheme="minorHAnsi" w:hAnsiTheme="minorHAnsi" w:cstheme="minorHAnsi"/>
        </w:rPr>
        <w:t>.</w:t>
      </w:r>
      <w:bookmarkEnd w:id="63"/>
      <w:bookmarkEnd w:id="64"/>
      <w:bookmarkEnd w:id="65"/>
      <w:r w:rsidR="001A4F0C" w:rsidRPr="002D731D">
        <w:rPr>
          <w:rFonts w:asciiTheme="minorHAnsi" w:hAnsiTheme="minorHAnsi" w:cstheme="minorHAnsi"/>
        </w:rPr>
        <w:t xml:space="preserve"> </w:t>
      </w:r>
      <w:r w:rsidR="003464A8" w:rsidRPr="002D731D">
        <w:rPr>
          <w:rFonts w:asciiTheme="minorHAnsi" w:hAnsiTheme="minorHAnsi" w:cstheme="minorHAnsi"/>
        </w:rPr>
        <w:t>T</w:t>
      </w:r>
      <w:r w:rsidR="000A688F" w:rsidRPr="002D731D">
        <w:rPr>
          <w:rFonts w:asciiTheme="minorHAnsi" w:hAnsiTheme="minorHAnsi" w:cstheme="minorHAnsi"/>
        </w:rPr>
        <w:t>he distribution of load impacts across different</w:t>
      </w:r>
      <w:r w:rsidRPr="002D731D">
        <w:rPr>
          <w:rFonts w:asciiTheme="minorHAnsi" w:hAnsiTheme="minorHAnsi" w:cstheme="minorHAnsi"/>
        </w:rPr>
        <w:t xml:space="preserve"> customer</w:t>
      </w:r>
      <w:r w:rsidR="000A688F" w:rsidRPr="002D731D">
        <w:rPr>
          <w:rFonts w:asciiTheme="minorHAnsi" w:hAnsiTheme="minorHAnsi" w:cstheme="minorHAnsi"/>
        </w:rPr>
        <w:t xml:space="preserve"> subgroups </w:t>
      </w:r>
      <w:r w:rsidR="003464A8" w:rsidRPr="002D731D">
        <w:rPr>
          <w:rFonts w:asciiTheme="minorHAnsi" w:hAnsiTheme="minorHAnsi" w:cstheme="minorHAnsi"/>
        </w:rPr>
        <w:t xml:space="preserve">is explored </w:t>
      </w:r>
      <w:r w:rsidR="00D777DE" w:rsidRPr="002D731D">
        <w:rPr>
          <w:rFonts w:asciiTheme="minorHAnsi" w:hAnsiTheme="minorHAnsi" w:cstheme="minorHAnsi"/>
        </w:rPr>
        <w:t xml:space="preserve">by </w:t>
      </w:r>
      <w:r w:rsidRPr="002D731D">
        <w:rPr>
          <w:rFonts w:asciiTheme="minorHAnsi" w:hAnsiTheme="minorHAnsi" w:cstheme="minorHAnsi"/>
        </w:rPr>
        <w:t xml:space="preserve">estimating </w:t>
      </w:r>
      <w:r w:rsidR="00734479">
        <w:rPr>
          <w:rFonts w:asciiTheme="minorHAnsi" w:hAnsiTheme="minorHAnsi" w:cstheme="minorHAnsi"/>
        </w:rPr>
        <w:t>the above model separately for each subgroup</w:t>
      </w:r>
      <w:r w:rsidRPr="002D731D">
        <w:rPr>
          <w:rFonts w:asciiTheme="minorHAnsi" w:hAnsiTheme="minorHAnsi" w:cstheme="minorHAnsi"/>
          <w:i/>
        </w:rPr>
        <w:t xml:space="preserve">. </w:t>
      </w:r>
      <w:r w:rsidRPr="002D731D">
        <w:rPr>
          <w:rFonts w:asciiTheme="minorHAnsi" w:hAnsiTheme="minorHAnsi" w:cstheme="minorHAnsi"/>
        </w:rPr>
        <w:t>T</w:t>
      </w:r>
      <w:r>
        <w:rPr>
          <w:rFonts w:asciiTheme="minorHAnsi" w:hAnsiTheme="minorHAnsi" w:cstheme="minorHAnsi"/>
        </w:rPr>
        <w:t xml:space="preserve">hese variables include </w:t>
      </w:r>
      <w:r>
        <w:t>CARE status, NEM status, housing type, AC usage level, device type, customers with multiple devices, marketing cohort, and customers who are dually enrolled in SmartRate</w:t>
      </w:r>
      <w:r>
        <w:rPr>
          <w:rFonts w:cs="Calibri"/>
        </w:rPr>
        <w:t>™</w:t>
      </w:r>
      <w:r>
        <w:t>.</w:t>
      </w:r>
    </w:p>
    <w:p w14:paraId="07F60C0E" w14:textId="71052907" w:rsidR="004A2325" w:rsidRDefault="000A688F" w:rsidP="00DC2309">
      <w:pPr>
        <w:spacing w:after="120"/>
      </w:pPr>
      <w:r w:rsidRPr="00D377BF">
        <w:t xml:space="preserve">The Load Impact Protocols require the estimation of uncertainty-adjusted load impacts. </w:t>
      </w:r>
      <w:r>
        <w:t xml:space="preserve">Thus, in addition to producing point estimates of the </w:t>
      </w:r>
      <w:r w:rsidRPr="00234447">
        <w:rPr>
          <w:i/>
        </w:rPr>
        <w:t>ex-post</w:t>
      </w:r>
      <w:r>
        <w:t xml:space="preserve"> load impacts, we show the uncertainty around the estimated impacts. These methods use the estimated load-impact parameter values and the associated variances to derive scenarios of hourly load impacts. </w:t>
      </w:r>
      <w:r w:rsidR="004A2325">
        <w:t>Due to variation in event hours both within and across event days, we are not able to estimate the uncertainty assoc</w:t>
      </w:r>
      <w:r>
        <w:t>iated with the average event hour</w:t>
      </w:r>
      <w:r w:rsidR="004A2325">
        <w:t xml:space="preserve"> or the uncertainty associated with the typical event day</w:t>
      </w:r>
      <w:r w:rsidR="0045495C">
        <w:t>.</w:t>
      </w:r>
    </w:p>
    <w:p w14:paraId="7A776945" w14:textId="7E3793AB" w:rsidR="004A2325" w:rsidRDefault="00E818FB" w:rsidP="00DC2309">
      <w:pPr>
        <w:spacing w:after="120"/>
      </w:pPr>
      <w:r>
        <w:t xml:space="preserve">We validated the </w:t>
      </w:r>
      <w:r w:rsidRPr="00E818FB">
        <w:rPr>
          <w:i/>
        </w:rPr>
        <w:t>ex-post</w:t>
      </w:r>
      <w:r>
        <w:t xml:space="preserve"> load impact estimates against simple difference-in-difference calculations from load data. Specifically, for each sub-LAP and event day, we compared the average treatment customer hourly loads to the average control-group hourly loads. The comparisons included events during which the sub-LAP was not called, which allowed us to ensure that the event information we were provided was correct and that our methods did not produce “false positives” (</w:t>
      </w:r>
      <w:r w:rsidRPr="00E818FB">
        <w:rPr>
          <w:i/>
        </w:rPr>
        <w:t>i.e.</w:t>
      </w:r>
      <w:r>
        <w:t xml:space="preserve">, estimated load impacts for dates/locations in which customers were not called). </w:t>
      </w:r>
    </w:p>
    <w:p w14:paraId="27E74840" w14:textId="3D24C4F9" w:rsidR="000A688F" w:rsidRDefault="000A688F" w:rsidP="00D223A1">
      <w:pPr>
        <w:pStyle w:val="Heading2"/>
      </w:pPr>
      <w:bookmarkStart w:id="67" w:name="_Toc326148614"/>
      <w:bookmarkStart w:id="68" w:name="_Toc494460156"/>
      <w:bookmarkStart w:id="69" w:name="_Toc498089315"/>
      <w:bookmarkStart w:id="70" w:name="_Ref507242366"/>
      <w:bookmarkStart w:id="71" w:name="OLE_LINK24"/>
      <w:bookmarkStart w:id="72" w:name="OLE_LINK25"/>
      <w:bookmarkStart w:id="73" w:name="_Toc4578152"/>
      <w:r w:rsidRPr="00D223A1">
        <w:t>Developing Ex-Ante Load Impacts</w:t>
      </w:r>
      <w:bookmarkEnd w:id="67"/>
      <w:bookmarkEnd w:id="68"/>
      <w:bookmarkEnd w:id="69"/>
      <w:bookmarkEnd w:id="70"/>
      <w:bookmarkEnd w:id="73"/>
    </w:p>
    <w:p w14:paraId="65F6A100" w14:textId="77777777" w:rsidR="006A7F87" w:rsidRPr="00136471" w:rsidRDefault="006A7F87" w:rsidP="00860513">
      <w:pPr>
        <w:spacing w:afterLines="120" w:after="288"/>
      </w:pPr>
      <w:r w:rsidRPr="00136471">
        <w:rPr>
          <w:i/>
        </w:rPr>
        <w:t>Ex-ante</w:t>
      </w:r>
      <w:r w:rsidRPr="00136471">
        <w:t xml:space="preserve"> load impacts represent forecasts of load impacts that are expected to occur when program events are called in future years under standardized weather conditions.</w:t>
      </w:r>
    </w:p>
    <w:bookmarkEnd w:id="71"/>
    <w:bookmarkEnd w:id="72"/>
    <w:p w14:paraId="6ECB7D5D" w14:textId="38921ED5" w:rsidR="000A688F" w:rsidRPr="00136471" w:rsidRDefault="000A688F" w:rsidP="00860513">
      <w:pPr>
        <w:spacing w:after="120"/>
      </w:pPr>
      <w:r w:rsidRPr="00136471">
        <w:t xml:space="preserve">Estimating </w:t>
      </w:r>
      <w:r w:rsidRPr="00136471">
        <w:rPr>
          <w:i/>
        </w:rPr>
        <w:t>ex-ante</w:t>
      </w:r>
      <w:r w:rsidRPr="00136471">
        <w:t xml:space="preserve"> load impacts requires three key pieces of information:  </w:t>
      </w:r>
    </w:p>
    <w:p w14:paraId="0F9548E2" w14:textId="795E01A9" w:rsidR="000A688F" w:rsidRPr="00136471" w:rsidRDefault="000A688F" w:rsidP="00860513">
      <w:pPr>
        <w:numPr>
          <w:ilvl w:val="0"/>
          <w:numId w:val="8"/>
        </w:numPr>
        <w:spacing w:after="120"/>
        <w:rPr>
          <w:rFonts w:cs="Calibri"/>
        </w:rPr>
      </w:pPr>
      <w:r w:rsidRPr="00136471">
        <w:t xml:space="preserve">An </w:t>
      </w:r>
      <w:r w:rsidRPr="00136471">
        <w:rPr>
          <w:i/>
        </w:rPr>
        <w:t>enrollment forecast</w:t>
      </w:r>
      <w:r w:rsidRPr="00136471">
        <w:t xml:space="preserve"> for relevant components of the program, which consists of </w:t>
      </w:r>
      <w:r w:rsidRPr="00136471">
        <w:rPr>
          <w:rFonts w:cs="Calibri"/>
        </w:rPr>
        <w:t>forecasts of the number of customers by required type of customer</w:t>
      </w:r>
      <w:r w:rsidR="0041218E">
        <w:rPr>
          <w:rFonts w:cs="Calibri"/>
        </w:rPr>
        <w:t>;</w:t>
      </w:r>
    </w:p>
    <w:p w14:paraId="6D19AF62" w14:textId="189C605B" w:rsidR="000A688F" w:rsidRPr="00136471" w:rsidRDefault="000A688F" w:rsidP="00860513">
      <w:pPr>
        <w:numPr>
          <w:ilvl w:val="0"/>
          <w:numId w:val="8"/>
        </w:numPr>
        <w:spacing w:after="120"/>
        <w:rPr>
          <w:rFonts w:cs="Calibri"/>
        </w:rPr>
      </w:pPr>
      <w:r w:rsidRPr="00136471">
        <w:rPr>
          <w:rFonts w:cs="Calibri"/>
          <w:i/>
        </w:rPr>
        <w:t>Reference loads</w:t>
      </w:r>
      <w:r w:rsidRPr="00136471">
        <w:rPr>
          <w:rFonts w:cs="Calibri"/>
        </w:rPr>
        <w:t xml:space="preserve"> by customer type</w:t>
      </w:r>
      <w:r w:rsidR="0041218E">
        <w:rPr>
          <w:rFonts w:cs="Calibri"/>
        </w:rPr>
        <w:t>; and</w:t>
      </w:r>
    </w:p>
    <w:p w14:paraId="0D6A4607" w14:textId="42293FD3" w:rsidR="000A688F" w:rsidRPr="00136471" w:rsidRDefault="000A688F" w:rsidP="00860513">
      <w:pPr>
        <w:numPr>
          <w:ilvl w:val="0"/>
          <w:numId w:val="8"/>
        </w:numPr>
        <w:spacing w:after="120"/>
        <w:rPr>
          <w:rFonts w:cs="Calibri"/>
        </w:rPr>
      </w:pPr>
      <w:r w:rsidRPr="00136471">
        <w:rPr>
          <w:rFonts w:cs="Calibri"/>
        </w:rPr>
        <w:t xml:space="preserve">A forecast of </w:t>
      </w:r>
      <w:r w:rsidRPr="00136471">
        <w:rPr>
          <w:rFonts w:cs="Calibri"/>
          <w:i/>
        </w:rPr>
        <w:t>load impacts per customer</w:t>
      </w:r>
      <w:r w:rsidRPr="00136471">
        <w:rPr>
          <w:rFonts w:cs="Calibri"/>
        </w:rPr>
        <w:t xml:space="preserve">, again by relevant customer type, where the load impact forecast also varies with weather conditions (if applicable), as determined in the </w:t>
      </w:r>
      <w:r w:rsidRPr="00136471">
        <w:rPr>
          <w:rFonts w:cs="Calibri"/>
          <w:i/>
        </w:rPr>
        <w:t>ex-post</w:t>
      </w:r>
      <w:r w:rsidRPr="00136471">
        <w:rPr>
          <w:rFonts w:cs="Calibri"/>
        </w:rPr>
        <w:t xml:space="preserve"> evaluation</w:t>
      </w:r>
      <w:r w:rsidR="0041218E">
        <w:rPr>
          <w:rFonts w:cs="Calibri"/>
        </w:rPr>
        <w:t>.</w:t>
      </w:r>
      <w:r w:rsidRPr="00136471">
        <w:rPr>
          <w:rFonts w:cs="Calibri"/>
        </w:rPr>
        <w:t xml:space="preserve">  </w:t>
      </w:r>
    </w:p>
    <w:p w14:paraId="38934DA2" w14:textId="50E6E001" w:rsidR="00DC2309" w:rsidRPr="00136471" w:rsidRDefault="000A688F" w:rsidP="00860513">
      <w:pPr>
        <w:spacing w:after="120"/>
        <w:rPr>
          <w:rFonts w:cs="Calibri"/>
        </w:rPr>
      </w:pPr>
      <w:r w:rsidRPr="00136471">
        <w:rPr>
          <w:rFonts w:cs="Calibri"/>
          <w:i/>
        </w:rPr>
        <w:t>Ex-ante</w:t>
      </w:r>
      <w:r w:rsidRPr="00136471">
        <w:rPr>
          <w:rFonts w:cs="Calibri"/>
        </w:rPr>
        <w:t xml:space="preserve"> load impacts</w:t>
      </w:r>
      <w:r w:rsidR="00702DFA" w:rsidRPr="00136471">
        <w:rPr>
          <w:rFonts w:cs="Calibri"/>
        </w:rPr>
        <w:t xml:space="preserve"> are</w:t>
      </w:r>
      <w:r w:rsidRPr="00136471">
        <w:rPr>
          <w:rFonts w:cs="Calibri"/>
        </w:rPr>
        <w:t xml:space="preserve"> developed </w:t>
      </w:r>
      <w:r w:rsidR="00C55F02" w:rsidRPr="00136471">
        <w:rPr>
          <w:rFonts w:cs="Calibri"/>
        </w:rPr>
        <w:t>for the years 2019 through 2029</w:t>
      </w:r>
      <w:r w:rsidR="00DC2309" w:rsidRPr="00136471">
        <w:rPr>
          <w:rFonts w:cs="Calibri"/>
        </w:rPr>
        <w:t>,</w:t>
      </w:r>
      <w:r w:rsidR="00C55F02" w:rsidRPr="00136471">
        <w:rPr>
          <w:rFonts w:cs="Calibri"/>
        </w:rPr>
        <w:t xml:space="preserve"> both for the monthly system peak load as well as a typical event day</w:t>
      </w:r>
      <w:r w:rsidR="00DC2309" w:rsidRPr="00136471">
        <w:rPr>
          <w:rFonts w:cs="Calibri"/>
        </w:rPr>
        <w:t>,</w:t>
      </w:r>
      <w:r w:rsidR="00C55F02" w:rsidRPr="00136471">
        <w:rPr>
          <w:rFonts w:cs="Calibri"/>
        </w:rPr>
        <w:t xml:space="preserve"> under the four scenarios defined by both utility-specific and CAISO peaking conditions in both 1-in-2 (normal) and 1-in-10 (extreme) scenarios. Furthermore, </w:t>
      </w:r>
      <w:r w:rsidR="00C55F02" w:rsidRPr="00C45175">
        <w:rPr>
          <w:rFonts w:cs="Calibri"/>
          <w:i/>
        </w:rPr>
        <w:t>ex-ante</w:t>
      </w:r>
      <w:r w:rsidR="00C55F02" w:rsidRPr="00136471">
        <w:rPr>
          <w:rFonts w:cs="Calibri"/>
        </w:rPr>
        <w:t xml:space="preserve"> load impacts are developed for the following subgroups of customers:</w:t>
      </w:r>
    </w:p>
    <w:p w14:paraId="58EEF6FB" w14:textId="43826768" w:rsidR="00DC2309" w:rsidRPr="00136471" w:rsidRDefault="000A688F" w:rsidP="00860513">
      <w:pPr>
        <w:pStyle w:val="ListParagraph"/>
        <w:numPr>
          <w:ilvl w:val="0"/>
          <w:numId w:val="9"/>
        </w:numPr>
        <w:spacing w:after="120"/>
        <w:contextualSpacing w:val="0"/>
        <w:rPr>
          <w:rFonts w:asciiTheme="minorHAnsi" w:hAnsiTheme="minorHAnsi" w:cstheme="minorHAnsi"/>
          <w:szCs w:val="24"/>
        </w:rPr>
      </w:pPr>
      <w:r w:rsidRPr="00136471">
        <w:rPr>
          <w:rFonts w:asciiTheme="minorHAnsi" w:hAnsiTheme="minorHAnsi" w:cstheme="minorHAnsi"/>
          <w:szCs w:val="24"/>
        </w:rPr>
        <w:t>LCA</w:t>
      </w:r>
      <w:r w:rsidR="0041218E">
        <w:rPr>
          <w:rFonts w:asciiTheme="minorHAnsi" w:hAnsiTheme="minorHAnsi" w:cstheme="minorHAnsi"/>
          <w:szCs w:val="24"/>
        </w:rPr>
        <w:t>;</w:t>
      </w:r>
    </w:p>
    <w:p w14:paraId="04C68662" w14:textId="2DC60996" w:rsidR="00C55F02" w:rsidRPr="00136471" w:rsidRDefault="0041218E" w:rsidP="00860513">
      <w:pPr>
        <w:pStyle w:val="ListParagraph"/>
        <w:numPr>
          <w:ilvl w:val="0"/>
          <w:numId w:val="9"/>
        </w:numPr>
        <w:spacing w:after="120"/>
        <w:contextualSpacing w:val="0"/>
        <w:rPr>
          <w:rFonts w:asciiTheme="minorHAnsi" w:hAnsiTheme="minorHAnsi" w:cstheme="minorHAnsi"/>
          <w:szCs w:val="24"/>
        </w:rPr>
      </w:pPr>
      <w:r>
        <w:rPr>
          <w:rFonts w:asciiTheme="minorHAnsi" w:hAnsiTheme="minorHAnsi" w:cstheme="minorHAnsi"/>
          <w:szCs w:val="24"/>
        </w:rPr>
        <w:t xml:space="preserve">Customers enrolled in only </w:t>
      </w:r>
      <w:r w:rsidR="00546AFB">
        <w:rPr>
          <w:rFonts w:asciiTheme="minorHAnsi" w:hAnsiTheme="minorHAnsi" w:cstheme="minorHAnsi"/>
          <w:szCs w:val="24"/>
        </w:rPr>
        <w:t>SmartAC™</w:t>
      </w:r>
      <w:r>
        <w:rPr>
          <w:rFonts w:asciiTheme="minorHAnsi" w:hAnsiTheme="minorHAnsi" w:cstheme="minorHAnsi"/>
          <w:szCs w:val="24"/>
        </w:rPr>
        <w:t xml:space="preserve"> </w:t>
      </w:r>
      <w:r w:rsidR="00C55F02" w:rsidRPr="00136471">
        <w:rPr>
          <w:rFonts w:asciiTheme="minorHAnsi" w:hAnsiTheme="minorHAnsi" w:cstheme="minorHAnsi"/>
          <w:szCs w:val="24"/>
        </w:rPr>
        <w:t xml:space="preserve">vs. </w:t>
      </w:r>
      <w:r>
        <w:rPr>
          <w:rFonts w:asciiTheme="minorHAnsi" w:hAnsiTheme="minorHAnsi" w:cstheme="minorHAnsi"/>
          <w:szCs w:val="24"/>
        </w:rPr>
        <w:t xml:space="preserve">customers dually enrolled in </w:t>
      </w:r>
      <w:r w:rsidR="00546AFB">
        <w:rPr>
          <w:rFonts w:asciiTheme="minorHAnsi" w:hAnsiTheme="minorHAnsi" w:cstheme="minorHAnsi"/>
          <w:szCs w:val="24"/>
        </w:rPr>
        <w:t>SmartAC™</w:t>
      </w:r>
      <w:r>
        <w:rPr>
          <w:rFonts w:asciiTheme="minorHAnsi" w:hAnsiTheme="minorHAnsi" w:cstheme="minorHAnsi"/>
          <w:szCs w:val="24"/>
        </w:rPr>
        <w:t xml:space="preserve"> and SmartRate</w:t>
      </w:r>
      <w:r w:rsidR="00546AFB">
        <w:rPr>
          <w:rFonts w:asciiTheme="minorHAnsi" w:hAnsiTheme="minorHAnsi" w:cstheme="minorHAnsi"/>
          <w:szCs w:val="24"/>
        </w:rPr>
        <w:t>™</w:t>
      </w:r>
      <w:r>
        <w:rPr>
          <w:rFonts w:asciiTheme="minorHAnsi" w:hAnsiTheme="minorHAnsi" w:cstheme="minorHAnsi"/>
          <w:szCs w:val="24"/>
        </w:rPr>
        <w:t>; and</w:t>
      </w:r>
    </w:p>
    <w:p w14:paraId="6F11F335" w14:textId="4279E66D" w:rsidR="00C55F02" w:rsidRPr="00136471" w:rsidRDefault="000A688F" w:rsidP="00860513">
      <w:pPr>
        <w:pStyle w:val="ListParagraph"/>
        <w:numPr>
          <w:ilvl w:val="0"/>
          <w:numId w:val="9"/>
        </w:numPr>
        <w:spacing w:after="120"/>
        <w:contextualSpacing w:val="0"/>
        <w:rPr>
          <w:rFonts w:asciiTheme="minorHAnsi" w:hAnsiTheme="minorHAnsi" w:cstheme="minorHAnsi"/>
          <w:szCs w:val="24"/>
        </w:rPr>
      </w:pPr>
      <w:r w:rsidRPr="00136471">
        <w:rPr>
          <w:rFonts w:asciiTheme="minorHAnsi" w:hAnsiTheme="minorHAnsi" w:cstheme="minorHAnsi"/>
          <w:szCs w:val="24"/>
        </w:rPr>
        <w:t>Busbar (by November 1, 201</w:t>
      </w:r>
      <w:r w:rsidR="00977CFA">
        <w:rPr>
          <w:rFonts w:asciiTheme="minorHAnsi" w:hAnsiTheme="minorHAnsi" w:cstheme="minorHAnsi"/>
          <w:szCs w:val="24"/>
        </w:rPr>
        <w:t>9</w:t>
      </w:r>
      <w:r w:rsidRPr="00136471">
        <w:rPr>
          <w:rFonts w:asciiTheme="minorHAnsi" w:hAnsiTheme="minorHAnsi" w:cstheme="minorHAnsi"/>
          <w:szCs w:val="24"/>
        </w:rPr>
        <w:t>)</w:t>
      </w:r>
      <w:r w:rsidR="00977CFA">
        <w:rPr>
          <w:rFonts w:asciiTheme="minorHAnsi" w:hAnsiTheme="minorHAnsi" w:cstheme="minorHAnsi"/>
          <w:szCs w:val="24"/>
        </w:rPr>
        <w:t>.</w:t>
      </w:r>
    </w:p>
    <w:p w14:paraId="5086C812" w14:textId="77777777" w:rsidR="00D62F6C" w:rsidRDefault="00482FCF" w:rsidP="00860513">
      <w:pPr>
        <w:spacing w:afterLines="120" w:after="288"/>
        <w:rPr>
          <w:rFonts w:cs="Calibri"/>
        </w:rPr>
      </w:pPr>
      <w:r w:rsidRPr="00136471">
        <w:rPr>
          <w:rFonts w:cs="Calibri"/>
        </w:rPr>
        <w:t>PG&amp;E</w:t>
      </w:r>
      <w:r w:rsidR="000A688F" w:rsidRPr="00136471">
        <w:rPr>
          <w:rFonts w:cs="Calibri"/>
        </w:rPr>
        <w:t xml:space="preserve"> provide</w:t>
      </w:r>
      <w:r w:rsidRPr="00136471">
        <w:rPr>
          <w:rFonts w:cs="Calibri"/>
        </w:rPr>
        <w:t>d</w:t>
      </w:r>
      <w:r w:rsidR="00702DFA" w:rsidRPr="00136471">
        <w:rPr>
          <w:rFonts w:cs="Calibri"/>
        </w:rPr>
        <w:t xml:space="preserve"> t</w:t>
      </w:r>
      <w:r w:rsidR="000A688F" w:rsidRPr="00136471">
        <w:rPr>
          <w:rFonts w:cs="Calibri"/>
        </w:rPr>
        <w:t>he enrollment forecasts</w:t>
      </w:r>
      <w:r w:rsidR="00702DFA" w:rsidRPr="00136471">
        <w:rPr>
          <w:rFonts w:cs="Calibri"/>
        </w:rPr>
        <w:t xml:space="preserve"> and </w:t>
      </w:r>
      <w:r w:rsidR="00702DFA" w:rsidRPr="00136471">
        <w:rPr>
          <w:rFonts w:cs="Calibri"/>
          <w:i/>
        </w:rPr>
        <w:t>ex-ante</w:t>
      </w:r>
      <w:r w:rsidR="00702DFA" w:rsidRPr="00136471">
        <w:rPr>
          <w:rFonts w:cs="Calibri"/>
        </w:rPr>
        <w:t xml:space="preserve"> weather conditions for each required scenario</w:t>
      </w:r>
      <w:r w:rsidR="000A688F" w:rsidRPr="00136471">
        <w:rPr>
          <w:rFonts w:cs="Calibri"/>
        </w:rPr>
        <w:t xml:space="preserve">. </w:t>
      </w:r>
    </w:p>
    <w:p w14:paraId="31914416" w14:textId="4008A584" w:rsidR="00D62F6C" w:rsidRDefault="00D62F6C" w:rsidP="00D62F6C">
      <w:pPr>
        <w:pStyle w:val="Heading3"/>
      </w:pPr>
      <w:bookmarkStart w:id="74" w:name="_Toc4578153"/>
      <w:r>
        <w:t>Reference Loads</w:t>
      </w:r>
      <w:bookmarkEnd w:id="74"/>
    </w:p>
    <w:p w14:paraId="4DDA1EF8" w14:textId="5989A8FB" w:rsidR="000A688F" w:rsidRDefault="000A688F" w:rsidP="00E94213">
      <w:pPr>
        <w:spacing w:after="120"/>
      </w:pPr>
      <w:r w:rsidRPr="00E94213">
        <w:rPr>
          <w:rFonts w:cs="Calibri"/>
        </w:rPr>
        <w:t xml:space="preserve">The </w:t>
      </w:r>
      <w:r w:rsidRPr="00E94213">
        <w:rPr>
          <w:rFonts w:cs="Calibri"/>
          <w:i/>
        </w:rPr>
        <w:t>per-customer reference loads</w:t>
      </w:r>
      <w:r w:rsidRPr="00E94213">
        <w:rPr>
          <w:rFonts w:cs="Calibri"/>
        </w:rPr>
        <w:t xml:space="preserve"> </w:t>
      </w:r>
      <w:r w:rsidR="00702DFA" w:rsidRPr="00E94213">
        <w:rPr>
          <w:rFonts w:cs="Calibri"/>
        </w:rPr>
        <w:t>are</w:t>
      </w:r>
      <w:r w:rsidRPr="00E94213">
        <w:rPr>
          <w:rFonts w:cs="Calibri"/>
        </w:rPr>
        <w:t xml:space="preserve"> simulated based on regression models</w:t>
      </w:r>
      <w:r w:rsidR="00D62F6C" w:rsidRPr="00E94213">
        <w:rPr>
          <w:rFonts w:cs="Calibri"/>
        </w:rPr>
        <w:t>, which</w:t>
      </w:r>
      <w:r w:rsidRPr="00E94213">
        <w:rPr>
          <w:rFonts w:cs="Calibri"/>
        </w:rPr>
        <w:t xml:space="preserve"> </w:t>
      </w:r>
      <w:r w:rsidR="00D62F6C" w:rsidRPr="00E94213">
        <w:rPr>
          <w:rFonts w:cs="Calibri"/>
        </w:rPr>
        <w:t>r</w:t>
      </w:r>
      <w:r w:rsidRPr="00E94213">
        <w:rPr>
          <w:rFonts w:cs="Calibri"/>
        </w:rPr>
        <w:t>eflect</w:t>
      </w:r>
      <w:r w:rsidRPr="00E94213">
        <w:t xml:space="preserve"> customer load patterns on non-event days</w:t>
      </w:r>
      <w:r w:rsidR="00D62F6C" w:rsidRPr="00E94213">
        <w:t xml:space="preserve"> and estimate the relationship between load patterns and weather</w:t>
      </w:r>
      <w:r w:rsidRPr="00E94213">
        <w:t>. Reference loads are simulated using the appropriate weather scenario data (</w:t>
      </w:r>
      <w:r w:rsidRPr="00E94213">
        <w:rPr>
          <w:i/>
        </w:rPr>
        <w:t>i.e.</w:t>
      </w:r>
      <w:r w:rsidR="008E5119">
        <w:t>,</w:t>
      </w:r>
      <w:r w:rsidRPr="00E94213">
        <w:t xml:space="preserve"> the 1-in-2 and 1-in-10 weather-year conditions provided by the utilities) and month.</w:t>
      </w:r>
    </w:p>
    <w:p w14:paraId="1412FE4E" w14:textId="4DC72578" w:rsidR="003D6ECF" w:rsidRDefault="00E94213" w:rsidP="00E94213">
      <w:pPr>
        <w:spacing w:after="120"/>
      </w:pPr>
      <w:r>
        <w:t>The regression</w:t>
      </w:r>
      <w:r w:rsidR="00B4459C">
        <w:t xml:space="preserve"> model uses </w:t>
      </w:r>
      <w:r w:rsidR="00AF3ACD">
        <w:t>data</w:t>
      </w:r>
      <w:r w:rsidR="00B4459C">
        <w:t xml:space="preserve"> for treatment customers from all </w:t>
      </w:r>
      <w:r w:rsidR="00913C2E">
        <w:t xml:space="preserve">non-holiday weekdays that do not coincide with </w:t>
      </w:r>
      <w:r w:rsidR="00546AFB">
        <w:t>SmartAC™</w:t>
      </w:r>
      <w:r w:rsidR="00B4459C">
        <w:t xml:space="preserve"> </w:t>
      </w:r>
      <w:r w:rsidR="00913C2E">
        <w:t>or</w:t>
      </w:r>
      <w:r w:rsidR="00B4459C">
        <w:t xml:space="preserve"> SmartRate</w:t>
      </w:r>
      <w:r w:rsidR="0041218E">
        <w:rPr>
          <w:rFonts w:cs="Calibri"/>
        </w:rPr>
        <w:t>™</w:t>
      </w:r>
      <w:r w:rsidR="00913C2E">
        <w:t xml:space="preserve"> </w:t>
      </w:r>
      <w:r w:rsidR="00B4459C">
        <w:t>event</w:t>
      </w:r>
      <w:r w:rsidR="00913C2E">
        <w:t>s</w:t>
      </w:r>
      <w:r w:rsidR="00B4459C">
        <w:t xml:space="preserve"> from May 1 to October 31 in 2018. </w:t>
      </w:r>
      <w:r w:rsidR="00AF3ACD">
        <w:t>Average load profiles are created for each LCA and enrollment segment (</w:t>
      </w:r>
      <w:r w:rsidR="00AF3ACD" w:rsidRPr="003F5825">
        <w:rPr>
          <w:i/>
        </w:rPr>
        <w:t>i.e.</w:t>
      </w:r>
      <w:r w:rsidR="008E5119">
        <w:t>,</w:t>
      </w:r>
      <w:r w:rsidR="00AF3ACD">
        <w:t xml:space="preserve"> </w:t>
      </w:r>
      <w:r w:rsidR="00546AFB">
        <w:t>SmartAC™</w:t>
      </w:r>
      <w:r w:rsidR="00AF3ACD">
        <w:t xml:space="preserve">-only and dually enrolled customers). The regressions account for differences in </w:t>
      </w:r>
      <w:r w:rsidR="005C0051">
        <w:t xml:space="preserve">loads </w:t>
      </w:r>
      <w:r w:rsidR="00977CFA">
        <w:t xml:space="preserve">by hour, </w:t>
      </w:r>
      <w:r w:rsidR="005C0051">
        <w:t>day-of-week</w:t>
      </w:r>
      <w:r w:rsidR="00977CFA">
        <w:t>,</w:t>
      </w:r>
      <w:r w:rsidR="005C0051">
        <w:t xml:space="preserve"> or month by including various indicator control variables.</w:t>
      </w:r>
      <w:r w:rsidR="003D6ECF">
        <w:t xml:space="preserve">  </w:t>
      </w:r>
    </w:p>
    <w:p w14:paraId="4F3F59FA" w14:textId="38D47336" w:rsidR="003D6ECF" w:rsidRPr="00E3686D" w:rsidRDefault="003D6ECF" w:rsidP="00E94213">
      <w:pPr>
        <w:spacing w:after="120"/>
      </w:pPr>
      <w:r w:rsidRPr="00E3686D">
        <w:t xml:space="preserve">The </w:t>
      </w:r>
      <w:r w:rsidRPr="00E3686D">
        <w:rPr>
          <w:i/>
        </w:rPr>
        <w:t>ex-ante</w:t>
      </w:r>
      <w:r w:rsidRPr="00E3686D">
        <w:t xml:space="preserve"> </w:t>
      </w:r>
      <w:r w:rsidR="00BD0566">
        <w:t xml:space="preserve">reference load </w:t>
      </w:r>
      <w:r w:rsidRPr="00E3686D">
        <w:t>regression model is as follows:</w:t>
      </w:r>
    </w:p>
    <w:p w14:paraId="18610F0C" w14:textId="3C4B17B0" w:rsidR="003D6ECF" w:rsidRPr="00217DDA" w:rsidRDefault="00B01D90" w:rsidP="00E94213">
      <w:pPr>
        <w:spacing w:after="120"/>
      </w:pPr>
      <m:oMath>
        <m:r>
          <w:rPr>
            <w:rFonts w:ascii="Cambria Math" w:hAnsi="Cambria Math"/>
          </w:rPr>
          <m:t>avg</m:t>
        </m:r>
        <m:sSub>
          <m:sSubPr>
            <m:ctrlPr>
              <w:rPr>
                <w:rFonts w:ascii="Cambria Math" w:hAnsi="Cambria Math"/>
                <w:i/>
              </w:rPr>
            </m:ctrlPr>
          </m:sSubPr>
          <m:e>
            <m:r>
              <w:rPr>
                <w:rFonts w:ascii="Cambria Math" w:hAnsi="Cambria Math"/>
              </w:rPr>
              <m:t>kW</m:t>
            </m:r>
          </m:e>
          <m:sub>
            <m:r>
              <w:rPr>
                <w:rFonts w:ascii="Cambria Math" w:hAnsi="Cambria Math"/>
              </w:rPr>
              <m:t>d,h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subSup"/>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24</m:t>
            </m:r>
          </m:sup>
          <m:e>
            <m:sSub>
              <m:sSubPr>
                <m:ctrlPr>
                  <w:rPr>
                    <w:rFonts w:ascii="Cambria Math" w:hAnsi="Cambria Math"/>
                    <w:i/>
                  </w:rPr>
                </m:ctrlPr>
              </m:sSubPr>
              <m:e>
                <m:r>
                  <w:rPr>
                    <w:rFonts w:ascii="Cambria Math" w:hAnsi="Cambria Math"/>
                  </w:rPr>
                  <m:t>β</m:t>
                </m:r>
              </m:e>
              <m:sub>
                <m:r>
                  <w:rPr>
                    <w:rFonts w:ascii="Cambria Math" w:hAnsi="Cambria Math"/>
                  </w:rPr>
                  <m:t>1,</m:t>
                </m:r>
                <m:r>
                  <w:rPr>
                    <w:rFonts w:ascii="Cambria Math" w:hAnsi="Cambria Math"/>
                  </w:rPr>
                  <m:t>h</m:t>
                </m:r>
              </m:sub>
            </m:sSub>
            <m:d>
              <m:dPr>
                <m:ctrlPr>
                  <w:rPr>
                    <w:rFonts w:ascii="Cambria Math" w:hAnsi="Cambria Math"/>
                    <w:i/>
                  </w:rPr>
                </m:ctrlPr>
              </m:dPr>
              <m:e>
                <m:sSub>
                  <m:sSubPr>
                    <m:ctrlPr>
                      <w:rPr>
                        <w:rFonts w:ascii="Cambria Math" w:hAnsi="Cambria Math"/>
                        <w:i/>
                      </w:rPr>
                    </m:ctrlPr>
                  </m:sSubPr>
                  <m:e>
                    <m:r>
                      <w:rPr>
                        <w:rFonts w:ascii="Cambria Math" w:hAnsi="Cambria Math"/>
                      </w:rPr>
                      <m:t>CDD60</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h</m:t>
                    </m:r>
                  </m:sub>
                </m:sSub>
              </m:e>
            </m:d>
          </m:e>
        </m:nary>
        <m:r>
          <w:rPr>
            <w:rFonts w:ascii="Cambria Math" w:hAnsi="Cambria Math"/>
          </w:rPr>
          <m:t>+</m:t>
        </m:r>
        <m:nary>
          <m:naryPr>
            <m:chr m:val="∑"/>
            <m:limLoc m:val="subSup"/>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24</m:t>
            </m:r>
          </m:sup>
          <m:e>
            <m:sSub>
              <m:sSubPr>
                <m:ctrlPr>
                  <w:rPr>
                    <w:rFonts w:ascii="Cambria Math" w:hAnsi="Cambria Math"/>
                    <w:i/>
                  </w:rPr>
                </m:ctrlPr>
              </m:sSubPr>
              <m:e>
                <m:r>
                  <w:rPr>
                    <w:rFonts w:ascii="Cambria Math" w:hAnsi="Cambria Math"/>
                  </w:rPr>
                  <m:t>β</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H</m:t>
                </m:r>
              </m:e>
              <m:sub>
                <m:r>
                  <w:rPr>
                    <w:rFonts w:ascii="Cambria Math" w:hAnsi="Cambria Math"/>
                  </w:rPr>
                  <m:t>h</m:t>
                </m:r>
              </m:sub>
            </m:sSub>
          </m:e>
        </m:nary>
        <m:r>
          <w:rPr>
            <w:rFonts w:ascii="Cambria Math" w:hAnsi="Cambria Math"/>
          </w:rPr>
          <m:t xml:space="preserve">+                         </m:t>
        </m:r>
        <m:nary>
          <m:naryPr>
            <m:chr m:val="∑"/>
            <m:limLoc m:val="subSup"/>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24</m:t>
            </m:r>
          </m:sup>
          <m:e>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3,</m:t>
                    </m:r>
                    <m:r>
                      <w:rPr>
                        <w:rFonts w:ascii="Cambria Math" w:hAnsi="Cambria Math"/>
                      </w:rPr>
                      <m:t>h</m:t>
                    </m:r>
                  </m:sub>
                </m:sSub>
                <m:r>
                  <w:rPr>
                    <w:rFonts w:ascii="Cambria Math" w:hAnsi="Cambria Math"/>
                  </w:rPr>
                  <m:t>(Mon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h</m:t>
                </m:r>
              </m:sub>
            </m:sSub>
            <m:r>
              <w:rPr>
                <w:rFonts w:ascii="Cambria Math" w:hAnsi="Cambria Math"/>
              </w:rPr>
              <m:t>)</m:t>
            </m:r>
          </m:e>
        </m:nary>
        <m:r>
          <w:rPr>
            <w:rFonts w:ascii="Cambria Math" w:hAnsi="Cambria Math"/>
          </w:rPr>
          <m:t>+</m:t>
        </m:r>
        <m:nary>
          <m:naryPr>
            <m:chr m:val="∑"/>
            <m:limLoc m:val="subSup"/>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24</m:t>
            </m:r>
          </m:sup>
          <m:e>
            <m:sSub>
              <m:sSubPr>
                <m:ctrlPr>
                  <w:rPr>
                    <w:rFonts w:ascii="Cambria Math" w:hAnsi="Cambria Math"/>
                    <w:i/>
                  </w:rPr>
                </m:ctrlPr>
              </m:sSubPr>
              <m:e>
                <m:r>
                  <w:rPr>
                    <w:rFonts w:ascii="Cambria Math" w:hAnsi="Cambria Math"/>
                  </w:rPr>
                  <m:t>β</m:t>
                </m:r>
              </m:e>
              <m:sub>
                <m:r>
                  <w:rPr>
                    <w:rFonts w:ascii="Cambria Math" w:hAnsi="Cambria Math"/>
                  </w:rPr>
                  <m:t>4,</m:t>
                </m:r>
                <m:r>
                  <w:rPr>
                    <w:rFonts w:ascii="Cambria Math" w:hAnsi="Cambria Math"/>
                  </w:rPr>
                  <m:t>h</m:t>
                </m:r>
              </m:sub>
            </m:sSub>
            <m:sSub>
              <m:sSubPr>
                <m:ctrlPr>
                  <w:rPr>
                    <w:rFonts w:ascii="Cambria Math" w:hAnsi="Cambria Math"/>
                    <w:i/>
                  </w:rPr>
                </m:ctrlPr>
              </m:sSubPr>
              <m:e>
                <m:r>
                  <w:rPr>
                    <w:rFonts w:ascii="Cambria Math" w:hAnsi="Cambria Math"/>
                  </w:rPr>
                  <m:t>(Fri</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h</m:t>
                </m:r>
              </m:sub>
            </m:sSub>
            <m:r>
              <w:rPr>
                <w:rFonts w:ascii="Cambria Math" w:hAnsi="Cambria Math"/>
              </w:rPr>
              <m:t>)</m:t>
            </m:r>
          </m:e>
        </m:nary>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d,h</m:t>
            </m:r>
          </m:sub>
        </m:sSub>
      </m:oMath>
      <w:r w:rsidR="003D6ECF" w:rsidRPr="00217DDA">
        <w:t xml:space="preserve"> </w:t>
      </w:r>
    </w:p>
    <w:p w14:paraId="28FDF79E" w14:textId="216A8107" w:rsidR="003D6ECF" w:rsidRPr="00217DDA" w:rsidRDefault="003D6ECF" w:rsidP="00E94213">
      <w:pPr>
        <w:spacing w:after="120"/>
      </w:pPr>
      <w:r w:rsidRPr="00217DDA">
        <w:t>The variables and coefficients in the equation are described in the following table:</w:t>
      </w:r>
    </w:p>
    <w:p w14:paraId="193EAFF5" w14:textId="74E64A49" w:rsidR="003D6ECF" w:rsidRPr="00217DDA" w:rsidRDefault="003D6ECF" w:rsidP="003D6ECF">
      <w:pPr>
        <w:pStyle w:val="TableCaption"/>
      </w:pPr>
      <w:bookmarkStart w:id="75" w:name="_Toc4578174"/>
      <w:r w:rsidRPr="00217DDA">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2</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3</w:t>
      </w:r>
      <w:r w:rsidR="005D5F52">
        <w:rPr>
          <w:noProof/>
        </w:rPr>
        <w:fldChar w:fldCharType="end"/>
      </w:r>
      <w:r w:rsidRPr="00217DDA">
        <w:t xml:space="preserve">: </w:t>
      </w:r>
      <w:r w:rsidRPr="00A75703">
        <w:rPr>
          <w:i/>
        </w:rPr>
        <w:t>Ex-Ante</w:t>
      </w:r>
      <w:r w:rsidRPr="00217DDA">
        <w:t xml:space="preserve"> Reference Loads Model Terms</w:t>
      </w:r>
      <w:bookmarkEnd w:id="75"/>
    </w:p>
    <w:tbl>
      <w:tblPr>
        <w:tblW w:w="0" w:type="auto"/>
        <w:tblLook w:val="04A0" w:firstRow="1" w:lastRow="0" w:firstColumn="1" w:lastColumn="0" w:noHBand="0" w:noVBand="1"/>
      </w:tblPr>
      <w:tblGrid>
        <w:gridCol w:w="1435"/>
        <w:gridCol w:w="7195"/>
      </w:tblGrid>
      <w:tr w:rsidR="003D6ECF" w:rsidRPr="00217DDA" w14:paraId="3593EBA2" w14:textId="77777777" w:rsidTr="008A605D">
        <w:tc>
          <w:tcPr>
            <w:tcW w:w="1435" w:type="dxa"/>
            <w:tcBorders>
              <w:left w:val="single" w:sz="4" w:space="0" w:color="auto"/>
              <w:bottom w:val="single" w:sz="4" w:space="0" w:color="auto"/>
              <w:right w:val="single" w:sz="4" w:space="0" w:color="FFFFFF" w:themeColor="background1"/>
            </w:tcBorders>
            <w:shd w:val="clear" w:color="auto" w:fill="0C2577"/>
          </w:tcPr>
          <w:p w14:paraId="321129AA" w14:textId="77777777" w:rsidR="003D6ECF" w:rsidRPr="00217DDA" w:rsidRDefault="003D6ECF" w:rsidP="00E931D9">
            <w:pPr>
              <w:keepNext/>
              <w:jc w:val="center"/>
              <w:rPr>
                <w:rFonts w:ascii="Arial" w:hAnsi="Arial" w:cs="Arial"/>
                <w:b/>
                <w:sz w:val="20"/>
              </w:rPr>
            </w:pPr>
            <w:r w:rsidRPr="00217DDA">
              <w:rPr>
                <w:rFonts w:ascii="Arial" w:hAnsi="Arial" w:cs="Arial"/>
                <w:b/>
                <w:sz w:val="20"/>
              </w:rPr>
              <w:t>Symbol</w:t>
            </w:r>
          </w:p>
        </w:tc>
        <w:tc>
          <w:tcPr>
            <w:tcW w:w="7195" w:type="dxa"/>
            <w:tcBorders>
              <w:left w:val="single" w:sz="4" w:space="0" w:color="FFFFFF" w:themeColor="background1"/>
              <w:bottom w:val="single" w:sz="4" w:space="0" w:color="auto"/>
            </w:tcBorders>
            <w:shd w:val="clear" w:color="auto" w:fill="0C2577"/>
          </w:tcPr>
          <w:p w14:paraId="57781A40" w14:textId="77777777" w:rsidR="003D6ECF" w:rsidRPr="00217DDA" w:rsidRDefault="003D6ECF" w:rsidP="00E931D9">
            <w:pPr>
              <w:keepNext/>
              <w:jc w:val="center"/>
              <w:rPr>
                <w:rFonts w:ascii="Arial" w:hAnsi="Arial" w:cs="Arial"/>
                <w:b/>
                <w:sz w:val="20"/>
              </w:rPr>
            </w:pPr>
            <w:r w:rsidRPr="00217DDA">
              <w:rPr>
                <w:rFonts w:ascii="Arial" w:hAnsi="Arial" w:cs="Arial"/>
                <w:b/>
                <w:sz w:val="20"/>
              </w:rPr>
              <w:t>Description</w:t>
            </w:r>
          </w:p>
        </w:tc>
      </w:tr>
      <w:tr w:rsidR="003D6ECF" w:rsidRPr="00217DDA" w14:paraId="236B5A2B" w14:textId="77777777" w:rsidTr="008A605D">
        <w:tc>
          <w:tcPr>
            <w:tcW w:w="1435" w:type="dxa"/>
            <w:tcBorders>
              <w:top w:val="single" w:sz="4" w:space="0" w:color="auto"/>
              <w:left w:val="single" w:sz="4" w:space="0" w:color="auto"/>
              <w:bottom w:val="single" w:sz="4" w:space="0" w:color="auto"/>
              <w:right w:val="single" w:sz="4" w:space="0" w:color="auto"/>
            </w:tcBorders>
          </w:tcPr>
          <w:p w14:paraId="06C36C4A" w14:textId="237D8D03" w:rsidR="003D6ECF" w:rsidRPr="00217DDA" w:rsidRDefault="00B01D90" w:rsidP="00E931D9">
            <w:pPr>
              <w:keepNext/>
              <w:rPr>
                <w:rFonts w:ascii="Arial" w:hAnsi="Arial" w:cs="Arial"/>
                <w:i/>
                <w:sz w:val="20"/>
                <w:szCs w:val="22"/>
                <w:vertAlign w:val="subscript"/>
              </w:rPr>
            </w:pPr>
            <w:r>
              <w:rPr>
                <w:rFonts w:ascii="Arial" w:hAnsi="Arial" w:cs="Arial"/>
                <w:i/>
                <w:sz w:val="20"/>
                <w:szCs w:val="22"/>
              </w:rPr>
              <w:t>avg</w:t>
            </w:r>
            <w:r w:rsidR="005C0051" w:rsidRPr="00217DDA">
              <w:rPr>
                <w:rFonts w:ascii="Arial" w:hAnsi="Arial" w:cs="Arial"/>
                <w:i/>
                <w:sz w:val="20"/>
                <w:szCs w:val="22"/>
              </w:rPr>
              <w:t>kW</w:t>
            </w:r>
            <w:r w:rsidR="005C0051" w:rsidRPr="00217DDA">
              <w:rPr>
                <w:rFonts w:ascii="Arial" w:hAnsi="Arial" w:cs="Arial"/>
                <w:i/>
                <w:sz w:val="20"/>
                <w:szCs w:val="22"/>
                <w:vertAlign w:val="subscript"/>
              </w:rPr>
              <w:t>d,h</w:t>
            </w:r>
          </w:p>
        </w:tc>
        <w:tc>
          <w:tcPr>
            <w:tcW w:w="7195" w:type="dxa"/>
            <w:tcBorders>
              <w:top w:val="single" w:sz="4" w:space="0" w:color="auto"/>
              <w:left w:val="single" w:sz="4" w:space="0" w:color="auto"/>
              <w:bottom w:val="single" w:sz="4" w:space="0" w:color="auto"/>
              <w:right w:val="single" w:sz="4" w:space="0" w:color="auto"/>
            </w:tcBorders>
          </w:tcPr>
          <w:p w14:paraId="121DFC79" w14:textId="018D7D1F" w:rsidR="003D6ECF" w:rsidRPr="00217DDA" w:rsidRDefault="003D6ECF" w:rsidP="00E931D9">
            <w:pPr>
              <w:keepNext/>
              <w:rPr>
                <w:rFonts w:ascii="Arial" w:hAnsi="Arial" w:cs="Arial"/>
                <w:sz w:val="20"/>
                <w:szCs w:val="22"/>
              </w:rPr>
            </w:pPr>
            <w:r w:rsidRPr="00217DDA">
              <w:rPr>
                <w:rFonts w:ascii="Arial" w:hAnsi="Arial" w:cs="Arial"/>
                <w:sz w:val="20"/>
                <w:szCs w:val="22"/>
              </w:rPr>
              <w:t xml:space="preserve">The </w:t>
            </w:r>
            <w:r w:rsidR="00217DDA" w:rsidRPr="00217DDA">
              <w:rPr>
                <w:rFonts w:ascii="Arial" w:hAnsi="Arial" w:cs="Arial"/>
                <w:sz w:val="20"/>
                <w:szCs w:val="22"/>
              </w:rPr>
              <w:t xml:space="preserve">average load </w:t>
            </w:r>
            <w:r w:rsidRPr="00217DDA">
              <w:rPr>
                <w:rFonts w:ascii="Arial" w:hAnsi="Arial" w:cs="Arial"/>
                <w:sz w:val="20"/>
                <w:szCs w:val="22"/>
              </w:rPr>
              <w:t>(kWh/customer</w:t>
            </w:r>
            <w:r w:rsidR="00B01D90">
              <w:rPr>
                <w:rFonts w:ascii="Arial" w:hAnsi="Arial" w:cs="Arial"/>
                <w:sz w:val="20"/>
                <w:szCs w:val="22"/>
              </w:rPr>
              <w:t>/hour</w:t>
            </w:r>
            <w:r w:rsidRPr="00217DDA">
              <w:rPr>
                <w:rFonts w:ascii="Arial" w:hAnsi="Arial" w:cs="Arial"/>
                <w:sz w:val="20"/>
                <w:szCs w:val="22"/>
              </w:rPr>
              <w:t xml:space="preserve">) </w:t>
            </w:r>
            <w:r w:rsidR="00217DDA" w:rsidRPr="00217DDA">
              <w:rPr>
                <w:rFonts w:ascii="Arial" w:hAnsi="Arial" w:cs="Arial"/>
                <w:sz w:val="20"/>
                <w:szCs w:val="22"/>
              </w:rPr>
              <w:t xml:space="preserve">on day </w:t>
            </w:r>
            <w:r w:rsidR="00217DDA" w:rsidRPr="00217DDA">
              <w:rPr>
                <w:rFonts w:ascii="Arial" w:hAnsi="Arial" w:cs="Arial"/>
                <w:i/>
                <w:sz w:val="20"/>
                <w:szCs w:val="22"/>
              </w:rPr>
              <w:t>d</w:t>
            </w:r>
            <w:r w:rsidR="00217DDA" w:rsidRPr="00217DDA">
              <w:rPr>
                <w:rFonts w:ascii="Arial" w:hAnsi="Arial" w:cs="Arial"/>
                <w:sz w:val="20"/>
                <w:szCs w:val="22"/>
              </w:rPr>
              <w:t xml:space="preserve"> during hour </w:t>
            </w:r>
            <w:r w:rsidR="00217DDA" w:rsidRPr="00217DDA">
              <w:rPr>
                <w:rFonts w:ascii="Arial" w:hAnsi="Arial" w:cs="Arial"/>
                <w:i/>
                <w:sz w:val="20"/>
                <w:szCs w:val="22"/>
              </w:rPr>
              <w:t>h</w:t>
            </w:r>
          </w:p>
        </w:tc>
      </w:tr>
      <w:tr w:rsidR="003D6ECF" w:rsidRPr="00217DDA" w14:paraId="2DF7771A" w14:textId="77777777" w:rsidTr="008A605D">
        <w:tc>
          <w:tcPr>
            <w:tcW w:w="1435" w:type="dxa"/>
            <w:tcBorders>
              <w:top w:val="single" w:sz="4" w:space="0" w:color="auto"/>
              <w:left w:val="single" w:sz="4" w:space="0" w:color="auto"/>
              <w:bottom w:val="single" w:sz="4" w:space="0" w:color="auto"/>
              <w:right w:val="single" w:sz="4" w:space="0" w:color="auto"/>
            </w:tcBorders>
          </w:tcPr>
          <w:p w14:paraId="686EDD8A" w14:textId="722E751E" w:rsidR="003D6ECF" w:rsidRPr="00B01D90" w:rsidRDefault="003D6ECF" w:rsidP="00E931D9">
            <w:pPr>
              <w:keepNext/>
              <w:rPr>
                <w:rFonts w:ascii="Arial" w:hAnsi="Arial" w:cs="Arial"/>
                <w:i/>
                <w:sz w:val="20"/>
                <w:szCs w:val="22"/>
                <w:vertAlign w:val="subscript"/>
              </w:rPr>
            </w:pPr>
            <w:r w:rsidRPr="00217DDA">
              <w:rPr>
                <w:rFonts w:ascii="Arial" w:hAnsi="Arial" w:cs="Arial"/>
                <w:i/>
                <w:sz w:val="20"/>
                <w:szCs w:val="22"/>
              </w:rPr>
              <w:t>CDD60</w:t>
            </w:r>
            <w:r w:rsidR="00B01D90">
              <w:rPr>
                <w:rFonts w:ascii="Arial" w:hAnsi="Arial" w:cs="Arial"/>
                <w:i/>
                <w:sz w:val="20"/>
                <w:szCs w:val="22"/>
                <w:vertAlign w:val="subscript"/>
              </w:rPr>
              <w:t>d</w:t>
            </w:r>
          </w:p>
        </w:tc>
        <w:tc>
          <w:tcPr>
            <w:tcW w:w="7195" w:type="dxa"/>
            <w:tcBorders>
              <w:top w:val="single" w:sz="4" w:space="0" w:color="auto"/>
              <w:left w:val="single" w:sz="4" w:space="0" w:color="auto"/>
              <w:bottom w:val="single" w:sz="4" w:space="0" w:color="auto"/>
              <w:right w:val="single" w:sz="4" w:space="0" w:color="auto"/>
            </w:tcBorders>
          </w:tcPr>
          <w:p w14:paraId="0035E0A3" w14:textId="026C45B3" w:rsidR="003D6ECF" w:rsidRPr="00217DDA" w:rsidRDefault="003D6ECF" w:rsidP="00E931D9">
            <w:pPr>
              <w:keepNext/>
              <w:rPr>
                <w:rFonts w:ascii="Arial" w:hAnsi="Arial" w:cs="Arial"/>
                <w:sz w:val="20"/>
                <w:szCs w:val="22"/>
              </w:rPr>
            </w:pPr>
            <w:r w:rsidRPr="00217DDA">
              <w:rPr>
                <w:rFonts w:ascii="Arial" w:hAnsi="Arial" w:cs="Arial"/>
                <w:sz w:val="20"/>
                <w:szCs w:val="22"/>
              </w:rPr>
              <w:t xml:space="preserve">The cooling degrees </w:t>
            </w:r>
            <w:r w:rsidR="00217DDA" w:rsidRPr="00217DDA">
              <w:rPr>
                <w:rFonts w:ascii="Arial" w:hAnsi="Arial" w:cs="Arial"/>
                <w:sz w:val="20"/>
                <w:szCs w:val="22"/>
              </w:rPr>
              <w:t xml:space="preserve">on day </w:t>
            </w:r>
            <w:r w:rsidR="00217DDA" w:rsidRPr="00217DDA">
              <w:rPr>
                <w:rFonts w:ascii="Arial" w:hAnsi="Arial" w:cs="Arial"/>
                <w:i/>
                <w:sz w:val="20"/>
                <w:szCs w:val="22"/>
              </w:rPr>
              <w:t>d</w:t>
            </w:r>
          </w:p>
        </w:tc>
      </w:tr>
      <w:tr w:rsidR="003D6ECF" w:rsidRPr="00217DDA" w14:paraId="526FD446" w14:textId="77777777" w:rsidTr="008A605D">
        <w:tc>
          <w:tcPr>
            <w:tcW w:w="1435" w:type="dxa"/>
            <w:tcBorders>
              <w:top w:val="single" w:sz="4" w:space="0" w:color="auto"/>
              <w:left w:val="single" w:sz="4" w:space="0" w:color="auto"/>
              <w:bottom w:val="single" w:sz="4" w:space="0" w:color="auto"/>
              <w:right w:val="single" w:sz="4" w:space="0" w:color="auto"/>
            </w:tcBorders>
          </w:tcPr>
          <w:p w14:paraId="09A0E888" w14:textId="63E15073" w:rsidR="003D6ECF" w:rsidRPr="00217DDA" w:rsidRDefault="00217DDA" w:rsidP="00E931D9">
            <w:pPr>
              <w:keepNext/>
              <w:rPr>
                <w:rFonts w:ascii="Arial" w:hAnsi="Arial" w:cs="Arial"/>
                <w:i/>
                <w:sz w:val="20"/>
                <w:szCs w:val="22"/>
                <w:vertAlign w:val="subscript"/>
              </w:rPr>
            </w:pPr>
            <w:r w:rsidRPr="00217DDA">
              <w:rPr>
                <w:rFonts w:ascii="Arial" w:hAnsi="Arial" w:cs="Arial"/>
                <w:i/>
                <w:sz w:val="20"/>
                <w:szCs w:val="22"/>
              </w:rPr>
              <w:t>Β</w:t>
            </w:r>
            <w:r>
              <w:rPr>
                <w:rFonts w:ascii="Arial" w:hAnsi="Arial" w:cs="Arial"/>
                <w:i/>
                <w:sz w:val="20"/>
                <w:szCs w:val="22"/>
                <w:vertAlign w:val="subscript"/>
              </w:rPr>
              <w:t>1,h</w:t>
            </w:r>
          </w:p>
        </w:tc>
        <w:tc>
          <w:tcPr>
            <w:tcW w:w="7195" w:type="dxa"/>
            <w:tcBorders>
              <w:top w:val="single" w:sz="4" w:space="0" w:color="auto"/>
              <w:left w:val="single" w:sz="4" w:space="0" w:color="auto"/>
              <w:bottom w:val="single" w:sz="4" w:space="0" w:color="auto"/>
              <w:right w:val="single" w:sz="4" w:space="0" w:color="auto"/>
            </w:tcBorders>
          </w:tcPr>
          <w:p w14:paraId="7D056139" w14:textId="3D7433F8" w:rsidR="003D6ECF" w:rsidRPr="00217DDA" w:rsidRDefault="003D6ECF" w:rsidP="00E931D9">
            <w:pPr>
              <w:keepNext/>
              <w:rPr>
                <w:rFonts w:ascii="Arial" w:hAnsi="Arial" w:cs="Arial"/>
                <w:sz w:val="20"/>
                <w:szCs w:val="22"/>
              </w:rPr>
            </w:pPr>
            <w:r w:rsidRPr="00217DDA">
              <w:rPr>
                <w:rFonts w:ascii="Arial" w:hAnsi="Arial" w:cs="Arial"/>
                <w:sz w:val="20"/>
                <w:szCs w:val="22"/>
              </w:rPr>
              <w:t xml:space="preserve">Estimated increase in </w:t>
            </w:r>
            <w:r w:rsidR="00217DDA">
              <w:rPr>
                <w:rFonts w:ascii="Arial" w:hAnsi="Arial" w:cs="Arial"/>
                <w:sz w:val="20"/>
                <w:szCs w:val="22"/>
              </w:rPr>
              <w:t xml:space="preserve">average load during hour </w:t>
            </w:r>
            <w:r w:rsidR="00217DDA" w:rsidRPr="00217DDA">
              <w:rPr>
                <w:rFonts w:ascii="Arial" w:hAnsi="Arial" w:cs="Arial"/>
                <w:i/>
                <w:sz w:val="20"/>
                <w:szCs w:val="22"/>
              </w:rPr>
              <w:t>h</w:t>
            </w:r>
            <w:r w:rsidR="00217DDA">
              <w:rPr>
                <w:rFonts w:ascii="Arial" w:hAnsi="Arial" w:cs="Arial"/>
                <w:sz w:val="20"/>
                <w:szCs w:val="22"/>
              </w:rPr>
              <w:t xml:space="preserve"> from a</w:t>
            </w:r>
            <w:r w:rsidR="006F6A24">
              <w:rPr>
                <w:rFonts w:ascii="Arial" w:hAnsi="Arial" w:cs="Arial"/>
                <w:sz w:val="20"/>
                <w:szCs w:val="22"/>
              </w:rPr>
              <w:t>n increase of one</w:t>
            </w:r>
            <w:r w:rsidRPr="00217DDA">
              <w:rPr>
                <w:rFonts w:ascii="Arial" w:hAnsi="Arial" w:cs="Arial"/>
                <w:sz w:val="20"/>
                <w:szCs w:val="22"/>
              </w:rPr>
              <w:t xml:space="preserve"> cooling degree</w:t>
            </w:r>
          </w:p>
        </w:tc>
      </w:tr>
      <w:tr w:rsidR="008A605D" w:rsidRPr="00217DDA" w14:paraId="75897668" w14:textId="77777777" w:rsidTr="008A605D">
        <w:tc>
          <w:tcPr>
            <w:tcW w:w="1435" w:type="dxa"/>
            <w:tcBorders>
              <w:top w:val="single" w:sz="4" w:space="0" w:color="auto"/>
              <w:left w:val="single" w:sz="4" w:space="0" w:color="auto"/>
              <w:bottom w:val="single" w:sz="4" w:space="0" w:color="auto"/>
              <w:right w:val="single" w:sz="4" w:space="0" w:color="auto"/>
            </w:tcBorders>
          </w:tcPr>
          <w:p w14:paraId="61FDEAE4" w14:textId="7CE2C2B2" w:rsidR="008A605D" w:rsidRPr="00217DDA" w:rsidRDefault="008A605D" w:rsidP="008A605D">
            <w:pPr>
              <w:keepNext/>
              <w:rPr>
                <w:rFonts w:ascii="Arial" w:hAnsi="Arial" w:cs="Arial"/>
                <w:i/>
                <w:sz w:val="20"/>
                <w:szCs w:val="22"/>
              </w:rPr>
            </w:pPr>
            <w:r w:rsidRPr="00217DDA">
              <w:rPr>
                <w:rFonts w:ascii="Arial" w:hAnsi="Arial" w:cs="Arial"/>
                <w:i/>
                <w:sz w:val="20"/>
                <w:szCs w:val="22"/>
              </w:rPr>
              <w:t>Β</w:t>
            </w:r>
            <w:r>
              <w:rPr>
                <w:rFonts w:ascii="Arial" w:hAnsi="Arial" w:cs="Arial"/>
                <w:i/>
                <w:sz w:val="20"/>
                <w:szCs w:val="22"/>
                <w:vertAlign w:val="subscript"/>
              </w:rPr>
              <w:t>2,h</w:t>
            </w:r>
          </w:p>
        </w:tc>
        <w:tc>
          <w:tcPr>
            <w:tcW w:w="7195" w:type="dxa"/>
            <w:tcBorders>
              <w:top w:val="single" w:sz="4" w:space="0" w:color="auto"/>
              <w:left w:val="single" w:sz="4" w:space="0" w:color="auto"/>
              <w:bottom w:val="single" w:sz="4" w:space="0" w:color="auto"/>
              <w:right w:val="single" w:sz="4" w:space="0" w:color="auto"/>
            </w:tcBorders>
          </w:tcPr>
          <w:p w14:paraId="65291EA4" w14:textId="4D3613AB" w:rsidR="008A605D" w:rsidRDefault="008A605D" w:rsidP="008A605D">
            <w:pPr>
              <w:keepNext/>
              <w:rPr>
                <w:rFonts w:ascii="Arial" w:hAnsi="Arial" w:cs="Arial"/>
                <w:sz w:val="20"/>
                <w:szCs w:val="22"/>
              </w:rPr>
            </w:pPr>
            <w:r w:rsidRPr="00217DDA">
              <w:rPr>
                <w:rFonts w:ascii="Arial" w:hAnsi="Arial" w:cs="Arial"/>
                <w:sz w:val="20"/>
                <w:szCs w:val="22"/>
              </w:rPr>
              <w:t xml:space="preserve">Estimated </w:t>
            </w:r>
            <w:r>
              <w:rPr>
                <w:rFonts w:ascii="Arial" w:hAnsi="Arial" w:cs="Arial"/>
                <w:sz w:val="20"/>
                <w:szCs w:val="22"/>
              </w:rPr>
              <w:t xml:space="preserve">average load during hour </w:t>
            </w:r>
            <w:r w:rsidRPr="008A605D">
              <w:rPr>
                <w:rFonts w:ascii="Arial" w:hAnsi="Arial" w:cs="Arial"/>
                <w:i/>
                <w:sz w:val="20"/>
                <w:szCs w:val="22"/>
              </w:rPr>
              <w:t>h</w:t>
            </w:r>
          </w:p>
        </w:tc>
      </w:tr>
      <w:tr w:rsidR="008A605D" w:rsidRPr="00217DDA" w14:paraId="3471A341" w14:textId="77777777" w:rsidTr="008A605D">
        <w:tc>
          <w:tcPr>
            <w:tcW w:w="1435" w:type="dxa"/>
            <w:tcBorders>
              <w:top w:val="single" w:sz="4" w:space="0" w:color="auto"/>
              <w:left w:val="single" w:sz="4" w:space="0" w:color="auto"/>
              <w:bottom w:val="single" w:sz="4" w:space="0" w:color="auto"/>
              <w:right w:val="single" w:sz="4" w:space="0" w:color="auto"/>
            </w:tcBorders>
          </w:tcPr>
          <w:p w14:paraId="35906526" w14:textId="63B4C1AE" w:rsidR="008A605D" w:rsidRPr="00217DDA" w:rsidRDefault="008A605D" w:rsidP="008A605D">
            <w:pPr>
              <w:keepNext/>
              <w:rPr>
                <w:rFonts w:ascii="Arial" w:hAnsi="Arial" w:cs="Arial"/>
                <w:i/>
                <w:sz w:val="20"/>
                <w:szCs w:val="22"/>
              </w:rPr>
            </w:pPr>
            <w:r w:rsidRPr="00217DDA">
              <w:rPr>
                <w:rFonts w:ascii="Arial" w:hAnsi="Arial" w:cs="Arial"/>
                <w:i/>
                <w:sz w:val="20"/>
                <w:szCs w:val="22"/>
              </w:rPr>
              <w:t>Β</w:t>
            </w:r>
            <w:r>
              <w:rPr>
                <w:rFonts w:ascii="Arial" w:hAnsi="Arial" w:cs="Arial"/>
                <w:i/>
                <w:sz w:val="20"/>
                <w:szCs w:val="22"/>
                <w:vertAlign w:val="subscript"/>
              </w:rPr>
              <w:t>3,h</w:t>
            </w:r>
          </w:p>
        </w:tc>
        <w:tc>
          <w:tcPr>
            <w:tcW w:w="7195" w:type="dxa"/>
            <w:tcBorders>
              <w:top w:val="single" w:sz="4" w:space="0" w:color="auto"/>
              <w:left w:val="single" w:sz="4" w:space="0" w:color="auto"/>
              <w:bottom w:val="single" w:sz="4" w:space="0" w:color="auto"/>
              <w:right w:val="single" w:sz="4" w:space="0" w:color="auto"/>
            </w:tcBorders>
          </w:tcPr>
          <w:p w14:paraId="7F8535E6" w14:textId="66B0A003" w:rsidR="008A605D" w:rsidRDefault="008A605D" w:rsidP="008A605D">
            <w:pPr>
              <w:keepNext/>
              <w:rPr>
                <w:rFonts w:ascii="Arial" w:hAnsi="Arial" w:cs="Arial"/>
                <w:sz w:val="20"/>
                <w:szCs w:val="22"/>
              </w:rPr>
            </w:pPr>
            <w:r>
              <w:rPr>
                <w:rFonts w:ascii="Arial" w:hAnsi="Arial" w:cs="Arial"/>
                <w:sz w:val="20"/>
                <w:szCs w:val="22"/>
              </w:rPr>
              <w:t xml:space="preserve">Estimated difference in average load during hour </w:t>
            </w:r>
            <w:r w:rsidRPr="008A605D">
              <w:rPr>
                <w:rFonts w:ascii="Arial" w:hAnsi="Arial" w:cs="Arial"/>
                <w:i/>
                <w:sz w:val="20"/>
                <w:szCs w:val="22"/>
              </w:rPr>
              <w:t>h</w:t>
            </w:r>
            <w:r>
              <w:rPr>
                <w:rFonts w:ascii="Arial" w:hAnsi="Arial" w:cs="Arial"/>
                <w:sz w:val="20"/>
                <w:szCs w:val="22"/>
              </w:rPr>
              <w:t xml:space="preserve"> on Mondays </w:t>
            </w:r>
          </w:p>
        </w:tc>
      </w:tr>
      <w:tr w:rsidR="008A605D" w:rsidRPr="00217DDA" w14:paraId="62157D32" w14:textId="77777777" w:rsidTr="008A605D">
        <w:tc>
          <w:tcPr>
            <w:tcW w:w="1435" w:type="dxa"/>
            <w:tcBorders>
              <w:top w:val="single" w:sz="4" w:space="0" w:color="auto"/>
              <w:left w:val="single" w:sz="4" w:space="0" w:color="auto"/>
              <w:bottom w:val="single" w:sz="4" w:space="0" w:color="auto"/>
              <w:right w:val="single" w:sz="4" w:space="0" w:color="auto"/>
            </w:tcBorders>
          </w:tcPr>
          <w:p w14:paraId="0690C145" w14:textId="4E2E076E" w:rsidR="008A605D" w:rsidRPr="00217DDA" w:rsidRDefault="008A605D" w:rsidP="008A605D">
            <w:pPr>
              <w:keepNext/>
              <w:rPr>
                <w:rFonts w:ascii="Arial" w:hAnsi="Arial" w:cs="Arial"/>
                <w:i/>
                <w:sz w:val="20"/>
                <w:szCs w:val="22"/>
              </w:rPr>
            </w:pPr>
            <w:r w:rsidRPr="00217DDA">
              <w:rPr>
                <w:rFonts w:ascii="Arial" w:hAnsi="Arial" w:cs="Arial"/>
                <w:i/>
                <w:sz w:val="20"/>
                <w:szCs w:val="22"/>
              </w:rPr>
              <w:t>Β</w:t>
            </w:r>
            <w:r>
              <w:rPr>
                <w:rFonts w:ascii="Arial" w:hAnsi="Arial" w:cs="Arial"/>
                <w:i/>
                <w:sz w:val="20"/>
                <w:szCs w:val="22"/>
                <w:vertAlign w:val="subscript"/>
              </w:rPr>
              <w:t>4,h</w:t>
            </w:r>
          </w:p>
        </w:tc>
        <w:tc>
          <w:tcPr>
            <w:tcW w:w="7195" w:type="dxa"/>
            <w:tcBorders>
              <w:top w:val="single" w:sz="4" w:space="0" w:color="auto"/>
              <w:left w:val="single" w:sz="4" w:space="0" w:color="auto"/>
              <w:bottom w:val="single" w:sz="4" w:space="0" w:color="auto"/>
              <w:right w:val="single" w:sz="4" w:space="0" w:color="auto"/>
            </w:tcBorders>
          </w:tcPr>
          <w:p w14:paraId="7A532092" w14:textId="0E044521" w:rsidR="008A605D" w:rsidRDefault="008A605D" w:rsidP="008A605D">
            <w:pPr>
              <w:keepNext/>
              <w:rPr>
                <w:rFonts w:ascii="Arial" w:hAnsi="Arial" w:cs="Arial"/>
                <w:sz w:val="20"/>
                <w:szCs w:val="22"/>
              </w:rPr>
            </w:pPr>
            <w:r>
              <w:rPr>
                <w:rFonts w:ascii="Arial" w:hAnsi="Arial" w:cs="Arial"/>
                <w:sz w:val="20"/>
                <w:szCs w:val="22"/>
              </w:rPr>
              <w:t xml:space="preserve">Estimated difference in average load during hour </w:t>
            </w:r>
            <w:r w:rsidRPr="00D828F8">
              <w:rPr>
                <w:rFonts w:ascii="Arial" w:hAnsi="Arial" w:cs="Arial"/>
                <w:i/>
                <w:sz w:val="20"/>
                <w:szCs w:val="22"/>
              </w:rPr>
              <w:t>h</w:t>
            </w:r>
            <w:r>
              <w:rPr>
                <w:rFonts w:ascii="Arial" w:hAnsi="Arial" w:cs="Arial"/>
                <w:sz w:val="20"/>
                <w:szCs w:val="22"/>
              </w:rPr>
              <w:t xml:space="preserve"> on Fridays </w:t>
            </w:r>
          </w:p>
        </w:tc>
      </w:tr>
      <w:tr w:rsidR="008A605D" w:rsidRPr="00217DDA" w14:paraId="37D8B0C1" w14:textId="77777777" w:rsidTr="008A605D">
        <w:tc>
          <w:tcPr>
            <w:tcW w:w="1435" w:type="dxa"/>
            <w:tcBorders>
              <w:top w:val="single" w:sz="4" w:space="0" w:color="auto"/>
              <w:left w:val="single" w:sz="4" w:space="0" w:color="auto"/>
              <w:bottom w:val="single" w:sz="4" w:space="0" w:color="auto"/>
              <w:right w:val="single" w:sz="4" w:space="0" w:color="auto"/>
            </w:tcBorders>
          </w:tcPr>
          <w:p w14:paraId="6D70C040" w14:textId="1FCA568D" w:rsidR="008A605D" w:rsidRPr="00217DDA" w:rsidRDefault="008A605D" w:rsidP="008A605D">
            <w:pPr>
              <w:keepNext/>
              <w:rPr>
                <w:rFonts w:ascii="Arial" w:hAnsi="Arial" w:cs="Arial"/>
                <w:i/>
                <w:sz w:val="20"/>
                <w:szCs w:val="22"/>
              </w:rPr>
            </w:pPr>
            <w:r w:rsidRPr="00217DDA">
              <w:rPr>
                <w:rFonts w:ascii="Arial" w:hAnsi="Arial" w:cs="Arial"/>
                <w:i/>
                <w:sz w:val="20"/>
                <w:szCs w:val="22"/>
              </w:rPr>
              <w:t>H</w:t>
            </w:r>
            <w:r w:rsidRPr="00217DDA">
              <w:rPr>
                <w:rFonts w:ascii="Arial" w:hAnsi="Arial" w:cs="Arial"/>
                <w:i/>
                <w:sz w:val="20"/>
                <w:szCs w:val="22"/>
                <w:vertAlign w:val="subscript"/>
              </w:rPr>
              <w:t>h</w:t>
            </w:r>
          </w:p>
        </w:tc>
        <w:tc>
          <w:tcPr>
            <w:tcW w:w="7195" w:type="dxa"/>
            <w:tcBorders>
              <w:top w:val="single" w:sz="4" w:space="0" w:color="auto"/>
              <w:left w:val="single" w:sz="4" w:space="0" w:color="auto"/>
              <w:bottom w:val="single" w:sz="4" w:space="0" w:color="auto"/>
              <w:right w:val="single" w:sz="4" w:space="0" w:color="auto"/>
            </w:tcBorders>
          </w:tcPr>
          <w:p w14:paraId="198C5655" w14:textId="30671433" w:rsidR="008A605D" w:rsidRDefault="008A605D" w:rsidP="008A605D">
            <w:pPr>
              <w:keepNext/>
              <w:rPr>
                <w:rFonts w:ascii="Arial" w:hAnsi="Arial" w:cs="Arial"/>
                <w:sz w:val="20"/>
                <w:szCs w:val="22"/>
              </w:rPr>
            </w:pPr>
            <w:r>
              <w:rPr>
                <w:rFonts w:ascii="Arial" w:hAnsi="Arial" w:cs="Arial"/>
                <w:sz w:val="20"/>
                <w:szCs w:val="22"/>
              </w:rPr>
              <w:t>Variable indicating that the hour is</w:t>
            </w:r>
            <w:r w:rsidRPr="00A75703">
              <w:rPr>
                <w:rFonts w:ascii="Arial" w:hAnsi="Arial" w:cs="Arial"/>
                <w:i/>
                <w:sz w:val="20"/>
                <w:szCs w:val="22"/>
              </w:rPr>
              <w:t xml:space="preserve"> h</w:t>
            </w:r>
            <w:r>
              <w:rPr>
                <w:rFonts w:ascii="Arial" w:hAnsi="Arial" w:cs="Arial"/>
                <w:sz w:val="20"/>
                <w:szCs w:val="22"/>
              </w:rPr>
              <w:t xml:space="preserve"> (1) or not (0)</w:t>
            </w:r>
          </w:p>
        </w:tc>
      </w:tr>
      <w:tr w:rsidR="008A605D" w:rsidRPr="00217DDA" w14:paraId="182AC1DE" w14:textId="77777777" w:rsidTr="008A605D">
        <w:tc>
          <w:tcPr>
            <w:tcW w:w="1435" w:type="dxa"/>
            <w:tcBorders>
              <w:top w:val="single" w:sz="4" w:space="0" w:color="auto"/>
              <w:left w:val="single" w:sz="4" w:space="0" w:color="auto"/>
              <w:bottom w:val="single" w:sz="4" w:space="0" w:color="auto"/>
              <w:right w:val="single" w:sz="4" w:space="0" w:color="auto"/>
            </w:tcBorders>
          </w:tcPr>
          <w:p w14:paraId="0F01A698" w14:textId="1D743C9D" w:rsidR="008A605D" w:rsidRPr="00217DDA" w:rsidRDefault="008A605D" w:rsidP="008A605D">
            <w:pPr>
              <w:keepNext/>
              <w:rPr>
                <w:rFonts w:ascii="Arial" w:hAnsi="Arial" w:cs="Arial"/>
                <w:i/>
                <w:sz w:val="20"/>
                <w:szCs w:val="22"/>
              </w:rPr>
            </w:pPr>
            <w:r w:rsidRPr="00217DDA">
              <w:rPr>
                <w:rFonts w:ascii="Arial" w:hAnsi="Arial" w:cs="Arial"/>
                <w:i/>
                <w:sz w:val="20"/>
                <w:szCs w:val="22"/>
              </w:rPr>
              <w:t>Mon</w:t>
            </w:r>
            <w:r>
              <w:rPr>
                <w:rFonts w:ascii="Arial" w:hAnsi="Arial" w:cs="Arial"/>
                <w:i/>
                <w:sz w:val="20"/>
                <w:szCs w:val="22"/>
                <w:vertAlign w:val="subscript"/>
              </w:rPr>
              <w:t>d</w:t>
            </w:r>
          </w:p>
        </w:tc>
        <w:tc>
          <w:tcPr>
            <w:tcW w:w="7195" w:type="dxa"/>
            <w:tcBorders>
              <w:top w:val="single" w:sz="4" w:space="0" w:color="auto"/>
              <w:left w:val="single" w:sz="4" w:space="0" w:color="auto"/>
              <w:bottom w:val="single" w:sz="4" w:space="0" w:color="auto"/>
              <w:right w:val="single" w:sz="4" w:space="0" w:color="auto"/>
            </w:tcBorders>
          </w:tcPr>
          <w:p w14:paraId="4D60DDD3" w14:textId="0F4608E9" w:rsidR="008A605D" w:rsidRDefault="008A605D" w:rsidP="008A605D">
            <w:pPr>
              <w:keepNext/>
              <w:rPr>
                <w:rFonts w:ascii="Arial" w:hAnsi="Arial" w:cs="Arial"/>
                <w:sz w:val="20"/>
                <w:szCs w:val="22"/>
              </w:rPr>
            </w:pPr>
            <w:r>
              <w:rPr>
                <w:rFonts w:ascii="Arial" w:hAnsi="Arial" w:cs="Arial"/>
                <w:sz w:val="20"/>
                <w:szCs w:val="22"/>
              </w:rPr>
              <w:t xml:space="preserve">Variable indicating that day </w:t>
            </w:r>
            <w:r w:rsidRPr="00A75703">
              <w:rPr>
                <w:rFonts w:ascii="Arial" w:hAnsi="Arial" w:cs="Arial"/>
                <w:i/>
                <w:sz w:val="20"/>
                <w:szCs w:val="22"/>
              </w:rPr>
              <w:t>d</w:t>
            </w:r>
            <w:r>
              <w:rPr>
                <w:rFonts w:ascii="Arial" w:hAnsi="Arial" w:cs="Arial"/>
                <w:sz w:val="20"/>
                <w:szCs w:val="22"/>
              </w:rPr>
              <w:t xml:space="preserve"> is a </w:t>
            </w:r>
            <w:r w:rsidRPr="00217DDA">
              <w:rPr>
                <w:rFonts w:ascii="Arial" w:hAnsi="Arial" w:cs="Arial"/>
                <w:sz w:val="20"/>
                <w:szCs w:val="22"/>
              </w:rPr>
              <w:t>Monday</w:t>
            </w:r>
            <w:r>
              <w:rPr>
                <w:rFonts w:ascii="Arial" w:hAnsi="Arial" w:cs="Arial"/>
                <w:sz w:val="20"/>
                <w:szCs w:val="22"/>
              </w:rPr>
              <w:t xml:space="preserve"> (1) or not (0)</w:t>
            </w:r>
          </w:p>
        </w:tc>
      </w:tr>
      <w:tr w:rsidR="008A605D" w:rsidRPr="00217DDA" w14:paraId="17C4DC9C" w14:textId="77777777" w:rsidTr="008A605D">
        <w:tc>
          <w:tcPr>
            <w:tcW w:w="1435" w:type="dxa"/>
            <w:tcBorders>
              <w:top w:val="single" w:sz="4" w:space="0" w:color="auto"/>
              <w:left w:val="single" w:sz="4" w:space="0" w:color="auto"/>
              <w:bottom w:val="single" w:sz="4" w:space="0" w:color="auto"/>
              <w:right w:val="single" w:sz="4" w:space="0" w:color="auto"/>
            </w:tcBorders>
          </w:tcPr>
          <w:p w14:paraId="272F51FB" w14:textId="70978D3D" w:rsidR="008A605D" w:rsidRPr="00217DDA" w:rsidRDefault="008A605D" w:rsidP="008A605D">
            <w:pPr>
              <w:keepNext/>
              <w:rPr>
                <w:rFonts w:ascii="Arial" w:hAnsi="Arial" w:cs="Arial"/>
                <w:i/>
                <w:sz w:val="20"/>
                <w:szCs w:val="22"/>
              </w:rPr>
            </w:pPr>
            <w:r w:rsidRPr="00217DDA">
              <w:rPr>
                <w:rFonts w:ascii="Arial" w:hAnsi="Arial" w:cs="Arial"/>
                <w:i/>
                <w:sz w:val="20"/>
                <w:szCs w:val="22"/>
              </w:rPr>
              <w:t>Fri</w:t>
            </w:r>
            <w:r>
              <w:rPr>
                <w:rFonts w:ascii="Arial" w:hAnsi="Arial" w:cs="Arial"/>
                <w:i/>
                <w:sz w:val="20"/>
                <w:szCs w:val="22"/>
                <w:vertAlign w:val="subscript"/>
              </w:rPr>
              <w:t>d</w:t>
            </w:r>
          </w:p>
        </w:tc>
        <w:tc>
          <w:tcPr>
            <w:tcW w:w="7195" w:type="dxa"/>
            <w:tcBorders>
              <w:top w:val="single" w:sz="4" w:space="0" w:color="auto"/>
              <w:left w:val="single" w:sz="4" w:space="0" w:color="auto"/>
              <w:bottom w:val="single" w:sz="4" w:space="0" w:color="auto"/>
              <w:right w:val="single" w:sz="4" w:space="0" w:color="auto"/>
            </w:tcBorders>
          </w:tcPr>
          <w:p w14:paraId="5D68C7C6" w14:textId="750F336F" w:rsidR="008A605D" w:rsidRPr="00217DDA" w:rsidRDefault="008A605D" w:rsidP="008A605D">
            <w:pPr>
              <w:keepNext/>
              <w:rPr>
                <w:rFonts w:ascii="Arial" w:hAnsi="Arial" w:cs="Arial"/>
                <w:sz w:val="20"/>
                <w:szCs w:val="22"/>
              </w:rPr>
            </w:pPr>
            <w:r>
              <w:rPr>
                <w:rFonts w:ascii="Arial" w:hAnsi="Arial" w:cs="Arial"/>
                <w:sz w:val="20"/>
                <w:szCs w:val="22"/>
              </w:rPr>
              <w:t xml:space="preserve">Variable indicating that day </w:t>
            </w:r>
            <w:r w:rsidRPr="00A75703">
              <w:rPr>
                <w:rFonts w:ascii="Arial" w:hAnsi="Arial" w:cs="Arial"/>
                <w:i/>
                <w:sz w:val="20"/>
                <w:szCs w:val="22"/>
              </w:rPr>
              <w:t>d</w:t>
            </w:r>
            <w:r>
              <w:rPr>
                <w:rFonts w:ascii="Arial" w:hAnsi="Arial" w:cs="Arial"/>
                <w:sz w:val="20"/>
                <w:szCs w:val="22"/>
              </w:rPr>
              <w:t xml:space="preserve"> is a Fri</w:t>
            </w:r>
            <w:r w:rsidRPr="00217DDA">
              <w:rPr>
                <w:rFonts w:ascii="Arial" w:hAnsi="Arial" w:cs="Arial"/>
                <w:sz w:val="20"/>
                <w:szCs w:val="22"/>
              </w:rPr>
              <w:t>day</w:t>
            </w:r>
            <w:r>
              <w:rPr>
                <w:rFonts w:ascii="Arial" w:hAnsi="Arial" w:cs="Arial"/>
                <w:sz w:val="20"/>
                <w:szCs w:val="22"/>
              </w:rPr>
              <w:t xml:space="preserve"> (1) or not (0)</w:t>
            </w:r>
          </w:p>
        </w:tc>
      </w:tr>
      <w:tr w:rsidR="008A605D" w:rsidRPr="00217DDA" w14:paraId="1E705C1F" w14:textId="77777777" w:rsidTr="008A605D">
        <w:tc>
          <w:tcPr>
            <w:tcW w:w="1435" w:type="dxa"/>
            <w:tcBorders>
              <w:top w:val="single" w:sz="4" w:space="0" w:color="auto"/>
              <w:left w:val="single" w:sz="4" w:space="0" w:color="auto"/>
              <w:bottom w:val="single" w:sz="4" w:space="0" w:color="auto"/>
              <w:right w:val="single" w:sz="4" w:space="0" w:color="auto"/>
            </w:tcBorders>
          </w:tcPr>
          <w:p w14:paraId="44414ED5" w14:textId="06B29262" w:rsidR="008A605D" w:rsidRPr="00217DDA" w:rsidRDefault="008A605D" w:rsidP="008A605D">
            <w:pPr>
              <w:keepNext/>
              <w:rPr>
                <w:rFonts w:ascii="Arial" w:hAnsi="Arial" w:cs="Arial"/>
                <w:i/>
                <w:sz w:val="20"/>
                <w:szCs w:val="22"/>
                <w:vertAlign w:val="subscript"/>
              </w:rPr>
            </w:pPr>
            <w:r w:rsidRPr="00217DDA">
              <w:rPr>
                <w:rFonts w:ascii="Arial" w:hAnsi="Arial" w:cs="Arial"/>
                <w:i/>
                <w:sz w:val="20"/>
                <w:szCs w:val="22"/>
              </w:rPr>
              <w:t>D</w:t>
            </w:r>
            <w:r w:rsidRPr="00217DDA">
              <w:rPr>
                <w:rFonts w:ascii="Arial" w:hAnsi="Arial" w:cs="Arial"/>
                <w:i/>
                <w:sz w:val="20"/>
                <w:szCs w:val="22"/>
                <w:vertAlign w:val="subscript"/>
              </w:rPr>
              <w:t>d</w:t>
            </w:r>
          </w:p>
        </w:tc>
        <w:tc>
          <w:tcPr>
            <w:tcW w:w="7195" w:type="dxa"/>
            <w:tcBorders>
              <w:top w:val="single" w:sz="4" w:space="0" w:color="auto"/>
              <w:left w:val="single" w:sz="4" w:space="0" w:color="auto"/>
              <w:bottom w:val="single" w:sz="4" w:space="0" w:color="auto"/>
              <w:right w:val="single" w:sz="4" w:space="0" w:color="auto"/>
            </w:tcBorders>
          </w:tcPr>
          <w:p w14:paraId="187A147A" w14:textId="3F46EF9D" w:rsidR="008A605D" w:rsidRPr="00217DDA" w:rsidRDefault="008A605D" w:rsidP="008A605D">
            <w:pPr>
              <w:keepNext/>
              <w:rPr>
                <w:rFonts w:ascii="Arial" w:hAnsi="Arial" w:cs="Arial"/>
                <w:sz w:val="20"/>
                <w:szCs w:val="22"/>
              </w:rPr>
            </w:pPr>
            <w:r>
              <w:rPr>
                <w:rFonts w:ascii="Arial" w:hAnsi="Arial" w:cs="Arial"/>
                <w:sz w:val="20"/>
                <w:szCs w:val="22"/>
              </w:rPr>
              <w:t>Day of the week fixed effects</w:t>
            </w:r>
          </w:p>
        </w:tc>
      </w:tr>
      <w:tr w:rsidR="008A605D" w:rsidRPr="00217DDA" w14:paraId="4FF028EA" w14:textId="77777777" w:rsidTr="008A605D">
        <w:tc>
          <w:tcPr>
            <w:tcW w:w="1435" w:type="dxa"/>
            <w:tcBorders>
              <w:top w:val="single" w:sz="4" w:space="0" w:color="auto"/>
              <w:left w:val="single" w:sz="4" w:space="0" w:color="auto"/>
              <w:bottom w:val="single" w:sz="4" w:space="0" w:color="auto"/>
              <w:right w:val="single" w:sz="4" w:space="0" w:color="auto"/>
            </w:tcBorders>
          </w:tcPr>
          <w:p w14:paraId="4B3ECE51" w14:textId="78C5A391" w:rsidR="008A605D" w:rsidRPr="00217DDA" w:rsidRDefault="008A605D" w:rsidP="008A605D">
            <w:pPr>
              <w:keepNext/>
              <w:rPr>
                <w:rFonts w:ascii="Arial" w:hAnsi="Arial" w:cs="Arial"/>
                <w:i/>
                <w:sz w:val="20"/>
                <w:szCs w:val="22"/>
                <w:vertAlign w:val="subscript"/>
              </w:rPr>
            </w:pPr>
            <w:r>
              <w:rPr>
                <w:rFonts w:ascii="Arial" w:hAnsi="Arial" w:cs="Arial"/>
                <w:i/>
                <w:sz w:val="20"/>
                <w:szCs w:val="22"/>
              </w:rPr>
              <w:t>M</w:t>
            </w:r>
            <w:r>
              <w:rPr>
                <w:rFonts w:ascii="Arial" w:hAnsi="Arial" w:cs="Arial"/>
                <w:i/>
                <w:sz w:val="20"/>
                <w:szCs w:val="22"/>
                <w:vertAlign w:val="subscript"/>
              </w:rPr>
              <w:t>d</w:t>
            </w:r>
          </w:p>
        </w:tc>
        <w:tc>
          <w:tcPr>
            <w:tcW w:w="7195" w:type="dxa"/>
            <w:tcBorders>
              <w:top w:val="single" w:sz="4" w:space="0" w:color="auto"/>
              <w:left w:val="single" w:sz="4" w:space="0" w:color="auto"/>
              <w:bottom w:val="single" w:sz="4" w:space="0" w:color="auto"/>
              <w:right w:val="single" w:sz="4" w:space="0" w:color="auto"/>
            </w:tcBorders>
          </w:tcPr>
          <w:p w14:paraId="437DE612" w14:textId="04035E1D" w:rsidR="008A605D" w:rsidRPr="00217DDA" w:rsidRDefault="008A605D" w:rsidP="008A605D">
            <w:pPr>
              <w:keepNext/>
              <w:rPr>
                <w:rFonts w:ascii="Arial" w:hAnsi="Arial" w:cs="Arial"/>
                <w:sz w:val="20"/>
                <w:szCs w:val="22"/>
              </w:rPr>
            </w:pPr>
            <w:r>
              <w:rPr>
                <w:rFonts w:ascii="Arial" w:hAnsi="Arial" w:cs="Arial"/>
                <w:sz w:val="20"/>
                <w:szCs w:val="22"/>
              </w:rPr>
              <w:t>Month of the year fixed effects</w:t>
            </w:r>
          </w:p>
        </w:tc>
      </w:tr>
      <w:tr w:rsidR="008A605D" w:rsidRPr="00217DDA" w14:paraId="6797B78F" w14:textId="77777777" w:rsidTr="008A605D">
        <w:tc>
          <w:tcPr>
            <w:tcW w:w="1435" w:type="dxa"/>
            <w:tcBorders>
              <w:top w:val="single" w:sz="4" w:space="0" w:color="auto"/>
              <w:left w:val="single" w:sz="4" w:space="0" w:color="auto"/>
              <w:bottom w:val="single" w:sz="4" w:space="0" w:color="auto"/>
              <w:right w:val="single" w:sz="4" w:space="0" w:color="auto"/>
            </w:tcBorders>
          </w:tcPr>
          <w:p w14:paraId="765012CD" w14:textId="5B568ED0" w:rsidR="008A605D" w:rsidRPr="00217DDA" w:rsidRDefault="008A605D" w:rsidP="008A605D">
            <w:pPr>
              <w:keepNext/>
              <w:rPr>
                <w:rFonts w:ascii="Arial" w:hAnsi="Arial" w:cs="Arial"/>
                <w:i/>
                <w:sz w:val="20"/>
                <w:szCs w:val="22"/>
                <w:vertAlign w:val="subscript"/>
              </w:rPr>
            </w:pPr>
            <w:r>
              <w:rPr>
                <w:rFonts w:ascii="Arial" w:hAnsi="Arial" w:cs="Arial"/>
                <w:i/>
                <w:sz w:val="20"/>
                <w:szCs w:val="22"/>
              </w:rPr>
              <w:t>ε</w:t>
            </w:r>
            <w:r>
              <w:rPr>
                <w:rFonts w:ascii="Arial" w:hAnsi="Arial" w:cs="Arial"/>
                <w:i/>
                <w:sz w:val="20"/>
                <w:szCs w:val="22"/>
                <w:vertAlign w:val="subscript"/>
              </w:rPr>
              <w:t>d,h</w:t>
            </w:r>
          </w:p>
        </w:tc>
        <w:tc>
          <w:tcPr>
            <w:tcW w:w="7195" w:type="dxa"/>
            <w:tcBorders>
              <w:top w:val="single" w:sz="4" w:space="0" w:color="auto"/>
              <w:left w:val="single" w:sz="4" w:space="0" w:color="auto"/>
              <w:bottom w:val="single" w:sz="4" w:space="0" w:color="auto"/>
              <w:right w:val="single" w:sz="4" w:space="0" w:color="auto"/>
            </w:tcBorders>
          </w:tcPr>
          <w:p w14:paraId="78EE4345" w14:textId="2EB9CF66" w:rsidR="008A605D" w:rsidRPr="00217DDA" w:rsidRDefault="008A605D" w:rsidP="008A605D">
            <w:pPr>
              <w:keepNext/>
              <w:rPr>
                <w:rFonts w:ascii="Arial" w:hAnsi="Arial" w:cs="Arial"/>
                <w:sz w:val="20"/>
                <w:szCs w:val="22"/>
              </w:rPr>
            </w:pPr>
            <w:r w:rsidRPr="00217DDA">
              <w:rPr>
                <w:rFonts w:ascii="Arial" w:hAnsi="Arial" w:cs="Arial"/>
                <w:sz w:val="20"/>
                <w:szCs w:val="22"/>
              </w:rPr>
              <w:t xml:space="preserve">Error term (robust) </w:t>
            </w:r>
          </w:p>
        </w:tc>
      </w:tr>
    </w:tbl>
    <w:p w14:paraId="1B576F52" w14:textId="1A7C2E03" w:rsidR="00E94213" w:rsidRDefault="00E94213" w:rsidP="00913C2E">
      <w:pPr>
        <w:spacing w:after="120"/>
      </w:pPr>
    </w:p>
    <w:p w14:paraId="749FA05C" w14:textId="1C9196C8" w:rsidR="00217DDA" w:rsidRDefault="00217DDA" w:rsidP="00217DDA">
      <w:pPr>
        <w:spacing w:after="120"/>
      </w:pPr>
      <w:r>
        <w:t>The model includes hour fixed effects to allow loads to vary by hour of the day</w:t>
      </w:r>
      <w:r w:rsidR="00427858">
        <w:t xml:space="preserve">. </w:t>
      </w:r>
      <w:r>
        <w:t>Monday and Friday hour</w:t>
      </w:r>
      <w:r w:rsidR="009D099B">
        <w:t>ly</w:t>
      </w:r>
      <w:r>
        <w:t xml:space="preserve"> fixed effects allow for difference</w:t>
      </w:r>
      <w:r w:rsidR="00427858">
        <w:t>s</w:t>
      </w:r>
      <w:r>
        <w:t xml:space="preserve"> in load profiles on </w:t>
      </w:r>
      <w:r w:rsidR="00427858">
        <w:t xml:space="preserve">Mondays and Fridays. Day of the week </w:t>
      </w:r>
      <w:r>
        <w:t xml:space="preserve">fixed effects </w:t>
      </w:r>
      <w:r w:rsidR="00427858">
        <w:t>allow</w:t>
      </w:r>
      <w:r w:rsidR="009F7E2C">
        <w:t xml:space="preserve"> the daily load level </w:t>
      </w:r>
      <w:r w:rsidR="00427858">
        <w:t xml:space="preserve">to vary by day of the week. Month fixed effects allow </w:t>
      </w:r>
      <w:r w:rsidR="009F7E2C">
        <w:t xml:space="preserve">the daily </w:t>
      </w:r>
      <w:r w:rsidR="00427858">
        <w:t>load</w:t>
      </w:r>
      <w:r w:rsidR="009F7E2C">
        <w:t xml:space="preserve"> level </w:t>
      </w:r>
      <w:r w:rsidR="00427858">
        <w:t xml:space="preserve">to vary by month of the year. </w:t>
      </w:r>
      <w:r>
        <w:t xml:space="preserve">The </w:t>
      </w:r>
      <w:r w:rsidRPr="00271447">
        <w:rPr>
          <w:rFonts w:ascii="Symbol" w:hAnsi="Symbol"/>
          <w:i/>
        </w:rPr>
        <w:t></w:t>
      </w:r>
      <w:r w:rsidRPr="00271447">
        <w:rPr>
          <w:i/>
          <w:vertAlign w:val="subscript"/>
        </w:rPr>
        <w:t>1,</w:t>
      </w:r>
      <w:r w:rsidR="00427858">
        <w:rPr>
          <w:i/>
          <w:vertAlign w:val="subscript"/>
        </w:rPr>
        <w:t>h</w:t>
      </w:r>
      <w:r>
        <w:t xml:space="preserve"> coefficients represent the estimated </w:t>
      </w:r>
      <w:r w:rsidR="00427858">
        <w:t xml:space="preserve">increase in average </w:t>
      </w:r>
      <w:r>
        <w:t>load</w:t>
      </w:r>
      <w:r w:rsidR="00427858">
        <w:t xml:space="preserve">s during hour </w:t>
      </w:r>
      <w:r w:rsidR="00427858" w:rsidRPr="00427858">
        <w:rPr>
          <w:i/>
        </w:rPr>
        <w:t>h</w:t>
      </w:r>
      <w:r>
        <w:t xml:space="preserve"> </w:t>
      </w:r>
      <w:r w:rsidR="00427858">
        <w:t xml:space="preserve">due to a one cooling degree </w:t>
      </w:r>
      <w:r w:rsidR="009F7E2C">
        <w:t xml:space="preserve">day </w:t>
      </w:r>
      <w:r w:rsidR="00427858">
        <w:t>increase.</w:t>
      </w:r>
      <w:r w:rsidR="00CA22E9">
        <w:t xml:space="preserve"> W</w:t>
      </w:r>
      <w:r>
        <w:rPr>
          <w:rFonts w:asciiTheme="minorHAnsi" w:hAnsiTheme="minorHAnsi" w:cstheme="minorHAnsi"/>
        </w:rPr>
        <w:t>e estimate t</w:t>
      </w:r>
      <w:r w:rsidRPr="002D731D">
        <w:rPr>
          <w:rFonts w:asciiTheme="minorHAnsi" w:hAnsiTheme="minorHAnsi" w:cstheme="minorHAnsi"/>
        </w:rPr>
        <w:t>his model separately for each</w:t>
      </w:r>
      <w:r w:rsidR="00CA22E9">
        <w:rPr>
          <w:rFonts w:asciiTheme="minorHAnsi" w:hAnsiTheme="minorHAnsi" w:cstheme="minorHAnsi"/>
        </w:rPr>
        <w:t xml:space="preserve"> LCA and enrollment segment</w:t>
      </w:r>
      <w:r w:rsidRPr="002D731D">
        <w:rPr>
          <w:rFonts w:asciiTheme="minorHAnsi" w:hAnsiTheme="minorHAnsi" w:cstheme="minorHAnsi"/>
        </w:rPr>
        <w:t xml:space="preserve">.  </w:t>
      </w:r>
    </w:p>
    <w:p w14:paraId="36DA576F" w14:textId="7A22DD0F" w:rsidR="008C2E63" w:rsidRPr="00136471" w:rsidRDefault="00CA22E9" w:rsidP="00913C2E">
      <w:pPr>
        <w:spacing w:after="120"/>
      </w:pPr>
      <w:r w:rsidRPr="00E94213">
        <w:t xml:space="preserve">Reference loads are simulated </w:t>
      </w:r>
      <w:r>
        <w:t>by applying the cooling degree</w:t>
      </w:r>
      <w:r w:rsidR="009F7E2C">
        <w:t xml:space="preserve"> day</w:t>
      </w:r>
      <w:r>
        <w:t xml:space="preserve">s from the </w:t>
      </w:r>
      <w:r w:rsidRPr="00CA22E9">
        <w:t>weather scenarios provided by PG&amp;E</w:t>
      </w:r>
      <w:r>
        <w:t xml:space="preserve"> to the estimated </w:t>
      </w:r>
      <w:r w:rsidRPr="00271447">
        <w:rPr>
          <w:rFonts w:ascii="Symbol" w:hAnsi="Symbol"/>
          <w:i/>
        </w:rPr>
        <w:t></w:t>
      </w:r>
      <w:r w:rsidRPr="00271447">
        <w:rPr>
          <w:i/>
          <w:vertAlign w:val="subscript"/>
        </w:rPr>
        <w:t>1,</w:t>
      </w:r>
      <w:r>
        <w:rPr>
          <w:i/>
          <w:vertAlign w:val="subscript"/>
        </w:rPr>
        <w:t>h</w:t>
      </w:r>
      <w:r>
        <w:t xml:space="preserve"> coefficients</w:t>
      </w:r>
      <w:r w:rsidR="00B01D90">
        <w:t xml:space="preserve"> along with the other relevant load shape variables and fixed effects</w:t>
      </w:r>
      <w:r>
        <w:t>. The</w:t>
      </w:r>
      <w:r w:rsidR="00B01D90">
        <w:t xml:space="preserve"> estimated</w:t>
      </w:r>
      <w:r>
        <w:t xml:space="preserve"> reference loads for each month and weather scenario are assumed to be </w:t>
      </w:r>
      <w:r w:rsidR="00B01D90">
        <w:t xml:space="preserve">the monthly system peak load (or typical event day) </w:t>
      </w:r>
      <w:r w:rsidR="003E18E8">
        <w:t>for a Wednesday</w:t>
      </w:r>
      <w:r w:rsidR="00B01D90">
        <w:t xml:space="preserve"> event</w:t>
      </w:r>
      <w:r w:rsidR="003E18E8">
        <w:t>.</w:t>
      </w:r>
    </w:p>
    <w:p w14:paraId="26C28D06" w14:textId="10A8F161" w:rsidR="00D62F6C" w:rsidRDefault="00D62F6C" w:rsidP="00D62F6C">
      <w:pPr>
        <w:pStyle w:val="Heading3"/>
      </w:pPr>
      <w:bookmarkStart w:id="76" w:name="_Ref2244398"/>
      <w:bookmarkStart w:id="77" w:name="_Toc4578154"/>
      <w:r>
        <w:t>Load Impacts</w:t>
      </w:r>
      <w:bookmarkEnd w:id="76"/>
      <w:bookmarkEnd w:id="77"/>
    </w:p>
    <w:p w14:paraId="36688DB2" w14:textId="61470DAE" w:rsidR="0065579E" w:rsidRPr="00136471" w:rsidRDefault="000A688F" w:rsidP="00860513">
      <w:pPr>
        <w:spacing w:after="120"/>
      </w:pPr>
      <w:r w:rsidRPr="00136471">
        <w:t xml:space="preserve">The </w:t>
      </w:r>
      <w:r w:rsidRPr="00136471">
        <w:rPr>
          <w:rFonts w:asciiTheme="minorHAnsi" w:hAnsiTheme="minorHAnsi"/>
          <w:i/>
        </w:rPr>
        <w:t>per-customer load impacts</w:t>
      </w:r>
      <w:r w:rsidRPr="00136471">
        <w:rPr>
          <w:rFonts w:asciiTheme="minorHAnsi" w:hAnsiTheme="minorHAnsi"/>
        </w:rPr>
        <w:t xml:space="preserve"> </w:t>
      </w:r>
      <w:r w:rsidR="00702DFA" w:rsidRPr="00136471">
        <w:rPr>
          <w:rFonts w:asciiTheme="minorHAnsi" w:hAnsiTheme="minorHAnsi"/>
        </w:rPr>
        <w:t>are</w:t>
      </w:r>
      <w:r w:rsidR="00C05628" w:rsidRPr="00136471">
        <w:rPr>
          <w:rFonts w:asciiTheme="minorHAnsi" w:hAnsiTheme="minorHAnsi"/>
        </w:rPr>
        <w:t xml:space="preserve"> </w:t>
      </w:r>
      <w:r w:rsidRPr="00136471">
        <w:rPr>
          <w:rFonts w:asciiTheme="minorHAnsi" w:hAnsiTheme="minorHAnsi"/>
        </w:rPr>
        <w:t xml:space="preserve">derived from an analysis of the current and previous </w:t>
      </w:r>
      <w:r w:rsidRPr="00136471">
        <w:rPr>
          <w:rFonts w:asciiTheme="minorHAnsi" w:hAnsiTheme="minorHAnsi"/>
          <w:i/>
        </w:rPr>
        <w:t>ex-post</w:t>
      </w:r>
      <w:r w:rsidRPr="00136471">
        <w:rPr>
          <w:rFonts w:asciiTheme="minorHAnsi" w:hAnsiTheme="minorHAnsi"/>
        </w:rPr>
        <w:t xml:space="preserve"> load impact evaluations, with a focus on the effect</w:t>
      </w:r>
      <w:r w:rsidR="00860513" w:rsidRPr="00136471">
        <w:rPr>
          <w:rFonts w:asciiTheme="minorHAnsi" w:hAnsiTheme="minorHAnsi"/>
        </w:rPr>
        <w:t xml:space="preserve"> of</w:t>
      </w:r>
      <w:r w:rsidRPr="00136471">
        <w:rPr>
          <w:rFonts w:asciiTheme="minorHAnsi" w:hAnsiTheme="minorHAnsi"/>
        </w:rPr>
        <w:t xml:space="preserve"> weather on the estimated load impacts. </w:t>
      </w:r>
      <w:r w:rsidRPr="00B122DE">
        <w:t>The resulting per-customer load impacts are then</w:t>
      </w:r>
      <w:r w:rsidR="00B122DE" w:rsidRPr="00B122DE">
        <w:t xml:space="preserve"> coupled with</w:t>
      </w:r>
      <w:r w:rsidRPr="00B122DE">
        <w:t xml:space="preserve"> the appropriate reference loads to develop the forecast</w:t>
      </w:r>
      <w:r w:rsidR="00A01724" w:rsidRPr="00B122DE">
        <w:t>ed</w:t>
      </w:r>
      <w:r w:rsidRPr="00B122DE">
        <w:t xml:space="preserve"> load impacts and event-day reference load profiles.</w:t>
      </w:r>
    </w:p>
    <w:p w14:paraId="0AF81FFE" w14:textId="525E586D" w:rsidR="00860513" w:rsidRPr="002C4062" w:rsidRDefault="00860513" w:rsidP="00860513">
      <w:pPr>
        <w:spacing w:after="120"/>
      </w:pPr>
      <w:r w:rsidRPr="00B755E1">
        <w:t>We modeled the relationship between the load impact and weather conditions as follows:</w:t>
      </w:r>
    </w:p>
    <w:p w14:paraId="0873280A" w14:textId="10E70A91" w:rsidR="00860513" w:rsidRPr="002C4062" w:rsidRDefault="00445DF3" w:rsidP="008C141F">
      <w:pPr>
        <w:spacing w:after="120"/>
      </w:pPr>
      <m:oMath>
        <m:sSub>
          <m:sSubPr>
            <m:ctrlPr>
              <w:rPr>
                <w:rFonts w:ascii="Cambria Math" w:hAnsi="Cambria Math"/>
                <w:i/>
              </w:rPr>
            </m:ctrlPr>
          </m:sSubPr>
          <m:e>
            <m:r>
              <w:rPr>
                <w:rFonts w:ascii="Cambria Math" w:hAnsi="Cambria Math"/>
              </w:rPr>
              <m:t>Impact</m:t>
            </m:r>
          </m:e>
          <m:sub>
            <m:r>
              <w:rPr>
                <w:rFonts w:ascii="Cambria Math" w:hAnsi="Cambria Math"/>
              </w:rPr>
              <m:t>l,h,evt 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Temp</m:t>
            </m:r>
          </m:e>
          <m:sub>
            <m:r>
              <w:rPr>
                <w:rFonts w:ascii="Cambria Math" w:hAnsi="Cambria Math"/>
              </w:rPr>
              <m:t>l,h,evt 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2,l</m:t>
            </m:r>
          </m:sub>
        </m:sSub>
        <m:sSub>
          <m:sSubPr>
            <m:ctrlPr>
              <w:rPr>
                <w:rFonts w:ascii="Cambria Math" w:hAnsi="Cambria Math"/>
                <w:i/>
              </w:rPr>
            </m:ctrlPr>
          </m:sSubPr>
          <m:e>
            <m:r>
              <w:rPr>
                <w:rFonts w:ascii="Cambria Math" w:hAnsi="Cambria Math"/>
              </w:rPr>
              <m:t>Mean8</m:t>
            </m:r>
          </m:e>
          <m:sub>
            <m:r>
              <w:rPr>
                <w:rFonts w:ascii="Cambria Math" w:hAnsi="Cambria Math"/>
              </w:rPr>
              <m:t>l,evt i</m:t>
            </m:r>
          </m:sub>
        </m:sSub>
        <m:r>
          <w:rPr>
            <w:rFonts w:ascii="Cambria Math" w:hAnsi="Cambria Math"/>
          </w:rPr>
          <m:t>×</m:t>
        </m:r>
        <m:sSub>
          <m:sSubPr>
            <m:ctrlPr>
              <w:rPr>
                <w:rFonts w:ascii="Cambria Math" w:hAnsi="Cambria Math"/>
                <w:i/>
              </w:rPr>
            </m:ctrlPr>
          </m:sSubPr>
          <m:e>
            <m:r>
              <w:rPr>
                <w:rFonts w:ascii="Cambria Math" w:hAnsi="Cambria Math"/>
              </w:rPr>
              <m:t>LCA</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LCA</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 xml:space="preserve">                                ε</m:t>
            </m:r>
          </m:e>
          <m:sub>
            <m:r>
              <w:rPr>
                <w:rFonts w:ascii="Cambria Math" w:hAnsi="Cambria Math"/>
              </w:rPr>
              <m:t>l,h,evt i</m:t>
            </m:r>
          </m:sub>
        </m:sSub>
      </m:oMath>
      <w:r w:rsidR="0072680F" w:rsidRPr="002C4062">
        <w:t xml:space="preserve"> </w:t>
      </w:r>
    </w:p>
    <w:p w14:paraId="58F75DC2" w14:textId="77777777" w:rsidR="00FC62F2" w:rsidRPr="00761263" w:rsidRDefault="00FC62F2" w:rsidP="00FC62F2">
      <w:pPr>
        <w:spacing w:after="120"/>
      </w:pPr>
      <w:r w:rsidRPr="00761263">
        <w:t>The variables and coefficients in the equation are described in the following table:</w:t>
      </w:r>
    </w:p>
    <w:p w14:paraId="2CF3CF6F" w14:textId="14F8D9D0" w:rsidR="00FC62F2" w:rsidRPr="00761263" w:rsidRDefault="00FC62F2" w:rsidP="00FC62F2">
      <w:pPr>
        <w:pStyle w:val="TableCaption"/>
      </w:pPr>
      <w:bookmarkStart w:id="78" w:name="_Toc4578175"/>
      <w:r w:rsidRPr="00761263">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2</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4</w:t>
      </w:r>
      <w:r w:rsidR="005D5F52">
        <w:rPr>
          <w:noProof/>
        </w:rPr>
        <w:fldChar w:fldCharType="end"/>
      </w:r>
      <w:r w:rsidRPr="00761263">
        <w:t xml:space="preserve">: </w:t>
      </w:r>
      <w:r w:rsidR="003D6ECF" w:rsidRPr="008A605D">
        <w:rPr>
          <w:i/>
        </w:rPr>
        <w:t>Ex-Ante</w:t>
      </w:r>
      <w:r w:rsidR="003D6ECF" w:rsidRPr="00761263">
        <w:t xml:space="preserve"> Load Impacts </w:t>
      </w:r>
      <w:r w:rsidRPr="00761263">
        <w:t>Model Terms</w:t>
      </w:r>
      <w:bookmarkEnd w:id="78"/>
    </w:p>
    <w:tbl>
      <w:tblPr>
        <w:tblW w:w="0" w:type="auto"/>
        <w:tblLook w:val="04A0" w:firstRow="1" w:lastRow="0" w:firstColumn="1" w:lastColumn="0" w:noHBand="0" w:noVBand="1"/>
      </w:tblPr>
      <w:tblGrid>
        <w:gridCol w:w="1435"/>
        <w:gridCol w:w="7195"/>
      </w:tblGrid>
      <w:tr w:rsidR="00FC62F2" w:rsidRPr="00761263" w14:paraId="7F84BD59" w14:textId="77777777" w:rsidTr="002635FE">
        <w:tc>
          <w:tcPr>
            <w:tcW w:w="1435" w:type="dxa"/>
            <w:tcBorders>
              <w:left w:val="single" w:sz="4" w:space="0" w:color="auto"/>
              <w:bottom w:val="single" w:sz="4" w:space="0" w:color="auto"/>
              <w:right w:val="single" w:sz="4" w:space="0" w:color="FFFFFF" w:themeColor="background1"/>
            </w:tcBorders>
            <w:shd w:val="clear" w:color="auto" w:fill="0C2577"/>
          </w:tcPr>
          <w:p w14:paraId="206990AB" w14:textId="77777777" w:rsidR="00FC62F2" w:rsidRPr="00761263" w:rsidRDefault="00FC62F2" w:rsidP="002C3B78">
            <w:pPr>
              <w:keepNext/>
              <w:jc w:val="center"/>
              <w:rPr>
                <w:rFonts w:ascii="Arial" w:hAnsi="Arial" w:cs="Arial"/>
                <w:b/>
                <w:sz w:val="20"/>
              </w:rPr>
            </w:pPr>
            <w:r w:rsidRPr="00761263">
              <w:rPr>
                <w:rFonts w:ascii="Arial" w:hAnsi="Arial" w:cs="Arial"/>
                <w:b/>
                <w:sz w:val="20"/>
              </w:rPr>
              <w:t>Symbol</w:t>
            </w:r>
          </w:p>
        </w:tc>
        <w:tc>
          <w:tcPr>
            <w:tcW w:w="7195" w:type="dxa"/>
            <w:tcBorders>
              <w:left w:val="single" w:sz="4" w:space="0" w:color="FFFFFF" w:themeColor="background1"/>
              <w:bottom w:val="single" w:sz="4" w:space="0" w:color="auto"/>
            </w:tcBorders>
            <w:shd w:val="clear" w:color="auto" w:fill="0C2577"/>
          </w:tcPr>
          <w:p w14:paraId="0CDFC492" w14:textId="77777777" w:rsidR="00FC62F2" w:rsidRPr="00761263" w:rsidRDefault="00FC62F2" w:rsidP="002C3B78">
            <w:pPr>
              <w:keepNext/>
              <w:jc w:val="center"/>
              <w:rPr>
                <w:rFonts w:ascii="Arial" w:hAnsi="Arial" w:cs="Arial"/>
                <w:b/>
                <w:sz w:val="20"/>
              </w:rPr>
            </w:pPr>
            <w:r w:rsidRPr="00761263">
              <w:rPr>
                <w:rFonts w:ascii="Arial" w:hAnsi="Arial" w:cs="Arial"/>
                <w:b/>
                <w:sz w:val="20"/>
              </w:rPr>
              <w:t>Description</w:t>
            </w:r>
          </w:p>
        </w:tc>
      </w:tr>
      <w:tr w:rsidR="00FC62F2" w:rsidRPr="00761263" w14:paraId="19D077D7" w14:textId="77777777" w:rsidTr="002635FE">
        <w:tc>
          <w:tcPr>
            <w:tcW w:w="1435" w:type="dxa"/>
            <w:tcBorders>
              <w:top w:val="single" w:sz="4" w:space="0" w:color="auto"/>
              <w:left w:val="single" w:sz="4" w:space="0" w:color="auto"/>
              <w:bottom w:val="single" w:sz="4" w:space="0" w:color="auto"/>
              <w:right w:val="single" w:sz="4" w:space="0" w:color="auto"/>
            </w:tcBorders>
          </w:tcPr>
          <w:p w14:paraId="2260F4E6" w14:textId="4722CFCD" w:rsidR="00FC62F2" w:rsidRPr="00761263" w:rsidRDefault="002635FE" w:rsidP="002C3B78">
            <w:pPr>
              <w:keepNext/>
              <w:rPr>
                <w:rFonts w:ascii="Arial" w:hAnsi="Arial" w:cs="Arial"/>
                <w:i/>
                <w:sz w:val="20"/>
                <w:szCs w:val="22"/>
                <w:vertAlign w:val="subscript"/>
              </w:rPr>
            </w:pPr>
            <w:r w:rsidRPr="00761263">
              <w:rPr>
                <w:rFonts w:ascii="Arial" w:hAnsi="Arial" w:cs="Arial"/>
                <w:i/>
                <w:sz w:val="20"/>
                <w:szCs w:val="22"/>
              </w:rPr>
              <w:t>Impact</w:t>
            </w:r>
            <w:r w:rsidRPr="00761263">
              <w:rPr>
                <w:rFonts w:ascii="Arial" w:hAnsi="Arial" w:cs="Arial"/>
                <w:i/>
                <w:sz w:val="20"/>
                <w:szCs w:val="22"/>
                <w:vertAlign w:val="subscript"/>
              </w:rPr>
              <w:t>l,h,evt i</w:t>
            </w:r>
          </w:p>
        </w:tc>
        <w:tc>
          <w:tcPr>
            <w:tcW w:w="7195" w:type="dxa"/>
            <w:tcBorders>
              <w:top w:val="single" w:sz="4" w:space="0" w:color="auto"/>
              <w:left w:val="single" w:sz="4" w:space="0" w:color="auto"/>
              <w:bottom w:val="single" w:sz="4" w:space="0" w:color="auto"/>
              <w:right w:val="single" w:sz="4" w:space="0" w:color="auto"/>
            </w:tcBorders>
          </w:tcPr>
          <w:p w14:paraId="7C9FCEE1" w14:textId="372970AA" w:rsidR="00FC62F2" w:rsidRPr="00761263" w:rsidRDefault="002635FE" w:rsidP="002C3B78">
            <w:pPr>
              <w:keepNext/>
              <w:rPr>
                <w:rFonts w:ascii="Arial" w:hAnsi="Arial" w:cs="Arial"/>
                <w:sz w:val="20"/>
                <w:szCs w:val="22"/>
              </w:rPr>
            </w:pPr>
            <w:r w:rsidRPr="00761263">
              <w:rPr>
                <w:rFonts w:ascii="Arial" w:hAnsi="Arial" w:cs="Arial"/>
                <w:sz w:val="20"/>
                <w:szCs w:val="22"/>
              </w:rPr>
              <w:t>The estimated per-customer load impact (kWh/customer</w:t>
            </w:r>
            <w:r w:rsidR="00A40CB0">
              <w:rPr>
                <w:rFonts w:ascii="Arial" w:hAnsi="Arial" w:cs="Arial"/>
                <w:sz w:val="20"/>
                <w:szCs w:val="22"/>
              </w:rPr>
              <w:t>/hour</w:t>
            </w:r>
            <w:r w:rsidRPr="00761263">
              <w:rPr>
                <w:rFonts w:ascii="Arial" w:hAnsi="Arial" w:cs="Arial"/>
                <w:sz w:val="20"/>
                <w:szCs w:val="22"/>
              </w:rPr>
              <w:t xml:space="preserve">) in LCA </w:t>
            </w:r>
            <w:r w:rsidRPr="00761263">
              <w:rPr>
                <w:rFonts w:ascii="Arial" w:hAnsi="Arial" w:cs="Arial"/>
                <w:i/>
                <w:sz w:val="20"/>
                <w:szCs w:val="22"/>
              </w:rPr>
              <w:t>l</w:t>
            </w:r>
            <w:r w:rsidRPr="00761263">
              <w:rPr>
                <w:rFonts w:ascii="Arial" w:hAnsi="Arial" w:cs="Arial"/>
                <w:sz w:val="20"/>
                <w:szCs w:val="22"/>
              </w:rPr>
              <w:t xml:space="preserve"> during hour </w:t>
            </w:r>
            <w:r w:rsidRPr="00761263">
              <w:rPr>
                <w:rFonts w:ascii="Arial" w:hAnsi="Arial" w:cs="Arial"/>
                <w:i/>
                <w:sz w:val="20"/>
                <w:szCs w:val="22"/>
              </w:rPr>
              <w:t>h</w:t>
            </w:r>
            <w:r w:rsidRPr="00761263">
              <w:rPr>
                <w:rFonts w:ascii="Arial" w:hAnsi="Arial" w:cs="Arial"/>
                <w:sz w:val="20"/>
                <w:szCs w:val="22"/>
              </w:rPr>
              <w:t xml:space="preserve"> on event </w:t>
            </w:r>
            <w:r w:rsidRPr="00761263">
              <w:rPr>
                <w:rFonts w:ascii="Arial" w:hAnsi="Arial" w:cs="Arial"/>
                <w:i/>
                <w:sz w:val="20"/>
                <w:szCs w:val="22"/>
              </w:rPr>
              <w:t>i</w:t>
            </w:r>
          </w:p>
        </w:tc>
      </w:tr>
      <w:tr w:rsidR="00FC62F2" w:rsidRPr="00761263" w14:paraId="42D6DDA4" w14:textId="77777777" w:rsidTr="002635FE">
        <w:tc>
          <w:tcPr>
            <w:tcW w:w="1435" w:type="dxa"/>
            <w:tcBorders>
              <w:top w:val="single" w:sz="4" w:space="0" w:color="auto"/>
              <w:left w:val="single" w:sz="4" w:space="0" w:color="auto"/>
              <w:bottom w:val="single" w:sz="4" w:space="0" w:color="auto"/>
              <w:right w:val="single" w:sz="4" w:space="0" w:color="auto"/>
            </w:tcBorders>
          </w:tcPr>
          <w:p w14:paraId="6D922E5F" w14:textId="7DB32B76" w:rsidR="00FC62F2" w:rsidRPr="00761263" w:rsidRDefault="00F91CC7" w:rsidP="002C3B78">
            <w:pPr>
              <w:keepNext/>
              <w:rPr>
                <w:rFonts w:ascii="Arial" w:hAnsi="Arial" w:cs="Arial"/>
                <w:i/>
                <w:sz w:val="20"/>
                <w:szCs w:val="22"/>
              </w:rPr>
            </w:pPr>
            <w:r>
              <w:rPr>
                <w:rFonts w:ascii="Arial" w:hAnsi="Arial" w:cs="Arial"/>
                <w:i/>
                <w:sz w:val="20"/>
                <w:szCs w:val="22"/>
              </w:rPr>
              <w:t>Temp</w:t>
            </w:r>
            <w:r w:rsidR="002635FE" w:rsidRPr="00761263">
              <w:rPr>
                <w:rFonts w:ascii="Arial" w:hAnsi="Arial" w:cs="Arial"/>
                <w:i/>
                <w:sz w:val="20"/>
                <w:szCs w:val="22"/>
                <w:vertAlign w:val="subscript"/>
              </w:rPr>
              <w:t>l,h,evt i</w:t>
            </w:r>
          </w:p>
        </w:tc>
        <w:tc>
          <w:tcPr>
            <w:tcW w:w="7195" w:type="dxa"/>
            <w:tcBorders>
              <w:top w:val="single" w:sz="4" w:space="0" w:color="auto"/>
              <w:left w:val="single" w:sz="4" w:space="0" w:color="auto"/>
              <w:bottom w:val="single" w:sz="4" w:space="0" w:color="auto"/>
              <w:right w:val="single" w:sz="4" w:space="0" w:color="auto"/>
            </w:tcBorders>
          </w:tcPr>
          <w:p w14:paraId="1C09E65A" w14:textId="5E767A51" w:rsidR="00FC62F2" w:rsidRPr="00761263" w:rsidRDefault="002635FE" w:rsidP="002C3B78">
            <w:pPr>
              <w:keepNext/>
              <w:rPr>
                <w:rFonts w:ascii="Arial" w:hAnsi="Arial" w:cs="Arial"/>
                <w:sz w:val="20"/>
                <w:szCs w:val="22"/>
              </w:rPr>
            </w:pPr>
            <w:r w:rsidRPr="00761263">
              <w:rPr>
                <w:rFonts w:ascii="Arial" w:hAnsi="Arial" w:cs="Arial"/>
                <w:sz w:val="20"/>
                <w:szCs w:val="22"/>
              </w:rPr>
              <w:t xml:space="preserve">The </w:t>
            </w:r>
            <w:r w:rsidR="00F91CC7">
              <w:rPr>
                <w:rFonts w:ascii="Arial" w:hAnsi="Arial" w:cs="Arial"/>
                <w:sz w:val="20"/>
                <w:szCs w:val="22"/>
              </w:rPr>
              <w:t xml:space="preserve">average temperature </w:t>
            </w:r>
            <w:r w:rsidRPr="00761263">
              <w:rPr>
                <w:rFonts w:ascii="Arial" w:hAnsi="Arial" w:cs="Arial"/>
                <w:sz w:val="20"/>
                <w:szCs w:val="22"/>
              </w:rPr>
              <w:t xml:space="preserve">in LCA </w:t>
            </w:r>
            <w:r w:rsidRPr="00761263">
              <w:rPr>
                <w:rFonts w:ascii="Arial" w:hAnsi="Arial" w:cs="Arial"/>
                <w:i/>
                <w:sz w:val="20"/>
                <w:szCs w:val="22"/>
              </w:rPr>
              <w:t>l</w:t>
            </w:r>
            <w:r w:rsidRPr="00761263">
              <w:rPr>
                <w:rFonts w:ascii="Arial" w:hAnsi="Arial" w:cs="Arial"/>
                <w:sz w:val="20"/>
                <w:szCs w:val="22"/>
              </w:rPr>
              <w:t xml:space="preserve"> during hour </w:t>
            </w:r>
            <w:r w:rsidRPr="00761263">
              <w:rPr>
                <w:rFonts w:ascii="Arial" w:hAnsi="Arial" w:cs="Arial"/>
                <w:i/>
                <w:sz w:val="20"/>
                <w:szCs w:val="22"/>
              </w:rPr>
              <w:t>h</w:t>
            </w:r>
            <w:r w:rsidRPr="00761263">
              <w:rPr>
                <w:rFonts w:ascii="Arial" w:hAnsi="Arial" w:cs="Arial"/>
                <w:sz w:val="20"/>
                <w:szCs w:val="22"/>
              </w:rPr>
              <w:t xml:space="preserve"> on event </w:t>
            </w:r>
            <w:r w:rsidRPr="00761263">
              <w:rPr>
                <w:rFonts w:ascii="Arial" w:hAnsi="Arial" w:cs="Arial"/>
                <w:i/>
                <w:sz w:val="20"/>
                <w:szCs w:val="22"/>
              </w:rPr>
              <w:t>i</w:t>
            </w:r>
          </w:p>
        </w:tc>
      </w:tr>
      <w:tr w:rsidR="00F91CC7" w:rsidRPr="00761263" w14:paraId="1CC668E8" w14:textId="77777777" w:rsidTr="002635FE">
        <w:tc>
          <w:tcPr>
            <w:tcW w:w="1435" w:type="dxa"/>
            <w:tcBorders>
              <w:top w:val="single" w:sz="4" w:space="0" w:color="auto"/>
              <w:left w:val="single" w:sz="4" w:space="0" w:color="auto"/>
              <w:bottom w:val="single" w:sz="4" w:space="0" w:color="auto"/>
              <w:right w:val="single" w:sz="4" w:space="0" w:color="auto"/>
            </w:tcBorders>
          </w:tcPr>
          <w:p w14:paraId="6BCECEA6" w14:textId="77BF9386" w:rsidR="00F91CC7" w:rsidRPr="00F91CC7" w:rsidRDefault="00F91CC7" w:rsidP="002C3B78">
            <w:pPr>
              <w:keepNext/>
              <w:rPr>
                <w:rFonts w:ascii="Arial" w:hAnsi="Arial" w:cs="Arial"/>
                <w:i/>
                <w:sz w:val="20"/>
                <w:szCs w:val="22"/>
                <w:vertAlign w:val="subscript"/>
              </w:rPr>
            </w:pPr>
            <w:r>
              <w:rPr>
                <w:rFonts w:ascii="Arial" w:hAnsi="Arial" w:cs="Arial"/>
                <w:i/>
                <w:sz w:val="20"/>
                <w:szCs w:val="22"/>
              </w:rPr>
              <w:t>Mean8</w:t>
            </w:r>
            <w:r>
              <w:rPr>
                <w:rFonts w:ascii="Arial" w:hAnsi="Arial" w:cs="Arial"/>
                <w:i/>
                <w:sz w:val="20"/>
                <w:szCs w:val="22"/>
                <w:vertAlign w:val="subscript"/>
              </w:rPr>
              <w:t>l,evt i</w:t>
            </w:r>
          </w:p>
        </w:tc>
        <w:tc>
          <w:tcPr>
            <w:tcW w:w="7195" w:type="dxa"/>
            <w:tcBorders>
              <w:top w:val="single" w:sz="4" w:space="0" w:color="auto"/>
              <w:left w:val="single" w:sz="4" w:space="0" w:color="auto"/>
              <w:bottom w:val="single" w:sz="4" w:space="0" w:color="auto"/>
              <w:right w:val="single" w:sz="4" w:space="0" w:color="auto"/>
            </w:tcBorders>
          </w:tcPr>
          <w:p w14:paraId="77DAB7B4" w14:textId="326A201F" w:rsidR="00F91CC7" w:rsidRPr="00761263" w:rsidRDefault="00F91CC7" w:rsidP="002C3B78">
            <w:pPr>
              <w:keepNext/>
              <w:rPr>
                <w:rFonts w:ascii="Arial" w:hAnsi="Arial" w:cs="Arial"/>
                <w:sz w:val="20"/>
                <w:szCs w:val="22"/>
              </w:rPr>
            </w:pPr>
            <w:r>
              <w:rPr>
                <w:rFonts w:ascii="Arial" w:hAnsi="Arial" w:cs="Arial"/>
                <w:sz w:val="20"/>
                <w:szCs w:val="22"/>
              </w:rPr>
              <w:t xml:space="preserve">The average temperature in LCA </w:t>
            </w:r>
            <w:r w:rsidRPr="00F91CC7">
              <w:rPr>
                <w:rFonts w:ascii="Arial" w:hAnsi="Arial" w:cs="Arial"/>
                <w:i/>
                <w:sz w:val="20"/>
                <w:szCs w:val="22"/>
              </w:rPr>
              <w:t>l</w:t>
            </w:r>
            <w:r>
              <w:rPr>
                <w:rFonts w:ascii="Arial" w:hAnsi="Arial" w:cs="Arial"/>
                <w:sz w:val="20"/>
                <w:szCs w:val="22"/>
              </w:rPr>
              <w:t xml:space="preserve"> over the first eight hours of the day on ev</w:t>
            </w:r>
            <w:r w:rsidR="00AA7DF4">
              <w:rPr>
                <w:rFonts w:ascii="Arial" w:hAnsi="Arial" w:cs="Arial"/>
                <w:sz w:val="20"/>
                <w:szCs w:val="22"/>
              </w:rPr>
              <w:t>en</w:t>
            </w:r>
            <w:r>
              <w:rPr>
                <w:rFonts w:ascii="Arial" w:hAnsi="Arial" w:cs="Arial"/>
                <w:sz w:val="20"/>
                <w:szCs w:val="22"/>
              </w:rPr>
              <w:t xml:space="preserve">t </w:t>
            </w:r>
            <w:r w:rsidRPr="00F91CC7">
              <w:rPr>
                <w:rFonts w:ascii="Arial" w:hAnsi="Arial" w:cs="Arial"/>
                <w:i/>
                <w:sz w:val="20"/>
                <w:szCs w:val="22"/>
              </w:rPr>
              <w:t>i</w:t>
            </w:r>
          </w:p>
        </w:tc>
      </w:tr>
      <w:tr w:rsidR="00F91CC7" w:rsidRPr="00761263" w14:paraId="6ED5381B" w14:textId="77777777" w:rsidTr="002635FE">
        <w:tc>
          <w:tcPr>
            <w:tcW w:w="1435" w:type="dxa"/>
            <w:tcBorders>
              <w:top w:val="single" w:sz="4" w:space="0" w:color="auto"/>
              <w:left w:val="single" w:sz="4" w:space="0" w:color="auto"/>
              <w:bottom w:val="single" w:sz="4" w:space="0" w:color="auto"/>
              <w:right w:val="single" w:sz="4" w:space="0" w:color="auto"/>
            </w:tcBorders>
          </w:tcPr>
          <w:p w14:paraId="0B439B20" w14:textId="3076F0E0" w:rsidR="00F91CC7" w:rsidRPr="00F91CC7" w:rsidRDefault="00F91CC7" w:rsidP="002C3B78">
            <w:pPr>
              <w:keepNext/>
              <w:rPr>
                <w:rFonts w:ascii="Arial" w:hAnsi="Arial" w:cs="Arial"/>
                <w:i/>
                <w:sz w:val="20"/>
                <w:szCs w:val="22"/>
                <w:vertAlign w:val="subscript"/>
              </w:rPr>
            </w:pPr>
            <w:r>
              <w:rPr>
                <w:rFonts w:ascii="Arial" w:hAnsi="Arial" w:cs="Arial"/>
                <w:i/>
                <w:sz w:val="20"/>
                <w:szCs w:val="22"/>
              </w:rPr>
              <w:t>β</w:t>
            </w:r>
            <w:r>
              <w:rPr>
                <w:rFonts w:ascii="Arial" w:hAnsi="Arial" w:cs="Arial"/>
                <w:i/>
                <w:sz w:val="20"/>
                <w:szCs w:val="22"/>
                <w:vertAlign w:val="subscript"/>
              </w:rPr>
              <w:t>1</w:t>
            </w:r>
          </w:p>
        </w:tc>
        <w:tc>
          <w:tcPr>
            <w:tcW w:w="7195" w:type="dxa"/>
            <w:tcBorders>
              <w:top w:val="single" w:sz="4" w:space="0" w:color="auto"/>
              <w:left w:val="single" w:sz="4" w:space="0" w:color="auto"/>
              <w:bottom w:val="single" w:sz="4" w:space="0" w:color="auto"/>
              <w:right w:val="single" w:sz="4" w:space="0" w:color="auto"/>
            </w:tcBorders>
          </w:tcPr>
          <w:p w14:paraId="3BA2C7BC" w14:textId="6582216E" w:rsidR="00F91CC7" w:rsidRPr="00761263" w:rsidRDefault="00F91CC7" w:rsidP="002C3B78">
            <w:pPr>
              <w:keepNext/>
              <w:rPr>
                <w:rFonts w:ascii="Arial" w:hAnsi="Arial" w:cs="Arial"/>
                <w:sz w:val="20"/>
                <w:szCs w:val="22"/>
              </w:rPr>
            </w:pPr>
            <w:r>
              <w:rPr>
                <w:rFonts w:ascii="Arial" w:hAnsi="Arial" w:cs="Arial"/>
                <w:sz w:val="20"/>
                <w:szCs w:val="22"/>
              </w:rPr>
              <w:t>Estimated increase in per-customer load impact due to a one degree increase in the average hourly temperature</w:t>
            </w:r>
          </w:p>
        </w:tc>
      </w:tr>
      <w:tr w:rsidR="00FC62F2" w:rsidRPr="00761263" w14:paraId="460127FB" w14:textId="77777777" w:rsidTr="002635FE">
        <w:tc>
          <w:tcPr>
            <w:tcW w:w="1435" w:type="dxa"/>
            <w:tcBorders>
              <w:top w:val="single" w:sz="4" w:space="0" w:color="auto"/>
              <w:left w:val="single" w:sz="4" w:space="0" w:color="auto"/>
              <w:bottom w:val="single" w:sz="4" w:space="0" w:color="auto"/>
              <w:right w:val="single" w:sz="4" w:space="0" w:color="auto"/>
            </w:tcBorders>
          </w:tcPr>
          <w:p w14:paraId="61FACE75" w14:textId="7A2E08A1" w:rsidR="00FC62F2" w:rsidRPr="00F91CC7" w:rsidRDefault="00FC62F2" w:rsidP="002C3B78">
            <w:pPr>
              <w:keepNext/>
              <w:rPr>
                <w:rFonts w:ascii="Arial" w:hAnsi="Arial" w:cs="Arial"/>
                <w:i/>
                <w:sz w:val="20"/>
                <w:szCs w:val="22"/>
                <w:vertAlign w:val="subscript"/>
              </w:rPr>
            </w:pPr>
            <w:r w:rsidRPr="00761263">
              <w:rPr>
                <w:rFonts w:ascii="Arial" w:hAnsi="Arial" w:cs="Arial"/>
                <w:i/>
                <w:sz w:val="20"/>
                <w:szCs w:val="22"/>
              </w:rPr>
              <w:t>β</w:t>
            </w:r>
            <w:r w:rsidR="00F91CC7">
              <w:rPr>
                <w:rFonts w:ascii="Arial" w:hAnsi="Arial" w:cs="Arial"/>
                <w:i/>
                <w:sz w:val="20"/>
                <w:szCs w:val="22"/>
                <w:vertAlign w:val="subscript"/>
              </w:rPr>
              <w:t>2</w:t>
            </w:r>
            <w:r w:rsidR="00300E95">
              <w:rPr>
                <w:rFonts w:ascii="Arial" w:hAnsi="Arial" w:cs="Arial"/>
                <w:i/>
                <w:sz w:val="20"/>
                <w:szCs w:val="22"/>
                <w:vertAlign w:val="subscript"/>
              </w:rPr>
              <w:t>,l</w:t>
            </w:r>
          </w:p>
        </w:tc>
        <w:tc>
          <w:tcPr>
            <w:tcW w:w="7195" w:type="dxa"/>
            <w:tcBorders>
              <w:top w:val="single" w:sz="4" w:space="0" w:color="auto"/>
              <w:left w:val="single" w:sz="4" w:space="0" w:color="auto"/>
              <w:bottom w:val="single" w:sz="4" w:space="0" w:color="auto"/>
              <w:right w:val="single" w:sz="4" w:space="0" w:color="auto"/>
            </w:tcBorders>
          </w:tcPr>
          <w:p w14:paraId="6DCF551D" w14:textId="7ADBE063" w:rsidR="00FC62F2" w:rsidRPr="00761263" w:rsidRDefault="002635FE" w:rsidP="002C3B78">
            <w:pPr>
              <w:keepNext/>
              <w:rPr>
                <w:rFonts w:ascii="Arial" w:hAnsi="Arial" w:cs="Arial"/>
                <w:sz w:val="20"/>
                <w:szCs w:val="22"/>
              </w:rPr>
            </w:pPr>
            <w:r w:rsidRPr="00761263">
              <w:rPr>
                <w:rFonts w:ascii="Arial" w:hAnsi="Arial" w:cs="Arial"/>
                <w:sz w:val="20"/>
                <w:szCs w:val="22"/>
              </w:rPr>
              <w:t xml:space="preserve">Estimated increase in per-customer load impact </w:t>
            </w:r>
            <w:r w:rsidR="00300E95">
              <w:rPr>
                <w:rFonts w:ascii="Arial" w:hAnsi="Arial" w:cs="Arial"/>
                <w:sz w:val="20"/>
                <w:szCs w:val="22"/>
              </w:rPr>
              <w:t xml:space="preserve">in LCA </w:t>
            </w:r>
            <w:r w:rsidR="00300E95" w:rsidRPr="00300E95">
              <w:rPr>
                <w:rFonts w:ascii="Arial" w:hAnsi="Arial" w:cs="Arial"/>
                <w:i/>
                <w:sz w:val="20"/>
                <w:szCs w:val="22"/>
              </w:rPr>
              <w:t>l</w:t>
            </w:r>
            <w:r w:rsidR="00300E95">
              <w:rPr>
                <w:rFonts w:ascii="Arial" w:hAnsi="Arial" w:cs="Arial"/>
                <w:sz w:val="20"/>
                <w:szCs w:val="22"/>
              </w:rPr>
              <w:t xml:space="preserve"> </w:t>
            </w:r>
            <w:r w:rsidRPr="00761263">
              <w:rPr>
                <w:rFonts w:ascii="Arial" w:hAnsi="Arial" w:cs="Arial"/>
                <w:sz w:val="20"/>
                <w:szCs w:val="22"/>
              </w:rPr>
              <w:t>due to a 1 degree increase</w:t>
            </w:r>
            <w:r w:rsidR="00F91CC7">
              <w:rPr>
                <w:rFonts w:ascii="Arial" w:hAnsi="Arial" w:cs="Arial"/>
                <w:sz w:val="20"/>
                <w:szCs w:val="22"/>
              </w:rPr>
              <w:t xml:space="preserve"> in the average temperature over the first eight hours of the day</w:t>
            </w:r>
          </w:p>
        </w:tc>
      </w:tr>
      <w:tr w:rsidR="00FC62F2" w:rsidRPr="00761263" w14:paraId="76688D16" w14:textId="77777777" w:rsidTr="002635FE">
        <w:tc>
          <w:tcPr>
            <w:tcW w:w="1435" w:type="dxa"/>
            <w:tcBorders>
              <w:top w:val="single" w:sz="4" w:space="0" w:color="auto"/>
              <w:left w:val="single" w:sz="4" w:space="0" w:color="auto"/>
              <w:bottom w:val="single" w:sz="4" w:space="0" w:color="auto"/>
              <w:right w:val="single" w:sz="4" w:space="0" w:color="auto"/>
            </w:tcBorders>
          </w:tcPr>
          <w:p w14:paraId="15048651" w14:textId="6E589DCB" w:rsidR="00FC62F2" w:rsidRPr="00761263" w:rsidRDefault="002635FE" w:rsidP="002C3B78">
            <w:pPr>
              <w:keepNext/>
              <w:rPr>
                <w:rFonts w:ascii="Arial" w:hAnsi="Arial" w:cs="Arial"/>
                <w:i/>
                <w:sz w:val="20"/>
                <w:szCs w:val="22"/>
              </w:rPr>
            </w:pPr>
            <w:r w:rsidRPr="00761263">
              <w:rPr>
                <w:rFonts w:ascii="Arial" w:hAnsi="Arial" w:cs="Arial"/>
                <w:i/>
                <w:sz w:val="20"/>
                <w:szCs w:val="22"/>
              </w:rPr>
              <w:t>L</w:t>
            </w:r>
            <w:r w:rsidR="00FC62F2" w:rsidRPr="00761263">
              <w:rPr>
                <w:rFonts w:ascii="Arial" w:hAnsi="Arial" w:cs="Arial"/>
                <w:i/>
                <w:sz w:val="20"/>
                <w:szCs w:val="22"/>
              </w:rPr>
              <w:t>C</w:t>
            </w:r>
            <w:r w:rsidRPr="00761263">
              <w:rPr>
                <w:rFonts w:ascii="Arial" w:hAnsi="Arial" w:cs="Arial"/>
                <w:i/>
                <w:sz w:val="20"/>
                <w:szCs w:val="22"/>
              </w:rPr>
              <w:t>A</w:t>
            </w:r>
            <w:r w:rsidRPr="00761263">
              <w:rPr>
                <w:rFonts w:ascii="Arial" w:hAnsi="Arial" w:cs="Arial"/>
                <w:i/>
                <w:sz w:val="20"/>
                <w:szCs w:val="22"/>
                <w:vertAlign w:val="subscript"/>
              </w:rPr>
              <w:t>l</w:t>
            </w:r>
          </w:p>
        </w:tc>
        <w:tc>
          <w:tcPr>
            <w:tcW w:w="7195" w:type="dxa"/>
            <w:tcBorders>
              <w:top w:val="single" w:sz="4" w:space="0" w:color="auto"/>
              <w:left w:val="single" w:sz="4" w:space="0" w:color="auto"/>
              <w:bottom w:val="single" w:sz="4" w:space="0" w:color="auto"/>
              <w:right w:val="single" w:sz="4" w:space="0" w:color="auto"/>
            </w:tcBorders>
          </w:tcPr>
          <w:p w14:paraId="69A191F0" w14:textId="6B3FFA5B" w:rsidR="00FC62F2" w:rsidRPr="00761263" w:rsidRDefault="008A605D" w:rsidP="002C3B78">
            <w:pPr>
              <w:keepNext/>
              <w:rPr>
                <w:rFonts w:ascii="Arial" w:hAnsi="Arial" w:cs="Arial"/>
                <w:sz w:val="20"/>
                <w:szCs w:val="22"/>
              </w:rPr>
            </w:pPr>
            <w:r>
              <w:rPr>
                <w:rFonts w:ascii="Arial" w:hAnsi="Arial" w:cs="Arial"/>
                <w:sz w:val="20"/>
                <w:szCs w:val="22"/>
              </w:rPr>
              <w:t xml:space="preserve">Variable indicating if the LCA is </w:t>
            </w:r>
            <w:r w:rsidRPr="000A3DB1">
              <w:rPr>
                <w:rFonts w:ascii="Arial" w:hAnsi="Arial" w:cs="Arial"/>
                <w:i/>
                <w:sz w:val="20"/>
                <w:szCs w:val="22"/>
              </w:rPr>
              <w:t xml:space="preserve">l </w:t>
            </w:r>
            <w:r>
              <w:rPr>
                <w:rFonts w:ascii="Arial" w:hAnsi="Arial" w:cs="Arial"/>
                <w:sz w:val="20"/>
                <w:szCs w:val="22"/>
              </w:rPr>
              <w:t>(1) or not (0)</w:t>
            </w:r>
          </w:p>
        </w:tc>
      </w:tr>
      <w:tr w:rsidR="00FC62F2" w:rsidRPr="00761263" w14:paraId="1360025E" w14:textId="77777777" w:rsidTr="002635FE">
        <w:tc>
          <w:tcPr>
            <w:tcW w:w="1435" w:type="dxa"/>
            <w:tcBorders>
              <w:top w:val="single" w:sz="4" w:space="0" w:color="auto"/>
              <w:left w:val="single" w:sz="4" w:space="0" w:color="auto"/>
              <w:bottom w:val="single" w:sz="4" w:space="0" w:color="auto"/>
              <w:right w:val="single" w:sz="4" w:space="0" w:color="auto"/>
            </w:tcBorders>
          </w:tcPr>
          <w:p w14:paraId="23F96A39" w14:textId="0B252F91" w:rsidR="00FC62F2" w:rsidRPr="00761263" w:rsidRDefault="002635FE" w:rsidP="002C3B78">
            <w:pPr>
              <w:keepNext/>
              <w:rPr>
                <w:rFonts w:ascii="Arial" w:hAnsi="Arial" w:cs="Arial"/>
                <w:i/>
                <w:sz w:val="20"/>
                <w:szCs w:val="22"/>
                <w:vertAlign w:val="subscript"/>
              </w:rPr>
            </w:pPr>
            <w:r w:rsidRPr="00761263">
              <w:rPr>
                <w:rFonts w:ascii="Arial" w:hAnsi="Arial" w:cs="Arial"/>
                <w:i/>
                <w:sz w:val="20"/>
                <w:szCs w:val="22"/>
              </w:rPr>
              <w:t>H</w:t>
            </w:r>
            <w:r w:rsidRPr="00761263">
              <w:rPr>
                <w:rFonts w:ascii="Arial" w:hAnsi="Arial" w:cs="Arial"/>
                <w:i/>
                <w:sz w:val="20"/>
                <w:szCs w:val="22"/>
                <w:vertAlign w:val="subscript"/>
              </w:rPr>
              <w:t>h</w:t>
            </w:r>
          </w:p>
        </w:tc>
        <w:tc>
          <w:tcPr>
            <w:tcW w:w="7195" w:type="dxa"/>
            <w:tcBorders>
              <w:top w:val="single" w:sz="4" w:space="0" w:color="auto"/>
              <w:left w:val="single" w:sz="4" w:space="0" w:color="auto"/>
              <w:bottom w:val="single" w:sz="4" w:space="0" w:color="auto"/>
              <w:right w:val="single" w:sz="4" w:space="0" w:color="auto"/>
            </w:tcBorders>
          </w:tcPr>
          <w:p w14:paraId="326CCF78" w14:textId="6FED75B2" w:rsidR="00FC62F2" w:rsidRPr="00761263" w:rsidRDefault="008A605D" w:rsidP="002C3B78">
            <w:pPr>
              <w:keepNext/>
              <w:rPr>
                <w:rFonts w:ascii="Arial" w:hAnsi="Arial" w:cs="Arial"/>
                <w:sz w:val="20"/>
                <w:szCs w:val="22"/>
              </w:rPr>
            </w:pPr>
            <w:r>
              <w:rPr>
                <w:rFonts w:ascii="Arial" w:hAnsi="Arial" w:cs="Arial"/>
                <w:sz w:val="20"/>
                <w:szCs w:val="22"/>
              </w:rPr>
              <w:t xml:space="preserve">Variable indicating if the hour is </w:t>
            </w:r>
            <w:r w:rsidRPr="000A3DB1">
              <w:rPr>
                <w:rFonts w:ascii="Arial" w:hAnsi="Arial" w:cs="Arial"/>
                <w:i/>
                <w:sz w:val="20"/>
                <w:szCs w:val="22"/>
              </w:rPr>
              <w:t>h</w:t>
            </w:r>
            <w:r>
              <w:rPr>
                <w:rFonts w:ascii="Arial" w:hAnsi="Arial" w:cs="Arial"/>
                <w:sz w:val="20"/>
                <w:szCs w:val="22"/>
              </w:rPr>
              <w:t xml:space="preserve"> (1) or not (0)</w:t>
            </w:r>
          </w:p>
        </w:tc>
      </w:tr>
      <w:tr w:rsidR="00FC62F2" w:rsidRPr="00761263" w14:paraId="59FBBD58" w14:textId="77777777" w:rsidTr="002635FE">
        <w:tc>
          <w:tcPr>
            <w:tcW w:w="1435" w:type="dxa"/>
            <w:tcBorders>
              <w:top w:val="single" w:sz="4" w:space="0" w:color="auto"/>
              <w:left w:val="single" w:sz="4" w:space="0" w:color="auto"/>
              <w:bottom w:val="single" w:sz="4" w:space="0" w:color="auto"/>
              <w:right w:val="single" w:sz="4" w:space="0" w:color="auto"/>
            </w:tcBorders>
          </w:tcPr>
          <w:p w14:paraId="65478678" w14:textId="1E0E292E" w:rsidR="00FC62F2" w:rsidRPr="00761263" w:rsidRDefault="00300E95" w:rsidP="002C3B78">
            <w:pPr>
              <w:keepNext/>
              <w:rPr>
                <w:rFonts w:ascii="Arial" w:hAnsi="Arial" w:cs="Arial"/>
                <w:i/>
                <w:sz w:val="20"/>
                <w:szCs w:val="22"/>
              </w:rPr>
            </w:pPr>
            <w:r>
              <w:rPr>
                <w:rFonts w:ascii="Arial" w:hAnsi="Arial" w:cs="Arial"/>
                <w:i/>
                <w:sz w:val="20"/>
                <w:szCs w:val="22"/>
              </w:rPr>
              <w:t>ε</w:t>
            </w:r>
            <w:r w:rsidR="002635FE" w:rsidRPr="00761263">
              <w:rPr>
                <w:rFonts w:ascii="Arial" w:hAnsi="Arial" w:cs="Arial"/>
                <w:i/>
                <w:sz w:val="20"/>
                <w:szCs w:val="22"/>
                <w:vertAlign w:val="subscript"/>
              </w:rPr>
              <w:t>l</w:t>
            </w:r>
            <w:r w:rsidR="00FC62F2" w:rsidRPr="00761263">
              <w:rPr>
                <w:rFonts w:ascii="Arial" w:hAnsi="Arial" w:cs="Arial"/>
                <w:i/>
                <w:sz w:val="20"/>
                <w:szCs w:val="22"/>
                <w:vertAlign w:val="subscript"/>
              </w:rPr>
              <w:t>,</w:t>
            </w:r>
            <w:r w:rsidR="002635FE" w:rsidRPr="00761263">
              <w:rPr>
                <w:rFonts w:ascii="Arial" w:hAnsi="Arial" w:cs="Arial"/>
                <w:i/>
                <w:sz w:val="20"/>
                <w:szCs w:val="22"/>
                <w:vertAlign w:val="subscript"/>
              </w:rPr>
              <w:t>h,evt i</w:t>
            </w:r>
          </w:p>
        </w:tc>
        <w:tc>
          <w:tcPr>
            <w:tcW w:w="7195" w:type="dxa"/>
            <w:tcBorders>
              <w:top w:val="single" w:sz="4" w:space="0" w:color="auto"/>
              <w:left w:val="single" w:sz="4" w:space="0" w:color="auto"/>
              <w:bottom w:val="single" w:sz="4" w:space="0" w:color="auto"/>
              <w:right w:val="single" w:sz="4" w:space="0" w:color="auto"/>
            </w:tcBorders>
          </w:tcPr>
          <w:p w14:paraId="03FE9DE3" w14:textId="15D07A85" w:rsidR="00FC62F2" w:rsidRPr="00761263" w:rsidRDefault="00FC62F2" w:rsidP="002C3B78">
            <w:pPr>
              <w:keepNext/>
              <w:rPr>
                <w:rFonts w:ascii="Arial" w:hAnsi="Arial" w:cs="Arial"/>
                <w:sz w:val="20"/>
                <w:szCs w:val="22"/>
              </w:rPr>
            </w:pPr>
            <w:r w:rsidRPr="00761263">
              <w:rPr>
                <w:rFonts w:ascii="Arial" w:hAnsi="Arial" w:cs="Arial"/>
                <w:sz w:val="20"/>
                <w:szCs w:val="22"/>
              </w:rPr>
              <w:t>Error term (</w:t>
            </w:r>
            <w:r w:rsidR="00300E95">
              <w:rPr>
                <w:rFonts w:ascii="Arial" w:hAnsi="Arial" w:cs="Arial"/>
                <w:sz w:val="20"/>
                <w:szCs w:val="22"/>
              </w:rPr>
              <w:t>robust</w:t>
            </w:r>
            <w:r w:rsidRPr="00761263">
              <w:rPr>
                <w:rFonts w:ascii="Arial" w:hAnsi="Arial" w:cs="Arial"/>
                <w:sz w:val="20"/>
                <w:szCs w:val="22"/>
              </w:rPr>
              <w:t xml:space="preserve">) </w:t>
            </w:r>
          </w:p>
        </w:tc>
      </w:tr>
    </w:tbl>
    <w:p w14:paraId="37D2CC49" w14:textId="77777777" w:rsidR="00FC62F2" w:rsidRPr="00761263" w:rsidRDefault="00FC62F2" w:rsidP="00C55F02">
      <w:pPr>
        <w:spacing w:after="120"/>
      </w:pPr>
    </w:p>
    <w:p w14:paraId="7BF10136" w14:textId="667A586D" w:rsidR="00CA3E9E" w:rsidRPr="00761263" w:rsidRDefault="00FC62F2" w:rsidP="00C55F02">
      <w:pPr>
        <w:spacing w:after="120"/>
      </w:pPr>
      <w:r w:rsidRPr="00761263">
        <w:t>The model includes LCA and hour</w:t>
      </w:r>
      <w:r w:rsidR="002635FE" w:rsidRPr="00761263">
        <w:t xml:space="preserve"> </w:t>
      </w:r>
      <w:r w:rsidRPr="00761263">
        <w:t>fixed effects to a</w:t>
      </w:r>
      <w:r w:rsidR="002635FE" w:rsidRPr="00761263">
        <w:t>llow load impacts to vary by LCA and hour of the day</w:t>
      </w:r>
      <w:r w:rsidRPr="00761263">
        <w:t xml:space="preserve">. The </w:t>
      </w:r>
      <w:r w:rsidRPr="00761263">
        <w:rPr>
          <w:rFonts w:ascii="Symbol" w:hAnsi="Symbol"/>
          <w:i/>
        </w:rPr>
        <w:t></w:t>
      </w:r>
      <w:r w:rsidRPr="00761263">
        <w:t xml:space="preserve"> coefficient</w:t>
      </w:r>
      <w:r w:rsidR="009214ED">
        <w:t>s</w:t>
      </w:r>
      <w:r w:rsidRPr="00761263">
        <w:t xml:space="preserve"> represent the </w:t>
      </w:r>
      <w:r w:rsidR="00A01724" w:rsidRPr="00761263">
        <w:t xml:space="preserve">estimated </w:t>
      </w:r>
      <w:r w:rsidR="00EB684A" w:rsidRPr="00761263">
        <w:t xml:space="preserve">increase in </w:t>
      </w:r>
      <w:r w:rsidR="00680FAC" w:rsidRPr="00761263">
        <w:t xml:space="preserve">per-customer </w:t>
      </w:r>
      <w:r w:rsidR="00A01724" w:rsidRPr="00761263">
        <w:t xml:space="preserve">load impact </w:t>
      </w:r>
      <w:r w:rsidR="00680FAC" w:rsidRPr="00761263">
        <w:t xml:space="preserve">(in kWh/hour/customer) </w:t>
      </w:r>
      <w:r w:rsidR="00EB684A" w:rsidRPr="00761263">
        <w:t xml:space="preserve">that results from </w:t>
      </w:r>
      <w:r w:rsidR="00A01724" w:rsidRPr="00761263">
        <w:rPr>
          <w:rFonts w:cs="Calibri"/>
        </w:rPr>
        <w:t>a</w:t>
      </w:r>
      <w:r w:rsidR="009214ED">
        <w:rPr>
          <w:rFonts w:cs="Calibri"/>
        </w:rPr>
        <w:t xml:space="preserve"> one-degree increase in temperature, </w:t>
      </w:r>
      <w:r w:rsidR="00C14A3B">
        <w:rPr>
          <w:rFonts w:cs="Calibri"/>
        </w:rPr>
        <w:t>either</w:t>
      </w:r>
      <w:r w:rsidR="009214ED">
        <w:rPr>
          <w:rFonts w:cs="Calibri"/>
        </w:rPr>
        <w:t xml:space="preserve"> hourly </w:t>
      </w:r>
      <w:r w:rsidR="00C14A3B">
        <w:rPr>
          <w:rFonts w:cs="Calibri"/>
        </w:rPr>
        <w:t xml:space="preserve">or </w:t>
      </w:r>
      <w:r w:rsidR="009214ED">
        <w:rPr>
          <w:rFonts w:cs="Calibri"/>
        </w:rPr>
        <w:t>the average of the first eight hours of the event day</w:t>
      </w:r>
      <w:r w:rsidR="00EB684A" w:rsidRPr="00761263">
        <w:rPr>
          <w:rFonts w:cs="Calibri"/>
        </w:rPr>
        <w:t xml:space="preserve">. </w:t>
      </w:r>
      <w:r w:rsidR="0065579E" w:rsidRPr="00761263">
        <w:t>The standard error</w:t>
      </w:r>
      <w:r w:rsidR="00A01724" w:rsidRPr="00761263">
        <w:t>s from this model are</w:t>
      </w:r>
      <w:r w:rsidR="0065579E" w:rsidRPr="00761263">
        <w:t xml:space="preserve"> the basis for the uncertainty-adjusted load impacts. </w:t>
      </w:r>
    </w:p>
    <w:p w14:paraId="34F5D20B" w14:textId="075B9E75" w:rsidR="00CA3E9E" w:rsidRDefault="00CA3E9E" w:rsidP="00C55F02">
      <w:pPr>
        <w:spacing w:after="120"/>
      </w:pPr>
      <w:r w:rsidRPr="002C4062">
        <w:t xml:space="preserve">We build our </w:t>
      </w:r>
      <w:r w:rsidRPr="00C45175">
        <w:rPr>
          <w:i/>
        </w:rPr>
        <w:t>ex-ante</w:t>
      </w:r>
      <w:r w:rsidRPr="002C4062">
        <w:t xml:space="preserve"> load impact forecasts based only on</w:t>
      </w:r>
      <w:r w:rsidR="002C4062" w:rsidRPr="002C4062">
        <w:t xml:space="preserve"> serial number</w:t>
      </w:r>
      <w:r w:rsidRPr="002C4062">
        <w:t xml:space="preserve"> events called in 2017. There are two main reasons for basing our </w:t>
      </w:r>
      <w:r w:rsidRPr="00C45175">
        <w:rPr>
          <w:i/>
        </w:rPr>
        <w:t>ex-ante</w:t>
      </w:r>
      <w:r w:rsidRPr="002C4062">
        <w:t xml:space="preserve"> load impact forecasts on </w:t>
      </w:r>
      <w:r w:rsidR="008006D2">
        <w:t xml:space="preserve">the </w:t>
      </w:r>
      <w:r w:rsidRPr="002C4062">
        <w:t xml:space="preserve">2017 estimated </w:t>
      </w:r>
      <w:r w:rsidRPr="003C71C3">
        <w:rPr>
          <w:i/>
        </w:rPr>
        <w:t>ex-post</w:t>
      </w:r>
      <w:r w:rsidRPr="002C4062">
        <w:t xml:space="preserve"> load impacts. First, only sub-LAP events </w:t>
      </w:r>
      <w:r w:rsidR="00116445">
        <w:t xml:space="preserve">were </w:t>
      </w:r>
      <w:r w:rsidRPr="002C4062">
        <w:t xml:space="preserve">called in 2018, which tend to </w:t>
      </w:r>
      <w:r w:rsidR="00DD3425" w:rsidRPr="002C4062">
        <w:t>yield</w:t>
      </w:r>
      <w:r w:rsidRPr="002C4062">
        <w:t xml:space="preserve"> </w:t>
      </w:r>
      <w:r w:rsidR="00EB684A" w:rsidRPr="002C4062">
        <w:t>smaller</w:t>
      </w:r>
      <w:r w:rsidRPr="002C4062">
        <w:t xml:space="preserve"> </w:t>
      </w:r>
      <w:r w:rsidR="00DD3425" w:rsidRPr="002C4062">
        <w:t xml:space="preserve">estimated </w:t>
      </w:r>
      <w:r w:rsidRPr="002C4062">
        <w:t xml:space="preserve">load impacts </w:t>
      </w:r>
      <w:r w:rsidR="00EB684A" w:rsidRPr="002C4062">
        <w:t xml:space="preserve">compared to </w:t>
      </w:r>
      <w:r w:rsidRPr="002C4062">
        <w:t>serial number even</w:t>
      </w:r>
      <w:r w:rsidR="00DD3425" w:rsidRPr="002C4062">
        <w:t>t</w:t>
      </w:r>
      <w:r w:rsidRPr="002C4062">
        <w:t>s</w:t>
      </w:r>
      <w:r w:rsidR="00DD3425" w:rsidRPr="002C4062">
        <w:t xml:space="preserve"> due to higher rates of</w:t>
      </w:r>
      <w:r w:rsidR="007E2AA2">
        <w:t xml:space="preserve"> commercial paging system issues or</w:t>
      </w:r>
      <w:r w:rsidR="00DD3425" w:rsidRPr="002C4062">
        <w:t xml:space="preserve"> equipment malfunction</w:t>
      </w:r>
      <w:r w:rsidR="00EB684A" w:rsidRPr="002C4062">
        <w:t xml:space="preserve"> associated with calling only a subset of PG&amp;E’s sub-LAP area</w:t>
      </w:r>
      <w:r w:rsidR="00CC0B53">
        <w:t>s</w:t>
      </w:r>
      <w:r w:rsidR="00DD3425" w:rsidRPr="002C4062">
        <w:t>.</w:t>
      </w:r>
      <w:r w:rsidR="00CC0B53">
        <w:rPr>
          <w:rStyle w:val="FootnoteReference"/>
        </w:rPr>
        <w:footnoteReference w:id="7"/>
      </w:r>
      <w:r w:rsidR="00DD3425" w:rsidRPr="002C4062">
        <w:t xml:space="preserve"> Moreover, serial number events are more representative of the load impacts that would be achieved from system-wide events. Second, there were six sub-LAPs that were not called in 2018, which makes it necessary to develop </w:t>
      </w:r>
      <w:r w:rsidR="00DD3425" w:rsidRPr="00C45175">
        <w:rPr>
          <w:i/>
        </w:rPr>
        <w:t>ex-ante</w:t>
      </w:r>
      <w:r w:rsidR="00DD3425" w:rsidRPr="002C4062">
        <w:t xml:space="preserve"> forecasts for these sub-LAPs from </w:t>
      </w:r>
      <w:r w:rsidR="008006D2">
        <w:t xml:space="preserve">the </w:t>
      </w:r>
      <w:r w:rsidR="00DD3425" w:rsidRPr="002C4062">
        <w:t xml:space="preserve">2017 estimated </w:t>
      </w:r>
      <w:r w:rsidR="00DD3425" w:rsidRPr="003C71C3">
        <w:rPr>
          <w:i/>
        </w:rPr>
        <w:t>ex-post</w:t>
      </w:r>
      <w:r w:rsidR="00DD3425" w:rsidRPr="002C4062">
        <w:t xml:space="preserve"> load impacts.</w:t>
      </w:r>
    </w:p>
    <w:p w14:paraId="5DD2C566" w14:textId="69B13FAB" w:rsidR="00F252A4" w:rsidRDefault="00F7426E" w:rsidP="00C55F02">
      <w:pPr>
        <w:spacing w:after="120"/>
      </w:pPr>
      <w:r>
        <w:t xml:space="preserve">In addition, we use 2017 load impacts that correspond to </w:t>
      </w:r>
      <w:r w:rsidR="00546AFB">
        <w:t>SmartAC™</w:t>
      </w:r>
      <w:r>
        <w:t xml:space="preserve">-only customers, consistent with how this analysis was done in the PY2017 report. To arrive at load impacts for dually enrolled customers, we apply a multiplicative factor of 0.85 based on our examination of the relationship between </w:t>
      </w:r>
      <w:r w:rsidR="00546AFB">
        <w:t>SmartAC™</w:t>
      </w:r>
      <w:r>
        <w:t xml:space="preserve">-only customers and dually enrolled customers during </w:t>
      </w:r>
      <w:r w:rsidR="00546AFB">
        <w:t>SmartAC™</w:t>
      </w:r>
      <w:r>
        <w:t xml:space="preserve">-only events in 2018. This is also consistent with the approach taken in PY2017. </w:t>
      </w:r>
      <w:r w:rsidR="00C70A9C">
        <w:t>Moreover, to account for dispatch issues with PGKN that are expected to continue into PY2019</w:t>
      </w:r>
      <w:r w:rsidR="009F5289">
        <w:t>, we apply a multiplicative factor of 0.05, which reconciles the average load impact for PGKN during sub-LAP events in PY2018 with results from PY2017.</w:t>
      </w:r>
    </w:p>
    <w:p w14:paraId="5D5C9893" w14:textId="2CA27F94" w:rsidR="007D49A1" w:rsidRPr="00DD3425" w:rsidRDefault="007D49A1" w:rsidP="00C55F02">
      <w:pPr>
        <w:spacing w:after="120"/>
      </w:pPr>
      <w:r>
        <w:t xml:space="preserve">The snapback in the three hours following the event (when the customer’s AC unit is running more than it would have in the absence of the event day to bring the home’s temperature back to the thermostat’s set point) is modeled as a share of the total event-hour load impact, by LCA. That is, larger </w:t>
      </w:r>
      <w:r w:rsidR="00E818FB">
        <w:t>e</w:t>
      </w:r>
      <w:r>
        <w:t>vent-hour load impact</w:t>
      </w:r>
      <w:r w:rsidR="00E818FB">
        <w:t>s are associated with higher post-event sn</w:t>
      </w:r>
      <w:r>
        <w:t>apback.</w:t>
      </w:r>
    </w:p>
    <w:p w14:paraId="35309099" w14:textId="178E77D6" w:rsidR="00132CE7" w:rsidRPr="00534BDA" w:rsidRDefault="000A688F" w:rsidP="00C55F02">
      <w:pPr>
        <w:spacing w:after="120"/>
        <w:rPr>
          <w:rFonts w:asciiTheme="minorHAnsi" w:hAnsiTheme="minorHAnsi"/>
        </w:rPr>
      </w:pPr>
      <w:r w:rsidRPr="00534BDA">
        <w:rPr>
          <w:rFonts w:asciiTheme="minorHAnsi" w:hAnsiTheme="minorHAnsi"/>
        </w:rPr>
        <w:t xml:space="preserve">As in all recent load impact evaluations, we present results of analyses of the relationship between current </w:t>
      </w:r>
      <w:r w:rsidRPr="00534BDA">
        <w:rPr>
          <w:rFonts w:asciiTheme="minorHAnsi" w:hAnsiTheme="minorHAnsi"/>
          <w:i/>
        </w:rPr>
        <w:t>ex-post</w:t>
      </w:r>
      <w:r w:rsidRPr="00534BDA">
        <w:rPr>
          <w:rFonts w:asciiTheme="minorHAnsi" w:hAnsiTheme="minorHAnsi"/>
        </w:rPr>
        <w:t xml:space="preserve"> and </w:t>
      </w:r>
      <w:r w:rsidRPr="00534BDA">
        <w:rPr>
          <w:rFonts w:asciiTheme="minorHAnsi" w:hAnsiTheme="minorHAnsi"/>
          <w:i/>
        </w:rPr>
        <w:t>ex-ante</w:t>
      </w:r>
      <w:r w:rsidRPr="00534BDA">
        <w:rPr>
          <w:rFonts w:asciiTheme="minorHAnsi" w:hAnsiTheme="minorHAnsi"/>
        </w:rPr>
        <w:t xml:space="preserve"> load impacts, focusing on key factors causing differences between them (</w:t>
      </w:r>
      <w:r w:rsidRPr="00534BDA">
        <w:rPr>
          <w:rFonts w:asciiTheme="minorHAnsi" w:hAnsiTheme="minorHAnsi"/>
          <w:i/>
        </w:rPr>
        <w:t>e.g.</w:t>
      </w:r>
      <w:r w:rsidR="008E5119" w:rsidRPr="00534BDA">
        <w:rPr>
          <w:rFonts w:asciiTheme="minorHAnsi" w:hAnsiTheme="minorHAnsi"/>
        </w:rPr>
        <w:t>,</w:t>
      </w:r>
      <w:r w:rsidRPr="00534BDA">
        <w:rPr>
          <w:rFonts w:asciiTheme="minorHAnsi" w:hAnsiTheme="minorHAnsi"/>
        </w:rPr>
        <w:t xml:space="preserve"> differences between observed temperatures in 201</w:t>
      </w:r>
      <w:r w:rsidR="00116445" w:rsidRPr="00534BDA">
        <w:rPr>
          <w:rFonts w:asciiTheme="minorHAnsi" w:hAnsiTheme="minorHAnsi"/>
        </w:rPr>
        <w:t>8</w:t>
      </w:r>
      <w:r w:rsidRPr="00534BDA">
        <w:rPr>
          <w:rFonts w:asciiTheme="minorHAnsi" w:hAnsiTheme="minorHAnsi"/>
        </w:rPr>
        <w:t xml:space="preserve"> and the temperatures in the various weather scenarios). We will also compare current and previous </w:t>
      </w:r>
      <w:r w:rsidRPr="00534BDA">
        <w:rPr>
          <w:rFonts w:asciiTheme="minorHAnsi" w:hAnsiTheme="minorHAnsi"/>
          <w:i/>
        </w:rPr>
        <w:t>ex-post</w:t>
      </w:r>
      <w:r w:rsidRPr="00534BDA">
        <w:rPr>
          <w:rFonts w:asciiTheme="minorHAnsi" w:hAnsiTheme="minorHAnsi"/>
        </w:rPr>
        <w:t xml:space="preserve"> load impacts, and current and previous </w:t>
      </w:r>
      <w:r w:rsidRPr="00534BDA">
        <w:rPr>
          <w:rFonts w:asciiTheme="minorHAnsi" w:hAnsiTheme="minorHAnsi"/>
          <w:i/>
        </w:rPr>
        <w:t>ex-ante</w:t>
      </w:r>
      <w:r w:rsidRPr="00534BDA">
        <w:rPr>
          <w:rFonts w:asciiTheme="minorHAnsi" w:hAnsiTheme="minorHAnsi"/>
        </w:rPr>
        <w:t xml:space="preserve"> load impacts.</w:t>
      </w:r>
      <w:r w:rsidR="00AA2C74" w:rsidRPr="00534BDA">
        <w:rPr>
          <w:rFonts w:asciiTheme="minorHAnsi" w:hAnsiTheme="minorHAnsi"/>
        </w:rPr>
        <w:t xml:space="preserve"> </w:t>
      </w:r>
    </w:p>
    <w:p w14:paraId="10EE375A" w14:textId="632545E5" w:rsidR="00DF67BF" w:rsidRPr="00DF67BF" w:rsidRDefault="00DF67BF" w:rsidP="002E7153">
      <w:pPr>
        <w:pStyle w:val="Heading1"/>
      </w:pPr>
      <w:bookmarkStart w:id="79" w:name="_Ref507146274"/>
      <w:bookmarkStart w:id="80" w:name="_Ref507146280"/>
      <w:bookmarkStart w:id="81" w:name="_Toc4578155"/>
      <w:r w:rsidRPr="00B43067">
        <w:rPr>
          <w:i/>
        </w:rPr>
        <w:t>Ex-Post</w:t>
      </w:r>
      <w:r w:rsidRPr="00DF67BF">
        <w:t xml:space="preserve"> Load Impacts</w:t>
      </w:r>
      <w:bookmarkEnd w:id="81"/>
    </w:p>
    <w:bookmarkEnd w:id="79"/>
    <w:bookmarkEnd w:id="80"/>
    <w:p w14:paraId="5E7AF598" w14:textId="18F92BBB" w:rsidR="00025EDD" w:rsidRDefault="00025EDD" w:rsidP="00025EDD">
      <w:r>
        <w:t xml:space="preserve">This section documents the findings from the </w:t>
      </w:r>
      <w:r w:rsidRPr="00E6482F">
        <w:rPr>
          <w:i/>
        </w:rPr>
        <w:t>ex-post</w:t>
      </w:r>
      <w:r>
        <w:t xml:space="preserve"> load impact analysis. The primary load impact results include estimates of</w:t>
      </w:r>
      <w:r w:rsidR="00C47AC3">
        <w:t xml:space="preserve"> the aggregate and per-customer event-hour load impacts</w:t>
      </w:r>
      <w:r>
        <w:t xml:space="preserve"> </w:t>
      </w:r>
      <w:r w:rsidR="00C47AC3">
        <w:t>for each event</w:t>
      </w:r>
      <w:r>
        <w:t xml:space="preserve">. </w:t>
      </w:r>
      <w:r w:rsidR="00C47AC3">
        <w:t xml:space="preserve">Due to the nature of sub-LAP events, where different sub-LAPs are called for different events and potentially different hours within the same event, we are not able to present results for the typical event day. Instead, we average the hourly load impacts across all potential event hours, or in some cases choose an illustrative event hour or event day. Our main findings are summarized </w:t>
      </w:r>
      <w:r>
        <w:t>in</w:t>
      </w:r>
      <w:r w:rsidR="00C47AC3">
        <w:t xml:space="preserve"> this section</w:t>
      </w:r>
      <w:r>
        <w:t xml:space="preserve"> </w:t>
      </w:r>
      <w:r w:rsidR="00C47AC3">
        <w:t xml:space="preserve">in various </w:t>
      </w:r>
      <w:r>
        <w:t>figures and data tables</w:t>
      </w:r>
      <w:r w:rsidR="00C47AC3">
        <w:t>, while d</w:t>
      </w:r>
      <w:r w:rsidRPr="00822514">
        <w:t>etailed results for each hour</w:t>
      </w:r>
      <w:r w:rsidR="00C47AC3">
        <w:t xml:space="preserve">, </w:t>
      </w:r>
      <w:r>
        <w:t>event</w:t>
      </w:r>
      <w:r w:rsidR="00C47AC3">
        <w:t>, and sub-LAP</w:t>
      </w:r>
      <w:r>
        <w:t xml:space="preserve"> are available </w:t>
      </w:r>
      <w:r w:rsidRPr="00822514">
        <w:t>in electronic form in Protocol table generators provided along with this report.</w:t>
      </w:r>
    </w:p>
    <w:p w14:paraId="2E2CB9E3" w14:textId="77777777" w:rsidR="00025EDD" w:rsidRDefault="00025EDD" w:rsidP="00025EDD"/>
    <w:p w14:paraId="77E7CCF1" w14:textId="00605E39" w:rsidR="00B23926" w:rsidRDefault="00025EDD" w:rsidP="00025EDD">
      <w:r>
        <w:t xml:space="preserve">As described in Section </w:t>
      </w:r>
      <w:r>
        <w:fldChar w:fldCharType="begin"/>
      </w:r>
      <w:r>
        <w:instrText xml:space="preserve"> REF _Ref506899729 \n \h </w:instrText>
      </w:r>
      <w:r>
        <w:fldChar w:fldCharType="separate"/>
      </w:r>
      <w:r w:rsidR="00445DF3">
        <w:t>2</w:t>
      </w:r>
      <w:r>
        <w:fldChar w:fldCharType="end"/>
      </w:r>
      <w:r>
        <w:t>, all results presented in this section are derived from panel fixed-effects regression analyses of hourly data for</w:t>
      </w:r>
      <w:r w:rsidR="00E0172E">
        <w:t xml:space="preserve"> </w:t>
      </w:r>
      <w:r w:rsidR="00546AFB">
        <w:t>SmartAC™</w:t>
      </w:r>
      <w:r>
        <w:t xml:space="preserve"> customers and a matched control group. </w:t>
      </w:r>
      <w:r w:rsidR="005356AE">
        <w:t>In addition to the controls described in</w:t>
      </w:r>
      <w:r w:rsidR="00F81838">
        <w:t xml:space="preserve"> the estimated model in</w:t>
      </w:r>
      <w:r w:rsidR="005356AE">
        <w:t xml:space="preserve"> Section </w:t>
      </w:r>
      <w:r w:rsidR="005356AE">
        <w:fldChar w:fldCharType="begin"/>
      </w:r>
      <w:r w:rsidR="005356AE">
        <w:instrText xml:space="preserve"> REF _Ref533708 \r \h </w:instrText>
      </w:r>
      <w:r w:rsidR="005356AE">
        <w:fldChar w:fldCharType="separate"/>
      </w:r>
      <w:r w:rsidR="00445DF3">
        <w:t>2.1.3</w:t>
      </w:r>
      <w:r w:rsidR="005356AE">
        <w:fldChar w:fldCharType="end"/>
      </w:r>
      <w:r w:rsidR="005356AE">
        <w:t>, we control for concurrent events that are called for SmartRate</w:t>
      </w:r>
      <w:r w:rsidR="0041218E">
        <w:rPr>
          <w:rFonts w:cs="Calibri"/>
        </w:rPr>
        <w:t>™</w:t>
      </w:r>
      <w:r w:rsidR="005356AE">
        <w:t xml:space="preserve"> by including separate indicators for customers who are dually enrolled in </w:t>
      </w:r>
      <w:r w:rsidR="00546AFB">
        <w:t>SmartAC™</w:t>
      </w:r>
      <w:r w:rsidR="005356AE">
        <w:t xml:space="preserve"> and SmartRate</w:t>
      </w:r>
      <w:r w:rsidR="0041218E">
        <w:rPr>
          <w:rFonts w:cs="Calibri"/>
        </w:rPr>
        <w:t>™</w:t>
      </w:r>
      <w:r w:rsidR="005356AE">
        <w:t xml:space="preserve"> (there were two concurrent events on </w:t>
      </w:r>
      <w:r w:rsidR="005418D8">
        <w:t xml:space="preserve">July </w:t>
      </w:r>
      <w:r w:rsidR="005356AE">
        <w:t>25</w:t>
      </w:r>
      <w:r w:rsidR="005418D8" w:rsidRPr="005418D8">
        <w:rPr>
          <w:vertAlign w:val="superscript"/>
        </w:rPr>
        <w:t>th</w:t>
      </w:r>
      <w:r w:rsidR="005418D8">
        <w:t xml:space="preserve"> </w:t>
      </w:r>
      <w:r w:rsidR="005356AE">
        <w:t xml:space="preserve">and </w:t>
      </w:r>
      <w:r w:rsidR="005418D8">
        <w:t>July 26</w:t>
      </w:r>
      <w:r w:rsidR="005418D8" w:rsidRPr="005418D8">
        <w:rPr>
          <w:vertAlign w:val="superscript"/>
        </w:rPr>
        <w:t>th</w:t>
      </w:r>
      <w:r w:rsidR="005356AE">
        <w:t>). Furthermore, we drop SmartRate</w:t>
      </w:r>
      <w:r w:rsidR="0041218E">
        <w:rPr>
          <w:rFonts w:cs="Calibri"/>
        </w:rPr>
        <w:t>™</w:t>
      </w:r>
      <w:r w:rsidR="009F5444">
        <w:t>-only</w:t>
      </w:r>
      <w:r w:rsidR="005356AE">
        <w:t xml:space="preserve"> events from the pool of </w:t>
      </w:r>
      <w:r w:rsidR="00546AFB">
        <w:t>SmartAC™</w:t>
      </w:r>
      <w:r w:rsidR="009F5444">
        <w:t xml:space="preserve"> </w:t>
      </w:r>
      <w:r w:rsidR="005356AE">
        <w:t>non-event days</w:t>
      </w:r>
      <w:r w:rsidR="00CC2434">
        <w:t xml:space="preserve"> to ensure that non-event loads are comparable between </w:t>
      </w:r>
      <w:r w:rsidR="00546AFB">
        <w:t>SmartAC™</w:t>
      </w:r>
      <w:r w:rsidR="00CC2434">
        <w:t xml:space="preserve"> customers and matched controls</w:t>
      </w:r>
      <w:r w:rsidR="00AE58A2">
        <w:t xml:space="preserve"> on all non-event days</w:t>
      </w:r>
      <w:r w:rsidR="009F5444">
        <w:t>.</w:t>
      </w:r>
    </w:p>
    <w:p w14:paraId="5FD7E2C9" w14:textId="577D48BF" w:rsidR="00A2663D" w:rsidRDefault="00A2663D" w:rsidP="002E7153">
      <w:pPr>
        <w:pStyle w:val="Heading2"/>
      </w:pPr>
      <w:bookmarkStart w:id="82" w:name="_Ref3800575"/>
      <w:bookmarkStart w:id="83" w:name="_Toc4578156"/>
      <w:r>
        <w:t>Control Group Matching Results</w:t>
      </w:r>
      <w:bookmarkEnd w:id="82"/>
      <w:bookmarkEnd w:id="83"/>
    </w:p>
    <w:p w14:paraId="512A6399" w14:textId="701DED1E" w:rsidR="00174148" w:rsidRDefault="005E33B6" w:rsidP="007F08B2">
      <w:pPr>
        <w:spacing w:after="120"/>
      </w:pPr>
      <w:r>
        <w:t xml:space="preserve">In this section, we present summaries of our control group matching process. </w:t>
      </w:r>
      <w:r w:rsidR="00174148" w:rsidRPr="004132DB">
        <w:rPr>
          <w:szCs w:val="32"/>
        </w:rPr>
        <w:t>Because we are employing a control-group approach, our validity assessment focus</w:t>
      </w:r>
      <w:r w:rsidR="00174148">
        <w:rPr>
          <w:szCs w:val="32"/>
        </w:rPr>
        <w:t>es</w:t>
      </w:r>
      <w:r w:rsidR="00174148" w:rsidRPr="004132DB">
        <w:rPr>
          <w:szCs w:val="32"/>
        </w:rPr>
        <w:t xml:space="preserve"> on comparisons of treatment and control-group loads for selected</w:t>
      </w:r>
      <w:r w:rsidR="00174148">
        <w:rPr>
          <w:szCs w:val="32"/>
        </w:rPr>
        <w:t xml:space="preserve"> event-like non-event days</w:t>
      </w:r>
      <w:r w:rsidR="00174148" w:rsidRPr="004132DB">
        <w:rPr>
          <w:szCs w:val="32"/>
        </w:rPr>
        <w:t>.</w:t>
      </w:r>
      <w:r w:rsidR="00174148">
        <w:rPr>
          <w:szCs w:val="32"/>
        </w:rPr>
        <w:t xml:space="preserve"> </w:t>
      </w:r>
      <w:r w:rsidR="00174148" w:rsidRPr="004132DB">
        <w:rPr>
          <w:szCs w:val="32"/>
        </w:rPr>
        <w:t xml:space="preserve">We </w:t>
      </w:r>
      <w:r w:rsidR="00174148">
        <w:rPr>
          <w:szCs w:val="32"/>
        </w:rPr>
        <w:t xml:space="preserve">also </w:t>
      </w:r>
      <w:r w:rsidR="00174148" w:rsidRPr="004132DB">
        <w:rPr>
          <w:szCs w:val="32"/>
        </w:rPr>
        <w:t xml:space="preserve">report statistics </w:t>
      </w:r>
      <w:r w:rsidR="00174148">
        <w:rPr>
          <w:szCs w:val="32"/>
        </w:rPr>
        <w:t>such as the</w:t>
      </w:r>
      <w:r w:rsidR="00174148" w:rsidRPr="004132DB">
        <w:rPr>
          <w:szCs w:val="32"/>
        </w:rPr>
        <w:t xml:space="preserve"> </w:t>
      </w:r>
      <w:r w:rsidR="00174148">
        <w:rPr>
          <w:szCs w:val="32"/>
        </w:rPr>
        <w:t>mean absolute percentage error (MAPE)</w:t>
      </w:r>
      <w:r w:rsidR="00174148" w:rsidRPr="004132DB">
        <w:rPr>
          <w:szCs w:val="32"/>
        </w:rPr>
        <w:t xml:space="preserve"> and me</w:t>
      </w:r>
      <w:r w:rsidR="00174148">
        <w:rPr>
          <w:szCs w:val="32"/>
        </w:rPr>
        <w:t>an</w:t>
      </w:r>
      <w:r w:rsidR="00174148" w:rsidRPr="004132DB">
        <w:rPr>
          <w:szCs w:val="32"/>
        </w:rPr>
        <w:t xml:space="preserve"> percent error</w:t>
      </w:r>
      <w:r w:rsidR="00174148">
        <w:rPr>
          <w:szCs w:val="32"/>
        </w:rPr>
        <w:t xml:space="preserve"> (MPE)</w:t>
      </w:r>
      <w:r w:rsidR="00174148" w:rsidRPr="004132DB">
        <w:rPr>
          <w:szCs w:val="32"/>
        </w:rPr>
        <w:t xml:space="preserve">, which provide </w:t>
      </w:r>
      <w:r w:rsidR="00174148">
        <w:rPr>
          <w:szCs w:val="32"/>
        </w:rPr>
        <w:t>measures of accuracy and bias in the matches, respectively.</w:t>
      </w:r>
      <w:r w:rsidR="00174148">
        <w:rPr>
          <w:rStyle w:val="FootnoteReference"/>
          <w:szCs w:val="32"/>
        </w:rPr>
        <w:footnoteReference w:id="8"/>
      </w:r>
    </w:p>
    <w:p w14:paraId="2CD93ACF" w14:textId="08080734" w:rsidR="00174148" w:rsidRDefault="00C5114F" w:rsidP="007F08B2">
      <w:pPr>
        <w:spacing w:after="120"/>
        <w:rPr>
          <w:rFonts w:ascii="Times New Roman" w:hAnsi="Times New Roman"/>
          <w:sz w:val="20"/>
          <w:szCs w:val="20"/>
        </w:rPr>
      </w:pPr>
      <w:r>
        <w:fldChar w:fldCharType="begin"/>
      </w:r>
      <w:r>
        <w:instrText xml:space="preserve"> REF _Ref1999866 \h </w:instrText>
      </w:r>
      <w:r>
        <w:fldChar w:fldCharType="separate"/>
      </w:r>
      <w:r w:rsidR="00445DF3">
        <w:t xml:space="preserve">Table </w:t>
      </w:r>
      <w:r w:rsidR="00445DF3">
        <w:rPr>
          <w:noProof/>
        </w:rPr>
        <w:t>3</w:t>
      </w:r>
      <w:r w:rsidR="00445DF3">
        <w:noBreakHyphen/>
      </w:r>
      <w:r w:rsidR="00445DF3">
        <w:rPr>
          <w:noProof/>
        </w:rPr>
        <w:t>1</w:t>
      </w:r>
      <w:r>
        <w:fldChar w:fldCharType="end"/>
      </w:r>
      <w:r w:rsidR="00174148">
        <w:t xml:space="preserve"> provides</w:t>
      </w:r>
      <w:r>
        <w:t xml:space="preserve"> </w:t>
      </w:r>
      <w:r w:rsidR="00174148">
        <w:t xml:space="preserve">the mean percentage error (MPE) and mean absolute percentage error (MAPE) calculated across the average 24-hour load profile as well over the </w:t>
      </w:r>
      <w:r>
        <w:t>RA</w:t>
      </w:r>
      <w:r w:rsidR="00174148">
        <w:t xml:space="preserve"> window.</w:t>
      </w:r>
      <w:r>
        <w:t xml:space="preserve"> We evaluate match quality based on the two 24-hour load profiles that we used in matching. The first corresponds to the average load profile over the hottest 10 percent of event-like non-event days, while the second corresponds to a random sample of cooler days taken from the middle 50 percent of days based on temperature. We also evaluate the match quality of </w:t>
      </w:r>
      <w:r w:rsidR="00F81838">
        <w:t xml:space="preserve">the </w:t>
      </w:r>
      <w:r>
        <w:t xml:space="preserve">cooler days that were not </w:t>
      </w:r>
      <w:r w:rsidR="00F81838">
        <w:t xml:space="preserve">sampled for </w:t>
      </w:r>
      <w:r>
        <w:t>use in matching, which helps assess whether there is good match quality on out</w:t>
      </w:r>
      <w:r w:rsidR="007F1C38">
        <w:t>-</w:t>
      </w:r>
      <w:r>
        <w:t>of</w:t>
      </w:r>
      <w:r w:rsidR="007F1C38">
        <w:t>-</w:t>
      </w:r>
      <w:r>
        <w:t>sample days.</w:t>
      </w:r>
      <w:r w:rsidR="000A3DB1">
        <w:t xml:space="preserve"> Additional results by sub-LAP are presented in Appendix A.</w:t>
      </w:r>
    </w:p>
    <w:p w14:paraId="60EC1374" w14:textId="1BF00A2F" w:rsidR="00C5114F" w:rsidRDefault="00C5114F" w:rsidP="00C5114F">
      <w:pPr>
        <w:pStyle w:val="TableCaption"/>
      </w:pPr>
      <w:bookmarkStart w:id="84" w:name="_Ref1999866"/>
      <w:bookmarkStart w:id="85" w:name="_Toc4578176"/>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3</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1</w:t>
      </w:r>
      <w:r w:rsidR="005D5F52">
        <w:rPr>
          <w:noProof/>
        </w:rPr>
        <w:fldChar w:fldCharType="end"/>
      </w:r>
      <w:bookmarkEnd w:id="84"/>
      <w:r>
        <w:t>: Match Quality Statistics</w:t>
      </w:r>
      <w:bookmarkEnd w:id="85"/>
    </w:p>
    <w:tbl>
      <w:tblPr>
        <w:tblW w:w="6942" w:type="dxa"/>
        <w:jc w:val="center"/>
        <w:tblLook w:val="04A0" w:firstRow="1" w:lastRow="0" w:firstColumn="1" w:lastColumn="0" w:noHBand="0" w:noVBand="1"/>
      </w:tblPr>
      <w:tblGrid>
        <w:gridCol w:w="2520"/>
        <w:gridCol w:w="990"/>
        <w:gridCol w:w="1080"/>
        <w:gridCol w:w="1207"/>
        <w:gridCol w:w="1145"/>
      </w:tblGrid>
      <w:tr w:rsidR="00534BDA" w:rsidRPr="00534BDA" w14:paraId="555E36F9" w14:textId="77777777" w:rsidTr="00534BDA">
        <w:trPr>
          <w:trHeight w:val="600"/>
          <w:jc w:val="center"/>
        </w:trPr>
        <w:tc>
          <w:tcPr>
            <w:tcW w:w="2520" w:type="dxa"/>
            <w:tcBorders>
              <w:top w:val="single" w:sz="8" w:space="0" w:color="auto"/>
              <w:left w:val="single" w:sz="8" w:space="0" w:color="auto"/>
              <w:bottom w:val="single" w:sz="4" w:space="0" w:color="auto"/>
              <w:right w:val="single" w:sz="4" w:space="0" w:color="FFFFFF"/>
            </w:tcBorders>
            <w:shd w:val="clear" w:color="000000" w:fill="0C2577"/>
            <w:noWrap/>
            <w:vAlign w:val="center"/>
            <w:hideMark/>
          </w:tcPr>
          <w:p w14:paraId="45B54712" w14:textId="77777777" w:rsidR="00534BDA" w:rsidRPr="00534BDA" w:rsidRDefault="00534BDA" w:rsidP="00534BDA">
            <w:pPr>
              <w:jc w:val="center"/>
              <w:rPr>
                <w:rFonts w:cs="Calibri"/>
                <w:b/>
                <w:bCs/>
                <w:color w:val="FFFFFF"/>
                <w:sz w:val="22"/>
                <w:szCs w:val="22"/>
              </w:rPr>
            </w:pPr>
            <w:r w:rsidRPr="00534BDA">
              <w:rPr>
                <w:rFonts w:cs="Calibri"/>
                <w:b/>
                <w:bCs/>
                <w:color w:val="FFFFFF"/>
                <w:sz w:val="22"/>
                <w:szCs w:val="22"/>
              </w:rPr>
              <w:t>Comparison Days</w:t>
            </w:r>
          </w:p>
        </w:tc>
        <w:tc>
          <w:tcPr>
            <w:tcW w:w="990" w:type="dxa"/>
            <w:tcBorders>
              <w:top w:val="single" w:sz="8" w:space="0" w:color="auto"/>
              <w:left w:val="nil"/>
              <w:bottom w:val="single" w:sz="4" w:space="0" w:color="auto"/>
              <w:right w:val="single" w:sz="4" w:space="0" w:color="FFFFFF"/>
            </w:tcBorders>
            <w:shd w:val="clear" w:color="000000" w:fill="0C2577"/>
            <w:noWrap/>
            <w:vAlign w:val="center"/>
            <w:hideMark/>
          </w:tcPr>
          <w:p w14:paraId="5674690F" w14:textId="77777777" w:rsidR="00534BDA" w:rsidRPr="00534BDA" w:rsidRDefault="00534BDA" w:rsidP="00534BDA">
            <w:pPr>
              <w:jc w:val="center"/>
              <w:rPr>
                <w:rFonts w:cs="Calibri"/>
                <w:b/>
                <w:bCs/>
                <w:color w:val="FFFFFF"/>
                <w:sz w:val="22"/>
                <w:szCs w:val="22"/>
              </w:rPr>
            </w:pPr>
            <w:r w:rsidRPr="00534BDA">
              <w:rPr>
                <w:rFonts w:cs="Calibri"/>
                <w:b/>
                <w:bCs/>
                <w:color w:val="FFFFFF"/>
                <w:sz w:val="22"/>
                <w:szCs w:val="22"/>
              </w:rPr>
              <w:t>MPE</w:t>
            </w:r>
          </w:p>
        </w:tc>
        <w:tc>
          <w:tcPr>
            <w:tcW w:w="1080" w:type="dxa"/>
            <w:tcBorders>
              <w:top w:val="single" w:sz="8" w:space="0" w:color="auto"/>
              <w:left w:val="nil"/>
              <w:bottom w:val="single" w:sz="4" w:space="0" w:color="auto"/>
              <w:right w:val="single" w:sz="4" w:space="0" w:color="FFFFFF"/>
            </w:tcBorders>
            <w:shd w:val="clear" w:color="000000" w:fill="0C2577"/>
            <w:noWrap/>
            <w:vAlign w:val="center"/>
            <w:hideMark/>
          </w:tcPr>
          <w:p w14:paraId="4AEF5764" w14:textId="77777777" w:rsidR="00534BDA" w:rsidRPr="00534BDA" w:rsidRDefault="00534BDA" w:rsidP="00534BDA">
            <w:pPr>
              <w:jc w:val="center"/>
              <w:rPr>
                <w:rFonts w:cs="Calibri"/>
                <w:b/>
                <w:bCs/>
                <w:color w:val="FFFFFF"/>
                <w:sz w:val="22"/>
                <w:szCs w:val="22"/>
              </w:rPr>
            </w:pPr>
            <w:r w:rsidRPr="00534BDA">
              <w:rPr>
                <w:rFonts w:cs="Calibri"/>
                <w:b/>
                <w:bCs/>
                <w:color w:val="FFFFFF"/>
                <w:sz w:val="22"/>
                <w:szCs w:val="22"/>
              </w:rPr>
              <w:t>MAPE</w:t>
            </w:r>
          </w:p>
        </w:tc>
        <w:tc>
          <w:tcPr>
            <w:tcW w:w="1207" w:type="dxa"/>
            <w:tcBorders>
              <w:top w:val="single" w:sz="8" w:space="0" w:color="auto"/>
              <w:left w:val="nil"/>
              <w:bottom w:val="single" w:sz="4" w:space="0" w:color="auto"/>
              <w:right w:val="single" w:sz="4" w:space="0" w:color="FFFFFF"/>
            </w:tcBorders>
            <w:shd w:val="clear" w:color="000000" w:fill="0C2577"/>
            <w:vAlign w:val="center"/>
            <w:hideMark/>
          </w:tcPr>
          <w:p w14:paraId="5AF8633B" w14:textId="77777777" w:rsidR="00534BDA" w:rsidRPr="00534BDA" w:rsidRDefault="00534BDA" w:rsidP="00534BDA">
            <w:pPr>
              <w:jc w:val="center"/>
              <w:rPr>
                <w:rFonts w:cs="Calibri"/>
                <w:b/>
                <w:bCs/>
                <w:color w:val="FFFFFF"/>
                <w:sz w:val="22"/>
                <w:szCs w:val="22"/>
              </w:rPr>
            </w:pPr>
            <w:r w:rsidRPr="00534BDA">
              <w:rPr>
                <w:rFonts w:cs="Calibri"/>
                <w:b/>
                <w:bCs/>
                <w:color w:val="FFFFFF"/>
                <w:sz w:val="22"/>
                <w:szCs w:val="22"/>
              </w:rPr>
              <w:t>MPE RA Window</w:t>
            </w:r>
          </w:p>
        </w:tc>
        <w:tc>
          <w:tcPr>
            <w:tcW w:w="1145" w:type="dxa"/>
            <w:tcBorders>
              <w:top w:val="single" w:sz="8" w:space="0" w:color="auto"/>
              <w:left w:val="nil"/>
              <w:bottom w:val="nil"/>
              <w:right w:val="single" w:sz="8" w:space="0" w:color="auto"/>
            </w:tcBorders>
            <w:shd w:val="clear" w:color="000000" w:fill="0C2577"/>
            <w:vAlign w:val="center"/>
            <w:hideMark/>
          </w:tcPr>
          <w:p w14:paraId="0603A85A" w14:textId="77777777" w:rsidR="00534BDA" w:rsidRPr="00534BDA" w:rsidRDefault="00534BDA" w:rsidP="00534BDA">
            <w:pPr>
              <w:jc w:val="center"/>
              <w:rPr>
                <w:rFonts w:cs="Calibri"/>
                <w:b/>
                <w:bCs/>
                <w:color w:val="FFFFFF"/>
                <w:sz w:val="22"/>
                <w:szCs w:val="22"/>
              </w:rPr>
            </w:pPr>
            <w:r w:rsidRPr="00534BDA">
              <w:rPr>
                <w:rFonts w:cs="Calibri"/>
                <w:b/>
                <w:bCs/>
                <w:color w:val="FFFFFF"/>
                <w:sz w:val="22"/>
                <w:szCs w:val="22"/>
              </w:rPr>
              <w:t>MAPE RA Window</w:t>
            </w:r>
          </w:p>
        </w:tc>
      </w:tr>
      <w:tr w:rsidR="00534BDA" w:rsidRPr="00534BDA" w14:paraId="1D3A4213" w14:textId="77777777" w:rsidTr="00534BD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1A6FC3BA" w14:textId="77777777" w:rsidR="00534BDA" w:rsidRPr="00534BDA" w:rsidRDefault="00534BDA" w:rsidP="00534BDA">
            <w:pPr>
              <w:rPr>
                <w:rFonts w:cs="Calibri"/>
                <w:color w:val="000000"/>
                <w:sz w:val="22"/>
                <w:szCs w:val="22"/>
              </w:rPr>
            </w:pPr>
            <w:r w:rsidRPr="00534BDA">
              <w:rPr>
                <w:rFonts w:cs="Calibri"/>
                <w:color w:val="000000"/>
                <w:sz w:val="22"/>
                <w:szCs w:val="22"/>
              </w:rPr>
              <w:t>Hot Days</w:t>
            </w:r>
          </w:p>
        </w:tc>
        <w:tc>
          <w:tcPr>
            <w:tcW w:w="990" w:type="dxa"/>
            <w:tcBorders>
              <w:top w:val="nil"/>
              <w:left w:val="nil"/>
              <w:bottom w:val="single" w:sz="4" w:space="0" w:color="auto"/>
              <w:right w:val="single" w:sz="4" w:space="0" w:color="auto"/>
            </w:tcBorders>
            <w:shd w:val="clear" w:color="auto" w:fill="auto"/>
            <w:noWrap/>
            <w:vAlign w:val="center"/>
            <w:hideMark/>
          </w:tcPr>
          <w:p w14:paraId="4CB4852B" w14:textId="77777777" w:rsidR="00534BDA" w:rsidRPr="00534BDA" w:rsidRDefault="00534BDA" w:rsidP="00534BDA">
            <w:pPr>
              <w:jc w:val="right"/>
              <w:rPr>
                <w:rFonts w:cs="Calibri"/>
                <w:color w:val="000000"/>
                <w:sz w:val="22"/>
                <w:szCs w:val="22"/>
              </w:rPr>
            </w:pPr>
            <w:r w:rsidRPr="00534BDA">
              <w:rPr>
                <w:rFonts w:cs="Calibri"/>
                <w:color w:val="000000"/>
                <w:sz w:val="22"/>
                <w:szCs w:val="22"/>
              </w:rPr>
              <w:t>0.63%</w:t>
            </w:r>
          </w:p>
        </w:tc>
        <w:tc>
          <w:tcPr>
            <w:tcW w:w="1080" w:type="dxa"/>
            <w:tcBorders>
              <w:top w:val="nil"/>
              <w:left w:val="nil"/>
              <w:bottom w:val="single" w:sz="4" w:space="0" w:color="auto"/>
              <w:right w:val="single" w:sz="4" w:space="0" w:color="auto"/>
            </w:tcBorders>
            <w:shd w:val="clear" w:color="auto" w:fill="auto"/>
            <w:noWrap/>
            <w:vAlign w:val="center"/>
            <w:hideMark/>
          </w:tcPr>
          <w:p w14:paraId="4465B137" w14:textId="77777777" w:rsidR="00534BDA" w:rsidRPr="00534BDA" w:rsidRDefault="00534BDA" w:rsidP="00534BDA">
            <w:pPr>
              <w:jc w:val="right"/>
              <w:rPr>
                <w:rFonts w:cs="Calibri"/>
                <w:color w:val="000000"/>
                <w:sz w:val="22"/>
                <w:szCs w:val="22"/>
              </w:rPr>
            </w:pPr>
            <w:r w:rsidRPr="00534BDA">
              <w:rPr>
                <w:rFonts w:cs="Calibri"/>
                <w:color w:val="000000"/>
                <w:sz w:val="22"/>
                <w:szCs w:val="22"/>
              </w:rPr>
              <w:t>0.63%</w:t>
            </w:r>
          </w:p>
        </w:tc>
        <w:tc>
          <w:tcPr>
            <w:tcW w:w="1207" w:type="dxa"/>
            <w:tcBorders>
              <w:top w:val="nil"/>
              <w:left w:val="nil"/>
              <w:bottom w:val="single" w:sz="4" w:space="0" w:color="auto"/>
              <w:right w:val="single" w:sz="4" w:space="0" w:color="auto"/>
            </w:tcBorders>
            <w:shd w:val="clear" w:color="auto" w:fill="auto"/>
            <w:noWrap/>
            <w:vAlign w:val="center"/>
            <w:hideMark/>
          </w:tcPr>
          <w:p w14:paraId="0C4C68B8" w14:textId="77777777" w:rsidR="00534BDA" w:rsidRPr="00534BDA" w:rsidRDefault="00534BDA" w:rsidP="00534BDA">
            <w:pPr>
              <w:jc w:val="right"/>
              <w:rPr>
                <w:rFonts w:cs="Calibri"/>
                <w:color w:val="000000"/>
                <w:sz w:val="22"/>
                <w:szCs w:val="22"/>
              </w:rPr>
            </w:pPr>
            <w:r w:rsidRPr="00534BDA">
              <w:rPr>
                <w:rFonts w:cs="Calibri"/>
                <w:color w:val="000000"/>
                <w:sz w:val="22"/>
                <w:szCs w:val="22"/>
              </w:rPr>
              <w:t>0.60%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6A5A173C" w14:textId="77777777" w:rsidR="00534BDA" w:rsidRPr="00534BDA" w:rsidRDefault="00534BDA" w:rsidP="00534BDA">
            <w:pPr>
              <w:jc w:val="right"/>
              <w:rPr>
                <w:rFonts w:cs="Calibri"/>
                <w:color w:val="000000"/>
                <w:sz w:val="22"/>
                <w:szCs w:val="22"/>
              </w:rPr>
            </w:pPr>
            <w:r w:rsidRPr="00534BDA">
              <w:rPr>
                <w:rFonts w:cs="Calibri"/>
                <w:color w:val="000000"/>
                <w:sz w:val="22"/>
                <w:szCs w:val="22"/>
              </w:rPr>
              <w:t>0.60%</w:t>
            </w:r>
          </w:p>
        </w:tc>
      </w:tr>
      <w:tr w:rsidR="00534BDA" w:rsidRPr="00534BDA" w14:paraId="6994DDC3" w14:textId="77777777" w:rsidTr="00534BD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5F058E3E" w14:textId="77777777" w:rsidR="00534BDA" w:rsidRPr="00534BDA" w:rsidRDefault="00534BDA" w:rsidP="00534BDA">
            <w:pPr>
              <w:rPr>
                <w:rFonts w:cs="Calibri"/>
                <w:color w:val="000000"/>
                <w:sz w:val="22"/>
                <w:szCs w:val="22"/>
              </w:rPr>
            </w:pPr>
            <w:r w:rsidRPr="00534BDA">
              <w:rPr>
                <w:rFonts w:cs="Calibri"/>
                <w:color w:val="000000"/>
                <w:sz w:val="22"/>
                <w:szCs w:val="22"/>
              </w:rPr>
              <w:t>Cool Days</w:t>
            </w:r>
          </w:p>
        </w:tc>
        <w:tc>
          <w:tcPr>
            <w:tcW w:w="990" w:type="dxa"/>
            <w:tcBorders>
              <w:top w:val="nil"/>
              <w:left w:val="nil"/>
              <w:bottom w:val="single" w:sz="4" w:space="0" w:color="auto"/>
              <w:right w:val="single" w:sz="4" w:space="0" w:color="auto"/>
            </w:tcBorders>
            <w:shd w:val="clear" w:color="auto" w:fill="auto"/>
            <w:noWrap/>
            <w:vAlign w:val="center"/>
            <w:hideMark/>
          </w:tcPr>
          <w:p w14:paraId="732EDB54" w14:textId="77777777" w:rsidR="00534BDA" w:rsidRPr="00534BDA" w:rsidRDefault="00534BDA" w:rsidP="00534BDA">
            <w:pPr>
              <w:jc w:val="right"/>
              <w:rPr>
                <w:rFonts w:cs="Calibri"/>
                <w:color w:val="000000"/>
                <w:sz w:val="22"/>
                <w:szCs w:val="22"/>
              </w:rPr>
            </w:pPr>
            <w:r w:rsidRPr="00534BDA">
              <w:rPr>
                <w:rFonts w:cs="Calibri"/>
                <w:color w:val="000000"/>
                <w:sz w:val="22"/>
                <w:szCs w:val="22"/>
              </w:rPr>
              <w:t>0.57%</w:t>
            </w:r>
          </w:p>
        </w:tc>
        <w:tc>
          <w:tcPr>
            <w:tcW w:w="1080" w:type="dxa"/>
            <w:tcBorders>
              <w:top w:val="nil"/>
              <w:left w:val="nil"/>
              <w:bottom w:val="single" w:sz="4" w:space="0" w:color="auto"/>
              <w:right w:val="single" w:sz="4" w:space="0" w:color="auto"/>
            </w:tcBorders>
            <w:shd w:val="clear" w:color="auto" w:fill="auto"/>
            <w:noWrap/>
            <w:vAlign w:val="center"/>
            <w:hideMark/>
          </w:tcPr>
          <w:p w14:paraId="67A11A8D" w14:textId="77777777" w:rsidR="00534BDA" w:rsidRPr="00534BDA" w:rsidRDefault="00534BDA" w:rsidP="00534BDA">
            <w:pPr>
              <w:jc w:val="right"/>
              <w:rPr>
                <w:rFonts w:cs="Calibri"/>
                <w:color w:val="000000"/>
                <w:sz w:val="22"/>
                <w:szCs w:val="22"/>
              </w:rPr>
            </w:pPr>
            <w:r w:rsidRPr="00534BDA">
              <w:rPr>
                <w:rFonts w:cs="Calibri"/>
                <w:color w:val="000000"/>
                <w:sz w:val="22"/>
                <w:szCs w:val="22"/>
              </w:rPr>
              <w:t>0.57%</w:t>
            </w:r>
          </w:p>
        </w:tc>
        <w:tc>
          <w:tcPr>
            <w:tcW w:w="1207" w:type="dxa"/>
            <w:tcBorders>
              <w:top w:val="nil"/>
              <w:left w:val="nil"/>
              <w:bottom w:val="single" w:sz="4" w:space="0" w:color="auto"/>
              <w:right w:val="single" w:sz="4" w:space="0" w:color="auto"/>
            </w:tcBorders>
            <w:shd w:val="clear" w:color="auto" w:fill="auto"/>
            <w:noWrap/>
            <w:vAlign w:val="center"/>
            <w:hideMark/>
          </w:tcPr>
          <w:p w14:paraId="2A8488F0" w14:textId="77777777" w:rsidR="00534BDA" w:rsidRPr="00534BDA" w:rsidRDefault="00534BDA" w:rsidP="00534BDA">
            <w:pPr>
              <w:jc w:val="right"/>
              <w:rPr>
                <w:rFonts w:cs="Calibri"/>
                <w:color w:val="000000"/>
                <w:sz w:val="22"/>
                <w:szCs w:val="22"/>
              </w:rPr>
            </w:pPr>
            <w:r w:rsidRPr="00534BDA">
              <w:rPr>
                <w:rFonts w:cs="Calibri"/>
                <w:color w:val="000000"/>
                <w:sz w:val="22"/>
                <w:szCs w:val="22"/>
              </w:rPr>
              <w:t>0.77%</w:t>
            </w:r>
          </w:p>
        </w:tc>
        <w:tc>
          <w:tcPr>
            <w:tcW w:w="1145" w:type="dxa"/>
            <w:tcBorders>
              <w:top w:val="nil"/>
              <w:left w:val="nil"/>
              <w:bottom w:val="single" w:sz="4" w:space="0" w:color="auto"/>
              <w:right w:val="single" w:sz="4" w:space="0" w:color="auto"/>
            </w:tcBorders>
            <w:shd w:val="clear" w:color="auto" w:fill="auto"/>
            <w:noWrap/>
            <w:vAlign w:val="center"/>
            <w:hideMark/>
          </w:tcPr>
          <w:p w14:paraId="39862060" w14:textId="77777777" w:rsidR="00534BDA" w:rsidRPr="00534BDA" w:rsidRDefault="00534BDA" w:rsidP="00534BDA">
            <w:pPr>
              <w:jc w:val="right"/>
              <w:rPr>
                <w:rFonts w:cs="Calibri"/>
                <w:color w:val="000000"/>
                <w:sz w:val="22"/>
                <w:szCs w:val="22"/>
              </w:rPr>
            </w:pPr>
            <w:r w:rsidRPr="00534BDA">
              <w:rPr>
                <w:rFonts w:cs="Calibri"/>
                <w:color w:val="000000"/>
                <w:sz w:val="22"/>
                <w:szCs w:val="22"/>
              </w:rPr>
              <w:t>0.77%</w:t>
            </w:r>
          </w:p>
        </w:tc>
      </w:tr>
      <w:tr w:rsidR="00534BDA" w:rsidRPr="00534BDA" w14:paraId="28E6C848" w14:textId="77777777" w:rsidTr="00534BD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0F0C6858" w14:textId="77777777" w:rsidR="00534BDA" w:rsidRPr="00534BDA" w:rsidRDefault="00534BDA" w:rsidP="00534BDA">
            <w:pPr>
              <w:rPr>
                <w:rFonts w:cs="Calibri"/>
                <w:color w:val="000000"/>
                <w:sz w:val="22"/>
                <w:szCs w:val="22"/>
              </w:rPr>
            </w:pPr>
            <w:r w:rsidRPr="00534BDA">
              <w:rPr>
                <w:rFonts w:cs="Calibri"/>
                <w:color w:val="000000"/>
                <w:sz w:val="22"/>
                <w:szCs w:val="22"/>
              </w:rPr>
              <w:t>Non-Matching Cool Days</w:t>
            </w:r>
          </w:p>
        </w:tc>
        <w:tc>
          <w:tcPr>
            <w:tcW w:w="990" w:type="dxa"/>
            <w:tcBorders>
              <w:top w:val="nil"/>
              <w:left w:val="nil"/>
              <w:bottom w:val="single" w:sz="4" w:space="0" w:color="auto"/>
              <w:right w:val="single" w:sz="4" w:space="0" w:color="auto"/>
            </w:tcBorders>
            <w:shd w:val="clear" w:color="auto" w:fill="auto"/>
            <w:noWrap/>
            <w:vAlign w:val="center"/>
            <w:hideMark/>
          </w:tcPr>
          <w:p w14:paraId="6A0BBE06" w14:textId="77777777" w:rsidR="00534BDA" w:rsidRPr="00534BDA" w:rsidRDefault="00534BDA" w:rsidP="00534BDA">
            <w:pPr>
              <w:jc w:val="right"/>
              <w:rPr>
                <w:rFonts w:cs="Calibri"/>
                <w:color w:val="000000"/>
                <w:sz w:val="22"/>
                <w:szCs w:val="22"/>
              </w:rPr>
            </w:pPr>
            <w:r w:rsidRPr="00534BDA">
              <w:rPr>
                <w:rFonts w:cs="Calibri"/>
                <w:color w:val="000000"/>
                <w:sz w:val="22"/>
                <w:szCs w:val="22"/>
              </w:rPr>
              <w:t>0.72%</w:t>
            </w:r>
          </w:p>
        </w:tc>
        <w:tc>
          <w:tcPr>
            <w:tcW w:w="1080" w:type="dxa"/>
            <w:tcBorders>
              <w:top w:val="nil"/>
              <w:left w:val="nil"/>
              <w:bottom w:val="single" w:sz="4" w:space="0" w:color="auto"/>
              <w:right w:val="single" w:sz="4" w:space="0" w:color="auto"/>
            </w:tcBorders>
            <w:shd w:val="clear" w:color="auto" w:fill="auto"/>
            <w:noWrap/>
            <w:vAlign w:val="center"/>
            <w:hideMark/>
          </w:tcPr>
          <w:p w14:paraId="5F85E603" w14:textId="77777777" w:rsidR="00534BDA" w:rsidRPr="00534BDA" w:rsidRDefault="00534BDA" w:rsidP="00534BDA">
            <w:pPr>
              <w:jc w:val="right"/>
              <w:rPr>
                <w:rFonts w:cs="Calibri"/>
                <w:color w:val="000000"/>
                <w:sz w:val="22"/>
                <w:szCs w:val="22"/>
              </w:rPr>
            </w:pPr>
            <w:r w:rsidRPr="00534BDA">
              <w:rPr>
                <w:rFonts w:cs="Calibri"/>
                <w:color w:val="000000"/>
                <w:sz w:val="22"/>
                <w:szCs w:val="22"/>
              </w:rPr>
              <w:t>0.72%</w:t>
            </w:r>
          </w:p>
        </w:tc>
        <w:tc>
          <w:tcPr>
            <w:tcW w:w="1207" w:type="dxa"/>
            <w:tcBorders>
              <w:top w:val="nil"/>
              <w:left w:val="nil"/>
              <w:bottom w:val="single" w:sz="4" w:space="0" w:color="auto"/>
              <w:right w:val="single" w:sz="4" w:space="0" w:color="auto"/>
            </w:tcBorders>
            <w:shd w:val="clear" w:color="auto" w:fill="auto"/>
            <w:noWrap/>
            <w:vAlign w:val="center"/>
            <w:hideMark/>
          </w:tcPr>
          <w:p w14:paraId="2ED5E844" w14:textId="77777777" w:rsidR="00534BDA" w:rsidRPr="00534BDA" w:rsidRDefault="00534BDA" w:rsidP="00534BDA">
            <w:pPr>
              <w:jc w:val="right"/>
              <w:rPr>
                <w:rFonts w:cs="Calibri"/>
                <w:color w:val="000000"/>
                <w:sz w:val="22"/>
                <w:szCs w:val="22"/>
              </w:rPr>
            </w:pPr>
            <w:r w:rsidRPr="00534BDA">
              <w:rPr>
                <w:rFonts w:cs="Calibri"/>
                <w:color w:val="000000"/>
                <w:sz w:val="22"/>
                <w:szCs w:val="22"/>
              </w:rPr>
              <w:t>1.37%</w:t>
            </w:r>
          </w:p>
        </w:tc>
        <w:tc>
          <w:tcPr>
            <w:tcW w:w="1145" w:type="dxa"/>
            <w:tcBorders>
              <w:top w:val="nil"/>
              <w:left w:val="nil"/>
              <w:bottom w:val="single" w:sz="4" w:space="0" w:color="auto"/>
              <w:right w:val="single" w:sz="4" w:space="0" w:color="auto"/>
            </w:tcBorders>
            <w:shd w:val="clear" w:color="auto" w:fill="auto"/>
            <w:noWrap/>
            <w:vAlign w:val="center"/>
            <w:hideMark/>
          </w:tcPr>
          <w:p w14:paraId="5F3C571C" w14:textId="77777777" w:rsidR="00534BDA" w:rsidRPr="00534BDA" w:rsidRDefault="00534BDA" w:rsidP="00534BDA">
            <w:pPr>
              <w:jc w:val="right"/>
              <w:rPr>
                <w:rFonts w:cs="Calibri"/>
                <w:color w:val="000000"/>
                <w:sz w:val="22"/>
                <w:szCs w:val="22"/>
              </w:rPr>
            </w:pPr>
            <w:r w:rsidRPr="00534BDA">
              <w:rPr>
                <w:rFonts w:cs="Calibri"/>
                <w:color w:val="000000"/>
                <w:sz w:val="22"/>
                <w:szCs w:val="22"/>
              </w:rPr>
              <w:t>1.37%</w:t>
            </w:r>
          </w:p>
        </w:tc>
      </w:tr>
    </w:tbl>
    <w:p w14:paraId="2DDA9A15" w14:textId="77777777" w:rsidR="00174148" w:rsidRDefault="00174148" w:rsidP="005E33B6">
      <w:pPr>
        <w:spacing w:after="120"/>
      </w:pPr>
    </w:p>
    <w:p w14:paraId="7B60EC1B" w14:textId="210CBAA0" w:rsidR="00677B4F" w:rsidRDefault="007F08B2" w:rsidP="00677B4F">
      <w:pPr>
        <w:spacing w:after="120"/>
      </w:pPr>
      <w:r>
        <w:fldChar w:fldCharType="begin"/>
      </w:r>
      <w:r>
        <w:instrText xml:space="preserve"> REF _Ref2002877 \h </w:instrText>
      </w:r>
      <w:r>
        <w:fldChar w:fldCharType="separate"/>
      </w:r>
      <w:r w:rsidR="00445DF3">
        <w:t xml:space="preserve">Figure </w:t>
      </w:r>
      <w:r w:rsidR="00445DF3">
        <w:rPr>
          <w:noProof/>
        </w:rPr>
        <w:t>3</w:t>
      </w:r>
      <w:r w:rsidR="00445DF3">
        <w:noBreakHyphen/>
      </w:r>
      <w:r w:rsidR="00445DF3">
        <w:rPr>
          <w:noProof/>
        </w:rPr>
        <w:t>1</w:t>
      </w:r>
      <w:r>
        <w:fldChar w:fldCharType="end"/>
      </w:r>
      <w:r>
        <w:t xml:space="preserve"> </w:t>
      </w:r>
      <w:r w:rsidR="00174148">
        <w:t>illustrate</w:t>
      </w:r>
      <w:r>
        <w:t>s</w:t>
      </w:r>
      <w:r w:rsidR="00174148">
        <w:t xml:space="preserve"> the matched load profiles for selected event-like days. </w:t>
      </w:r>
      <w:r>
        <w:t>This figure</w:t>
      </w:r>
      <w:r w:rsidR="00174148">
        <w:t xml:space="preserve"> contains the average hourly profiles for the treatment and matched control-group customers by day type</w:t>
      </w:r>
      <w:r>
        <w:t xml:space="preserve"> including hot days, cooler days that were used in matching, and the cooler days that were not used in matching.</w:t>
      </w:r>
      <w:r w:rsidR="00174148">
        <w:t xml:space="preserve"> The solid lines represent the average usage of treatment customers on hot days (red)</w:t>
      </w:r>
      <w:r>
        <w:t>, cooler matching</w:t>
      </w:r>
      <w:r w:rsidR="00174148">
        <w:t xml:space="preserve"> days (blue)</w:t>
      </w:r>
      <w:r>
        <w:t>, and cooler non-matching days (green)</w:t>
      </w:r>
      <w:r w:rsidR="00174148">
        <w:t>. Similarly, the dashed lines represent the average usage of the matched control customers on hot days (yellow)</w:t>
      </w:r>
      <w:r>
        <w:t>,</w:t>
      </w:r>
      <w:r w:rsidR="00174148">
        <w:t xml:space="preserve"> </w:t>
      </w:r>
      <w:r>
        <w:t xml:space="preserve">cooler </w:t>
      </w:r>
      <w:r w:rsidR="00677B4F">
        <w:t>matching</w:t>
      </w:r>
      <w:r w:rsidR="00174148">
        <w:t xml:space="preserve"> days (gray)</w:t>
      </w:r>
      <w:r w:rsidR="00677B4F">
        <w:t>, and cooler non-matching days (black)</w:t>
      </w:r>
      <w:r w:rsidR="00174148">
        <w:t xml:space="preserve">. </w:t>
      </w:r>
      <w:r w:rsidR="00677B4F">
        <w:t>Regardless of the comparison day, the average load profiles are nearly identical between treatment and control.</w:t>
      </w:r>
      <w:r w:rsidR="00F81838">
        <w:t xml:space="preserve"> Moreover, cool days that are used in matching are nearly identical to cool days that are not used in matching.</w:t>
      </w:r>
    </w:p>
    <w:p w14:paraId="613B6282" w14:textId="2E840BC9" w:rsidR="007F08B2" w:rsidRPr="007F08B2" w:rsidRDefault="007F08B2" w:rsidP="007F08B2">
      <w:pPr>
        <w:pStyle w:val="FigureCaption"/>
        <w:rPr>
          <w:i/>
        </w:rPr>
      </w:pPr>
      <w:bookmarkStart w:id="86" w:name="_Ref2002877"/>
      <w:bookmarkStart w:id="87" w:name="_Toc4578194"/>
      <w:r>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3</w:t>
      </w:r>
      <w:r w:rsidR="00002E97">
        <w:rPr>
          <w:noProof/>
        </w:rPr>
        <w:fldChar w:fldCharType="end"/>
      </w:r>
      <w:r>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1</w:t>
      </w:r>
      <w:r w:rsidR="00002E97">
        <w:rPr>
          <w:noProof/>
        </w:rPr>
        <w:fldChar w:fldCharType="end"/>
      </w:r>
      <w:bookmarkEnd w:id="86"/>
      <w:r>
        <w:t>: Treatment and Control Non-Event Day Load Profiles</w:t>
      </w:r>
      <w:bookmarkEnd w:id="87"/>
    </w:p>
    <w:p w14:paraId="1753B27D" w14:textId="515B179D" w:rsidR="009E7B1B" w:rsidRDefault="00534BDA" w:rsidP="009B2338">
      <w:pPr>
        <w:keepNext/>
        <w:spacing w:after="120"/>
        <w:jc w:val="center"/>
      </w:pPr>
      <w:r>
        <w:rPr>
          <w:noProof/>
        </w:rPr>
        <w:drawing>
          <wp:inline distT="0" distB="0" distL="0" distR="0" wp14:anchorId="753F9860" wp14:editId="56D0D3E8">
            <wp:extent cx="5486400" cy="3982720"/>
            <wp:effectExtent l="0" t="0" r="0" b="0"/>
            <wp:docPr id="14" name="Chart 14">
              <a:extLst xmlns:a="http://schemas.openxmlformats.org/drawingml/2006/main">
                <a:ext uri="{FF2B5EF4-FFF2-40B4-BE49-F238E27FC236}">
                  <a16:creationId xmlns:a16="http://schemas.microsoft.com/office/drawing/2014/main" id="{239638CF-463F-49F7-A738-973A26C3A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EB79A1" w14:textId="32DC813D" w:rsidR="003A20DB" w:rsidRDefault="00CC2434" w:rsidP="002E7153">
      <w:pPr>
        <w:pStyle w:val="Heading2"/>
      </w:pPr>
      <w:bookmarkStart w:id="88" w:name="_Toc4578157"/>
      <w:r>
        <w:t xml:space="preserve">Overall </w:t>
      </w:r>
      <w:r w:rsidR="00A2663D">
        <w:t>Load Impacts</w:t>
      </w:r>
      <w:bookmarkEnd w:id="88"/>
    </w:p>
    <w:p w14:paraId="1E1C9A85" w14:textId="186B47FA" w:rsidR="00025EDD" w:rsidRDefault="00025EDD" w:rsidP="004A3D13">
      <w:pPr>
        <w:spacing w:after="120"/>
        <w:rPr>
          <w:szCs w:val="32"/>
        </w:rPr>
      </w:pPr>
      <w:r>
        <w:rPr>
          <w:szCs w:val="32"/>
        </w:rPr>
        <w:t xml:space="preserve">This section summarizes results for all </w:t>
      </w:r>
      <w:r w:rsidR="00546AFB">
        <w:rPr>
          <w:szCs w:val="32"/>
        </w:rPr>
        <w:t>SmartAC™</w:t>
      </w:r>
      <w:r w:rsidR="004A3D13">
        <w:rPr>
          <w:szCs w:val="32"/>
        </w:rPr>
        <w:t xml:space="preserve"> customers. In later sections, we discuss how these load impacts are distributed across subgroups of interest, including for customers who are dually enrolled in SmartRate</w:t>
      </w:r>
      <w:r w:rsidR="0041218E">
        <w:rPr>
          <w:rFonts w:cs="Calibri"/>
        </w:rPr>
        <w:t>™</w:t>
      </w:r>
      <w:r w:rsidR="004A3D13" w:rsidRPr="007A00EE">
        <w:rPr>
          <w:szCs w:val="32"/>
        </w:rPr>
        <w:t xml:space="preserve">. </w:t>
      </w:r>
      <w:r w:rsidRPr="007A00EE">
        <w:rPr>
          <w:szCs w:val="32"/>
        </w:rPr>
        <w:t>The presented results include: the average event-hour load impact</w:t>
      </w:r>
      <w:r w:rsidR="007A00EE" w:rsidRPr="007A00EE">
        <w:rPr>
          <w:szCs w:val="32"/>
        </w:rPr>
        <w:t>s for each</w:t>
      </w:r>
      <w:r w:rsidRPr="007A00EE">
        <w:rPr>
          <w:szCs w:val="32"/>
        </w:rPr>
        <w:t xml:space="preserve"> event;</w:t>
      </w:r>
      <w:r w:rsidR="007A00EE" w:rsidRPr="007A00EE">
        <w:rPr>
          <w:szCs w:val="32"/>
        </w:rPr>
        <w:t xml:space="preserve"> the average event-hour load impacts for each sub-LAP and event; and</w:t>
      </w:r>
      <w:r w:rsidRPr="007A00EE">
        <w:rPr>
          <w:szCs w:val="32"/>
        </w:rPr>
        <w:t xml:space="preserve"> the hourly load impact</w:t>
      </w:r>
      <w:r w:rsidR="007A00EE" w:rsidRPr="007A00EE">
        <w:rPr>
          <w:szCs w:val="32"/>
        </w:rPr>
        <w:t>s</w:t>
      </w:r>
      <w:r w:rsidRPr="007A00EE">
        <w:rPr>
          <w:szCs w:val="32"/>
        </w:rPr>
        <w:t xml:space="preserve"> for </w:t>
      </w:r>
      <w:r w:rsidR="007A00EE" w:rsidRPr="007A00EE">
        <w:rPr>
          <w:szCs w:val="32"/>
        </w:rPr>
        <w:t>a selected event</w:t>
      </w:r>
      <w:r w:rsidRPr="007A00EE">
        <w:rPr>
          <w:szCs w:val="32"/>
        </w:rPr>
        <w:t>.</w:t>
      </w:r>
    </w:p>
    <w:p w14:paraId="4A609BA9" w14:textId="4D43E3A7" w:rsidR="00025EDD" w:rsidRDefault="00025EDD" w:rsidP="00025EDD">
      <w:pPr>
        <w:spacing w:after="120"/>
        <w:rPr>
          <w:szCs w:val="32"/>
        </w:rPr>
      </w:pPr>
      <w:r>
        <w:rPr>
          <w:szCs w:val="32"/>
        </w:rPr>
        <w:t xml:space="preserve">The </w:t>
      </w:r>
      <w:r w:rsidRPr="00E6482F">
        <w:rPr>
          <w:i/>
          <w:szCs w:val="32"/>
        </w:rPr>
        <w:t>ex-post</w:t>
      </w:r>
      <w:r>
        <w:rPr>
          <w:szCs w:val="32"/>
        </w:rPr>
        <w:t xml:space="preserve"> load impacts are summarized for all </w:t>
      </w:r>
      <w:r w:rsidR="005418D8">
        <w:rPr>
          <w:szCs w:val="32"/>
        </w:rPr>
        <w:t>nine</w:t>
      </w:r>
      <w:r>
        <w:rPr>
          <w:szCs w:val="32"/>
        </w:rPr>
        <w:t xml:space="preserve"> events </w:t>
      </w:r>
      <w:r w:rsidRPr="00E76045">
        <w:rPr>
          <w:szCs w:val="32"/>
        </w:rPr>
        <w:t>in</w:t>
      </w:r>
      <w:r w:rsidR="0013628E" w:rsidRPr="00E76045">
        <w:rPr>
          <w:szCs w:val="32"/>
        </w:rPr>
        <w:t xml:space="preserve"> </w:t>
      </w:r>
      <w:r w:rsidR="0013628E" w:rsidRPr="00E76045">
        <w:rPr>
          <w:szCs w:val="32"/>
        </w:rPr>
        <w:fldChar w:fldCharType="begin"/>
      </w:r>
      <w:r w:rsidR="0013628E" w:rsidRPr="00E76045">
        <w:rPr>
          <w:szCs w:val="32"/>
        </w:rPr>
        <w:instrText xml:space="preserve"> REF _Ref507494669 \h </w:instrText>
      </w:r>
      <w:r w:rsidR="00E76045">
        <w:rPr>
          <w:szCs w:val="32"/>
        </w:rPr>
        <w:instrText xml:space="preserve"> \* MERGEFORMAT </w:instrText>
      </w:r>
      <w:r w:rsidR="0013628E" w:rsidRPr="00E76045">
        <w:rPr>
          <w:szCs w:val="32"/>
        </w:rPr>
      </w:r>
      <w:r w:rsidR="0013628E" w:rsidRPr="00E76045">
        <w:rPr>
          <w:szCs w:val="32"/>
        </w:rPr>
        <w:fldChar w:fldCharType="separate"/>
      </w:r>
      <w:r w:rsidR="00445DF3" w:rsidRPr="00E76045">
        <w:t xml:space="preserve">Figure </w:t>
      </w:r>
      <w:r w:rsidR="00445DF3">
        <w:rPr>
          <w:noProof/>
        </w:rPr>
        <w:t>3</w:t>
      </w:r>
      <w:r w:rsidR="00445DF3">
        <w:rPr>
          <w:noProof/>
        </w:rPr>
        <w:noBreakHyphen/>
        <w:t>2</w:t>
      </w:r>
      <w:r w:rsidR="0013628E" w:rsidRPr="00E76045">
        <w:rPr>
          <w:szCs w:val="32"/>
        </w:rPr>
        <w:fldChar w:fldCharType="end"/>
      </w:r>
      <w:r w:rsidRPr="00E76045">
        <w:rPr>
          <w:szCs w:val="32"/>
        </w:rPr>
        <w:t>.</w:t>
      </w:r>
      <w:r>
        <w:rPr>
          <w:szCs w:val="32"/>
        </w:rPr>
        <w:t xml:space="preserve"> The blue bars indicate the magnitude of the a</w:t>
      </w:r>
      <w:r w:rsidR="004A3D13">
        <w:rPr>
          <w:szCs w:val="32"/>
        </w:rPr>
        <w:t xml:space="preserve">verage per customer </w:t>
      </w:r>
      <w:r>
        <w:rPr>
          <w:szCs w:val="32"/>
        </w:rPr>
        <w:t xml:space="preserve">load impact (in </w:t>
      </w:r>
      <w:r w:rsidR="004A3D13">
        <w:rPr>
          <w:szCs w:val="32"/>
        </w:rPr>
        <w:t>k</w:t>
      </w:r>
      <w:r>
        <w:rPr>
          <w:szCs w:val="32"/>
        </w:rPr>
        <w:t>Wh</w:t>
      </w:r>
      <w:r w:rsidR="004A3D13">
        <w:rPr>
          <w:szCs w:val="32"/>
        </w:rPr>
        <w:t>/customer</w:t>
      </w:r>
      <w:r>
        <w:rPr>
          <w:szCs w:val="32"/>
        </w:rPr>
        <w:t>/hour)</w:t>
      </w:r>
      <w:r w:rsidR="00E76045">
        <w:rPr>
          <w:szCs w:val="32"/>
        </w:rPr>
        <w:t xml:space="preserve"> during hours that each sub-LAP was called</w:t>
      </w:r>
      <w:r w:rsidR="00677867">
        <w:rPr>
          <w:szCs w:val="32"/>
        </w:rPr>
        <w:t xml:space="preserve"> for the event</w:t>
      </w:r>
      <w:r w:rsidR="00E76045">
        <w:rPr>
          <w:szCs w:val="32"/>
        </w:rPr>
        <w:t>, while the labels show the</w:t>
      </w:r>
      <w:r w:rsidR="00677867">
        <w:rPr>
          <w:szCs w:val="32"/>
        </w:rPr>
        <w:t xml:space="preserve"> maximal</w:t>
      </w:r>
      <w:r w:rsidR="00E76045">
        <w:rPr>
          <w:szCs w:val="32"/>
        </w:rPr>
        <w:t xml:space="preserve"> range </w:t>
      </w:r>
      <w:r w:rsidR="004A3D13">
        <w:rPr>
          <w:szCs w:val="32"/>
        </w:rPr>
        <w:t>of event hours</w:t>
      </w:r>
      <w:r w:rsidR="00E76045">
        <w:rPr>
          <w:szCs w:val="32"/>
        </w:rPr>
        <w:t xml:space="preserve"> over which</w:t>
      </w:r>
      <w:r w:rsidR="004A3D13">
        <w:rPr>
          <w:szCs w:val="32"/>
        </w:rPr>
        <w:t xml:space="preserve"> </w:t>
      </w:r>
      <w:r w:rsidR="00677867">
        <w:rPr>
          <w:szCs w:val="32"/>
        </w:rPr>
        <w:t xml:space="preserve">all </w:t>
      </w:r>
      <w:r w:rsidR="004A3D13">
        <w:rPr>
          <w:szCs w:val="32"/>
        </w:rPr>
        <w:t>sub-LAPs</w:t>
      </w:r>
      <w:r w:rsidR="00E76045">
        <w:rPr>
          <w:szCs w:val="32"/>
        </w:rPr>
        <w:t xml:space="preserve"> were</w:t>
      </w:r>
      <w:r w:rsidR="004A3D13">
        <w:rPr>
          <w:szCs w:val="32"/>
        </w:rPr>
        <w:t xml:space="preserve"> called</w:t>
      </w:r>
      <w:r>
        <w:rPr>
          <w:szCs w:val="32"/>
        </w:rPr>
        <w:t>.</w:t>
      </w:r>
      <w:r w:rsidR="00E76045">
        <w:rPr>
          <w:rStyle w:val="FootnoteReference"/>
          <w:szCs w:val="32"/>
        </w:rPr>
        <w:footnoteReference w:id="9"/>
      </w:r>
      <w:r>
        <w:rPr>
          <w:szCs w:val="32"/>
        </w:rPr>
        <w:t xml:space="preserve"> The green bands correspond to 80 percent confidence intervals around these estimates (</w:t>
      </w:r>
      <w:r w:rsidRPr="00E6482F">
        <w:rPr>
          <w:i/>
          <w:szCs w:val="32"/>
        </w:rPr>
        <w:t>i.e.</w:t>
      </w:r>
      <w:r>
        <w:rPr>
          <w:szCs w:val="32"/>
        </w:rPr>
        <w:t>, the 10</w:t>
      </w:r>
      <w:r w:rsidRPr="00E6482F">
        <w:rPr>
          <w:szCs w:val="32"/>
          <w:vertAlign w:val="superscript"/>
        </w:rPr>
        <w:t>th</w:t>
      </w:r>
      <w:r>
        <w:rPr>
          <w:szCs w:val="32"/>
        </w:rPr>
        <w:t xml:space="preserve"> and 90</w:t>
      </w:r>
      <w:r w:rsidRPr="00E6482F">
        <w:rPr>
          <w:szCs w:val="32"/>
          <w:vertAlign w:val="superscript"/>
        </w:rPr>
        <w:t>th</w:t>
      </w:r>
      <w:r>
        <w:rPr>
          <w:szCs w:val="32"/>
        </w:rPr>
        <w:t xml:space="preserve"> percentile scenarios from the uncertainty-adjusted load impacts). The orange line represents the average temperatures experienced by the customers during the</w:t>
      </w:r>
      <w:r w:rsidR="00677867">
        <w:rPr>
          <w:szCs w:val="32"/>
        </w:rPr>
        <w:t xml:space="preserve"> called</w:t>
      </w:r>
      <w:r>
        <w:rPr>
          <w:szCs w:val="32"/>
        </w:rPr>
        <w:t xml:space="preserve"> event hours.</w:t>
      </w:r>
    </w:p>
    <w:p w14:paraId="6A93A49C" w14:textId="6BBAFC59" w:rsidR="00687E61" w:rsidRPr="00687E61" w:rsidRDefault="00687E61" w:rsidP="001D4B51">
      <w:pPr>
        <w:spacing w:after="120"/>
        <w:rPr>
          <w:b/>
          <w:i/>
          <w:szCs w:val="32"/>
        </w:rPr>
      </w:pPr>
      <w:r>
        <w:rPr>
          <w:b/>
          <w:i/>
          <w:szCs w:val="32"/>
        </w:rPr>
        <w:t>Overall results range from 0.05-0.43 kWh/customer/hour</w:t>
      </w:r>
    </w:p>
    <w:p w14:paraId="172D5530" w14:textId="4B5AC66E" w:rsidR="00622C7B" w:rsidRDefault="00025EDD" w:rsidP="001D4B51">
      <w:pPr>
        <w:spacing w:after="120"/>
        <w:rPr>
          <w:szCs w:val="32"/>
        </w:rPr>
      </w:pPr>
      <w:r>
        <w:rPr>
          <w:szCs w:val="32"/>
        </w:rPr>
        <w:t xml:space="preserve">These results indicate that </w:t>
      </w:r>
      <w:r w:rsidR="00546AFB">
        <w:rPr>
          <w:szCs w:val="32"/>
        </w:rPr>
        <w:t>SmartAC™</w:t>
      </w:r>
      <w:r w:rsidR="002716A1">
        <w:rPr>
          <w:szCs w:val="32"/>
        </w:rPr>
        <w:t xml:space="preserve"> customers had </w:t>
      </w:r>
      <w:r>
        <w:rPr>
          <w:szCs w:val="32"/>
        </w:rPr>
        <w:t xml:space="preserve">statistically significant load reductions on each of the </w:t>
      </w:r>
      <w:r w:rsidR="002716A1">
        <w:rPr>
          <w:szCs w:val="32"/>
        </w:rPr>
        <w:t>nine</w:t>
      </w:r>
      <w:r>
        <w:rPr>
          <w:szCs w:val="32"/>
        </w:rPr>
        <w:t xml:space="preserve"> event days, ranging from </w:t>
      </w:r>
      <w:r w:rsidR="002716A1">
        <w:rPr>
          <w:szCs w:val="32"/>
        </w:rPr>
        <w:t>0</w:t>
      </w:r>
      <w:r w:rsidR="002716A1" w:rsidRPr="00677867">
        <w:rPr>
          <w:szCs w:val="32"/>
        </w:rPr>
        <w:t>.0</w:t>
      </w:r>
      <w:r w:rsidR="00677867" w:rsidRPr="00677867">
        <w:rPr>
          <w:szCs w:val="32"/>
        </w:rPr>
        <w:t>5</w:t>
      </w:r>
      <w:r>
        <w:rPr>
          <w:szCs w:val="32"/>
        </w:rPr>
        <w:t xml:space="preserve"> to </w:t>
      </w:r>
      <w:r w:rsidR="002716A1">
        <w:rPr>
          <w:szCs w:val="32"/>
        </w:rPr>
        <w:t>0.</w:t>
      </w:r>
      <w:r w:rsidR="00677867">
        <w:rPr>
          <w:szCs w:val="32"/>
        </w:rPr>
        <w:t>4</w:t>
      </w:r>
      <w:r>
        <w:rPr>
          <w:szCs w:val="32"/>
        </w:rPr>
        <w:t>3</w:t>
      </w:r>
      <w:r w:rsidR="00677867">
        <w:rPr>
          <w:szCs w:val="32"/>
        </w:rPr>
        <w:t xml:space="preserve"> </w:t>
      </w:r>
      <w:r w:rsidR="002716A1">
        <w:rPr>
          <w:szCs w:val="32"/>
        </w:rPr>
        <w:t>kW</w:t>
      </w:r>
      <w:r>
        <w:rPr>
          <w:szCs w:val="32"/>
        </w:rPr>
        <w:t>h</w:t>
      </w:r>
      <w:r w:rsidR="002716A1">
        <w:rPr>
          <w:szCs w:val="32"/>
        </w:rPr>
        <w:t>/customer</w:t>
      </w:r>
      <w:r>
        <w:rPr>
          <w:szCs w:val="32"/>
        </w:rPr>
        <w:t xml:space="preserve">/hour. </w:t>
      </w:r>
    </w:p>
    <w:p w14:paraId="00F2251A" w14:textId="3111497F" w:rsidR="00687E61" w:rsidRPr="00687E61" w:rsidRDefault="00687E61" w:rsidP="001D4B51">
      <w:pPr>
        <w:spacing w:after="120"/>
        <w:rPr>
          <w:b/>
          <w:i/>
          <w:szCs w:val="32"/>
        </w:rPr>
      </w:pPr>
      <w:r>
        <w:rPr>
          <w:b/>
          <w:i/>
          <w:szCs w:val="32"/>
        </w:rPr>
        <w:t>Lower load impacts for PGNC-only events, late night events, and transmission emergencies</w:t>
      </w:r>
    </w:p>
    <w:p w14:paraId="7DCACEF3" w14:textId="53B1575E" w:rsidR="00622C7B" w:rsidRDefault="002716A1" w:rsidP="001D4B51">
      <w:pPr>
        <w:spacing w:after="120"/>
        <w:rPr>
          <w:szCs w:val="32"/>
        </w:rPr>
      </w:pPr>
      <w:r>
        <w:rPr>
          <w:szCs w:val="32"/>
        </w:rPr>
        <w:t xml:space="preserve">Two of the events </w:t>
      </w:r>
      <w:r w:rsidR="00C242ED">
        <w:rPr>
          <w:szCs w:val="32"/>
        </w:rPr>
        <w:t>(</w:t>
      </w:r>
      <w:r w:rsidR="005418D8">
        <w:rPr>
          <w:szCs w:val="32"/>
        </w:rPr>
        <w:t xml:space="preserve">July </w:t>
      </w:r>
      <w:r>
        <w:rPr>
          <w:szCs w:val="32"/>
        </w:rPr>
        <w:t>27</w:t>
      </w:r>
      <w:r w:rsidR="005418D8" w:rsidRPr="005418D8">
        <w:rPr>
          <w:szCs w:val="32"/>
          <w:vertAlign w:val="superscript"/>
        </w:rPr>
        <w:t>th</w:t>
      </w:r>
      <w:r w:rsidR="005418D8">
        <w:rPr>
          <w:szCs w:val="32"/>
        </w:rPr>
        <w:t xml:space="preserve"> </w:t>
      </w:r>
      <w:r>
        <w:rPr>
          <w:szCs w:val="32"/>
        </w:rPr>
        <w:t xml:space="preserve">and </w:t>
      </w:r>
      <w:r w:rsidR="005418D8">
        <w:rPr>
          <w:szCs w:val="32"/>
        </w:rPr>
        <w:t xml:space="preserve">September </w:t>
      </w:r>
      <w:r>
        <w:rPr>
          <w:szCs w:val="32"/>
        </w:rPr>
        <w:t>26</w:t>
      </w:r>
      <w:r w:rsidR="005418D8" w:rsidRPr="005418D8">
        <w:rPr>
          <w:szCs w:val="32"/>
          <w:vertAlign w:val="superscript"/>
        </w:rPr>
        <w:t>th</w:t>
      </w:r>
      <w:r w:rsidR="00C242ED">
        <w:rPr>
          <w:szCs w:val="32"/>
        </w:rPr>
        <w:t xml:space="preserve">) </w:t>
      </w:r>
      <w:r>
        <w:rPr>
          <w:szCs w:val="32"/>
        </w:rPr>
        <w:t xml:space="preserve">had lower load impacts compared to the remaining seven events. </w:t>
      </w:r>
      <w:r w:rsidR="007E4CB9">
        <w:rPr>
          <w:szCs w:val="32"/>
        </w:rPr>
        <w:t>One of t</w:t>
      </w:r>
      <w:r>
        <w:rPr>
          <w:szCs w:val="32"/>
        </w:rPr>
        <w:t>hese events</w:t>
      </w:r>
      <w:r w:rsidR="007E4CB9">
        <w:rPr>
          <w:szCs w:val="32"/>
        </w:rPr>
        <w:t xml:space="preserve"> (July 27, 2018) </w:t>
      </w:r>
      <w:r>
        <w:rPr>
          <w:szCs w:val="32"/>
        </w:rPr>
        <w:t>w</w:t>
      </w:r>
      <w:r w:rsidR="007E4CB9">
        <w:rPr>
          <w:szCs w:val="32"/>
        </w:rPr>
        <w:t>as a</w:t>
      </w:r>
      <w:r>
        <w:rPr>
          <w:szCs w:val="32"/>
        </w:rPr>
        <w:t xml:space="preserve"> transmission emergenc</w:t>
      </w:r>
      <w:r w:rsidR="007E4CB9">
        <w:rPr>
          <w:szCs w:val="32"/>
        </w:rPr>
        <w:t>y</w:t>
      </w:r>
      <w:r w:rsidR="00622C7B">
        <w:rPr>
          <w:szCs w:val="32"/>
        </w:rPr>
        <w:t xml:space="preserve">. Moreover, PGNC was the only sub-LAP called for </w:t>
      </w:r>
      <w:r w:rsidR="007E4CB9">
        <w:rPr>
          <w:szCs w:val="32"/>
        </w:rPr>
        <w:t>both</w:t>
      </w:r>
      <w:r w:rsidR="00622C7B">
        <w:rPr>
          <w:szCs w:val="32"/>
        </w:rPr>
        <w:t xml:space="preserve"> </w:t>
      </w:r>
      <w:r w:rsidR="007E4CB9">
        <w:rPr>
          <w:szCs w:val="32"/>
        </w:rPr>
        <w:t>event</w:t>
      </w:r>
      <w:r w:rsidR="00622C7B">
        <w:rPr>
          <w:szCs w:val="32"/>
        </w:rPr>
        <w:t>s</w:t>
      </w:r>
      <w:r>
        <w:rPr>
          <w:szCs w:val="32"/>
        </w:rPr>
        <w:t xml:space="preserve">. </w:t>
      </w:r>
      <w:r w:rsidR="005418D8">
        <w:rPr>
          <w:szCs w:val="32"/>
        </w:rPr>
        <w:t>In general, the load impacts for PGNC tend to be lower than most of the other sub-LAPs. Furthermore, the event on July 27</w:t>
      </w:r>
      <w:r w:rsidR="005418D8" w:rsidRPr="005418D8">
        <w:rPr>
          <w:szCs w:val="32"/>
          <w:vertAlign w:val="superscript"/>
        </w:rPr>
        <w:t>th</w:t>
      </w:r>
      <w:r w:rsidR="005418D8">
        <w:rPr>
          <w:szCs w:val="32"/>
        </w:rPr>
        <w:t xml:space="preserve"> had evening event hours (7 – 1</w:t>
      </w:r>
      <w:r w:rsidR="00B51AC5">
        <w:rPr>
          <w:szCs w:val="32"/>
        </w:rPr>
        <w:t>1:59</w:t>
      </w:r>
      <w:r w:rsidR="005418D8">
        <w:rPr>
          <w:szCs w:val="32"/>
        </w:rPr>
        <w:t xml:space="preserve"> </w:t>
      </w:r>
      <w:r w:rsidR="00B51AC5">
        <w:rPr>
          <w:szCs w:val="32"/>
        </w:rPr>
        <w:t>p</w:t>
      </w:r>
      <w:r w:rsidR="005418D8">
        <w:rPr>
          <w:szCs w:val="32"/>
        </w:rPr>
        <w:t xml:space="preserve">.m.), while the other events were earlier in the afternoon. </w:t>
      </w:r>
    </w:p>
    <w:p w14:paraId="03037501" w14:textId="492224B7" w:rsidR="00622C7B" w:rsidRPr="007E4CB9" w:rsidRDefault="00622C7B" w:rsidP="00622C7B">
      <w:pPr>
        <w:spacing w:after="120"/>
        <w:rPr>
          <w:b/>
          <w:i/>
          <w:szCs w:val="32"/>
        </w:rPr>
      </w:pPr>
      <w:r>
        <w:rPr>
          <w:b/>
          <w:i/>
          <w:szCs w:val="32"/>
        </w:rPr>
        <w:t xml:space="preserve">Load </w:t>
      </w:r>
      <w:r w:rsidR="00687E61">
        <w:rPr>
          <w:b/>
          <w:i/>
          <w:szCs w:val="32"/>
        </w:rPr>
        <w:t>i</w:t>
      </w:r>
      <w:r>
        <w:rPr>
          <w:b/>
          <w:i/>
          <w:szCs w:val="32"/>
        </w:rPr>
        <w:t xml:space="preserve">mpacts average 0.31 kWh/customer/hour for </w:t>
      </w:r>
      <w:r w:rsidR="00687E61">
        <w:rPr>
          <w:b/>
          <w:i/>
          <w:szCs w:val="32"/>
        </w:rPr>
        <w:t>most afternoon events</w:t>
      </w:r>
    </w:p>
    <w:p w14:paraId="2ACA924E" w14:textId="46AA9ACA" w:rsidR="009A7375" w:rsidRDefault="005418D8" w:rsidP="001D4B51">
      <w:pPr>
        <w:spacing w:after="120"/>
        <w:rPr>
          <w:szCs w:val="32"/>
        </w:rPr>
      </w:pPr>
      <w:r>
        <w:rPr>
          <w:szCs w:val="32"/>
        </w:rPr>
        <w:t>The l</w:t>
      </w:r>
      <w:r w:rsidR="00025EDD">
        <w:rPr>
          <w:szCs w:val="32"/>
        </w:rPr>
        <w:t>oad impact</w:t>
      </w:r>
      <w:r>
        <w:rPr>
          <w:szCs w:val="32"/>
        </w:rPr>
        <w:t xml:space="preserve">s for the remaining seven events </w:t>
      </w:r>
      <w:r w:rsidR="00025EDD">
        <w:rPr>
          <w:szCs w:val="32"/>
        </w:rPr>
        <w:t xml:space="preserve">averaged </w:t>
      </w:r>
      <w:r w:rsidR="00C56227">
        <w:rPr>
          <w:szCs w:val="32"/>
        </w:rPr>
        <w:t>0.</w:t>
      </w:r>
      <w:r w:rsidR="006A220B">
        <w:rPr>
          <w:szCs w:val="32"/>
        </w:rPr>
        <w:t>31</w:t>
      </w:r>
      <w:r w:rsidR="00025EDD">
        <w:rPr>
          <w:szCs w:val="32"/>
        </w:rPr>
        <w:t xml:space="preserve"> </w:t>
      </w:r>
      <w:r w:rsidR="002716A1">
        <w:rPr>
          <w:szCs w:val="32"/>
        </w:rPr>
        <w:t>k</w:t>
      </w:r>
      <w:r w:rsidR="00025EDD">
        <w:rPr>
          <w:szCs w:val="32"/>
        </w:rPr>
        <w:t>Wh</w:t>
      </w:r>
      <w:r w:rsidR="002716A1">
        <w:rPr>
          <w:szCs w:val="32"/>
        </w:rPr>
        <w:t>/customer</w:t>
      </w:r>
      <w:r w:rsidR="00025EDD">
        <w:rPr>
          <w:szCs w:val="32"/>
        </w:rPr>
        <w:t>/hour</w:t>
      </w:r>
      <w:r>
        <w:rPr>
          <w:szCs w:val="32"/>
        </w:rPr>
        <w:t>.</w:t>
      </w:r>
      <w:r w:rsidR="0013628E">
        <w:rPr>
          <w:szCs w:val="32"/>
        </w:rPr>
        <w:t xml:space="preserve"> </w:t>
      </w:r>
      <w:r w:rsidR="0013628E" w:rsidRPr="00C56227">
        <w:rPr>
          <w:szCs w:val="32"/>
        </w:rPr>
        <w:fldChar w:fldCharType="begin"/>
      </w:r>
      <w:r w:rsidR="0013628E" w:rsidRPr="00C56227">
        <w:rPr>
          <w:szCs w:val="32"/>
        </w:rPr>
        <w:instrText xml:space="preserve"> REF _Ref507494669 \h </w:instrText>
      </w:r>
      <w:r w:rsidR="00C56227">
        <w:rPr>
          <w:szCs w:val="32"/>
        </w:rPr>
        <w:instrText xml:space="preserve"> \* MERGEFORMAT </w:instrText>
      </w:r>
      <w:r w:rsidR="0013628E" w:rsidRPr="00C56227">
        <w:rPr>
          <w:szCs w:val="32"/>
        </w:rPr>
      </w:r>
      <w:r w:rsidR="0013628E" w:rsidRPr="00C56227">
        <w:rPr>
          <w:szCs w:val="32"/>
        </w:rPr>
        <w:fldChar w:fldCharType="separate"/>
      </w:r>
      <w:r w:rsidR="00445DF3" w:rsidRPr="00E76045">
        <w:t xml:space="preserve">Figure </w:t>
      </w:r>
      <w:r w:rsidR="00445DF3">
        <w:rPr>
          <w:noProof/>
        </w:rPr>
        <w:t>3</w:t>
      </w:r>
      <w:r w:rsidR="00445DF3">
        <w:rPr>
          <w:noProof/>
        </w:rPr>
        <w:noBreakHyphen/>
        <w:t>2</w:t>
      </w:r>
      <w:r w:rsidR="0013628E" w:rsidRPr="00C56227">
        <w:rPr>
          <w:szCs w:val="32"/>
        </w:rPr>
        <w:fldChar w:fldCharType="end"/>
      </w:r>
      <w:r w:rsidR="00025EDD">
        <w:rPr>
          <w:szCs w:val="32"/>
        </w:rPr>
        <w:t xml:space="preserve"> </w:t>
      </w:r>
      <w:r>
        <w:rPr>
          <w:szCs w:val="32"/>
        </w:rPr>
        <w:t xml:space="preserve">also </w:t>
      </w:r>
      <w:r w:rsidR="00025EDD">
        <w:rPr>
          <w:szCs w:val="32"/>
        </w:rPr>
        <w:t>shows some evidence of a relationship between load impacts and average temperatures</w:t>
      </w:r>
      <w:r>
        <w:rPr>
          <w:szCs w:val="32"/>
        </w:rPr>
        <w:t>, where temperatures tend to be lower in PGNC</w:t>
      </w:r>
      <w:r w:rsidR="00025EDD">
        <w:rPr>
          <w:szCs w:val="32"/>
        </w:rPr>
        <w:t>.</w:t>
      </w:r>
    </w:p>
    <w:p w14:paraId="3713A153" w14:textId="77777777" w:rsidR="00687E61" w:rsidRDefault="00687E61" w:rsidP="001D4B51">
      <w:pPr>
        <w:spacing w:after="120"/>
        <w:rPr>
          <w:szCs w:val="32"/>
        </w:rPr>
      </w:pPr>
    </w:p>
    <w:p w14:paraId="6C249C01" w14:textId="058C9AE4" w:rsidR="00025EDD" w:rsidRDefault="00025EDD" w:rsidP="00025EDD">
      <w:pPr>
        <w:pStyle w:val="FigureCaption"/>
        <w:rPr>
          <w:i/>
        </w:rPr>
      </w:pPr>
      <w:bookmarkStart w:id="89" w:name="_Ref507494669"/>
      <w:bookmarkStart w:id="90" w:name="_Ref1653021"/>
      <w:bookmarkStart w:id="91" w:name="_Toc4578195"/>
      <w:r w:rsidRPr="00E76045">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3</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2</w:t>
      </w:r>
      <w:r w:rsidR="00002E97">
        <w:rPr>
          <w:noProof/>
        </w:rPr>
        <w:fldChar w:fldCharType="end"/>
      </w:r>
      <w:bookmarkEnd w:id="89"/>
      <w:r w:rsidRPr="00E76045">
        <w:t>: Average Event-Hour Load Impacts by Event</w:t>
      </w:r>
      <w:bookmarkEnd w:id="90"/>
      <w:bookmarkEnd w:id="91"/>
    </w:p>
    <w:p w14:paraId="6C92553D" w14:textId="111A2746" w:rsidR="00990812" w:rsidRDefault="00990812" w:rsidP="001D4B51">
      <w:r>
        <w:rPr>
          <w:noProof/>
        </w:rPr>
        <w:drawing>
          <wp:inline distT="0" distB="0" distL="0" distR="0" wp14:anchorId="336164E6" wp14:editId="23A0EDBB">
            <wp:extent cx="5486400" cy="3985895"/>
            <wp:effectExtent l="0" t="0" r="0" b="0"/>
            <wp:docPr id="4" name="Chart 4">
              <a:extLst xmlns:a="http://schemas.openxmlformats.org/drawingml/2006/main">
                <a:ext uri="{FF2B5EF4-FFF2-40B4-BE49-F238E27FC236}">
                  <a16:creationId xmlns:a16="http://schemas.microsoft.com/office/drawing/2014/main" id="{4EDBACAE-3527-4398-9070-728B6249B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C879BA" w14:textId="02F294A3" w:rsidR="00687E61" w:rsidRDefault="00687E61" w:rsidP="009A7375">
      <w:pPr>
        <w:widowControl w:val="0"/>
        <w:spacing w:after="120"/>
      </w:pPr>
    </w:p>
    <w:p w14:paraId="3E9E3031" w14:textId="1C9185BF" w:rsidR="00687E61" w:rsidRPr="00687E61" w:rsidRDefault="00687E61" w:rsidP="00687E61">
      <w:pPr>
        <w:widowControl w:val="0"/>
        <w:spacing w:after="120"/>
        <w:rPr>
          <w:b/>
          <w:i/>
        </w:rPr>
      </w:pPr>
      <w:r>
        <w:rPr>
          <w:b/>
          <w:i/>
        </w:rPr>
        <w:t>The number of called customers drives large variation in aggregate event impacts</w:t>
      </w:r>
    </w:p>
    <w:p w14:paraId="03F08B2E" w14:textId="625C0681" w:rsidR="00DD2889" w:rsidRDefault="00DD2889" w:rsidP="00687E61">
      <w:pPr>
        <w:widowControl w:val="0"/>
        <w:spacing w:after="120"/>
      </w:pPr>
      <w:r>
        <w:fldChar w:fldCharType="begin"/>
      </w:r>
      <w:r>
        <w:instrText xml:space="preserve"> REF _Ref2242236 \h </w:instrText>
      </w:r>
      <w:r>
        <w:fldChar w:fldCharType="separate"/>
      </w:r>
      <w:r w:rsidR="00445DF3" w:rsidRPr="006874E9">
        <w:t xml:space="preserve">Table </w:t>
      </w:r>
      <w:r w:rsidR="00445DF3">
        <w:rPr>
          <w:noProof/>
        </w:rPr>
        <w:t>3</w:t>
      </w:r>
      <w:r w:rsidR="00445DF3">
        <w:noBreakHyphen/>
      </w:r>
      <w:r w:rsidR="00445DF3">
        <w:rPr>
          <w:noProof/>
        </w:rPr>
        <w:t>2</w:t>
      </w:r>
      <w:r>
        <w:fldChar w:fldCharType="end"/>
      </w:r>
      <w:r>
        <w:t xml:space="preserve"> </w:t>
      </w:r>
      <w:r w:rsidR="00807514">
        <w:t xml:space="preserve">presents a more complete </w:t>
      </w:r>
      <w:r w:rsidR="009A7375" w:rsidRPr="006874E9">
        <w:t>summar</w:t>
      </w:r>
      <w:r w:rsidR="00807514">
        <w:t xml:space="preserve">y of </w:t>
      </w:r>
      <w:r w:rsidR="009A7375">
        <w:t>event information, including the sub-LAPs called, the sub-LAP-specific event hours, the type of event, and the number customers called, as well as average load impacts (per customer and in aggregate)</w:t>
      </w:r>
      <w:r w:rsidR="005A71BD">
        <w:t xml:space="preserve">, </w:t>
      </w:r>
      <w:r w:rsidR="009A7375">
        <w:t>reference loads, and percentage load impacts</w:t>
      </w:r>
      <w:r w:rsidR="005A71BD">
        <w:t xml:space="preserve"> across the hours for which each sub-LAP was called</w:t>
      </w:r>
      <w:r w:rsidR="009A7375">
        <w:t xml:space="preserve"> for each event day. The number of called customers varies dramatically across events, leading to large variation in aggregate load impacts from 0.</w:t>
      </w:r>
      <w:r w:rsidR="005A71BD">
        <w:t>04</w:t>
      </w:r>
      <w:r w:rsidR="009A7375">
        <w:t xml:space="preserve"> MWh/hour to 2</w:t>
      </w:r>
      <w:r w:rsidR="005A71BD">
        <w:t>4.51</w:t>
      </w:r>
      <w:r w:rsidR="009A7375">
        <w:t xml:space="preserve"> MWh/hour. In percentage terms, the load impacts range from </w:t>
      </w:r>
      <w:r w:rsidR="005A71BD">
        <w:t>3.</w:t>
      </w:r>
      <w:r>
        <w:t>4</w:t>
      </w:r>
      <w:r w:rsidR="009A7375">
        <w:t xml:space="preserve"> percent to 1</w:t>
      </w:r>
      <w:r w:rsidR="005A71BD">
        <w:t>5.1</w:t>
      </w:r>
      <w:r w:rsidR="009A7375">
        <w:t xml:space="preserve"> percent of reference loads. The </w:t>
      </w:r>
      <w:r w:rsidR="005A71BD">
        <w:t>3.</w:t>
      </w:r>
      <w:r>
        <w:t>4</w:t>
      </w:r>
      <w:r w:rsidR="009A7375">
        <w:t xml:space="preserve"> percent load impact corresponds to the late evening event on July 27</w:t>
      </w:r>
      <w:r w:rsidR="009A7375" w:rsidRPr="00A7545C">
        <w:rPr>
          <w:vertAlign w:val="superscript"/>
        </w:rPr>
        <w:t>th</w:t>
      </w:r>
      <w:r w:rsidR="009A7375">
        <w:t>. All the other events had load impacts that were at least 8 percent of reference loads.</w:t>
      </w:r>
    </w:p>
    <w:p w14:paraId="4FB12AFA" w14:textId="77777777" w:rsidR="000343F7" w:rsidRDefault="000343F7" w:rsidP="009A7375">
      <w:pPr>
        <w:widowControl w:val="0"/>
        <w:spacing w:after="120"/>
        <w:sectPr w:rsidR="000343F7" w:rsidSect="000343F7">
          <w:pgSz w:w="12240" w:h="15840"/>
          <w:pgMar w:top="1440" w:right="1800" w:bottom="1440" w:left="1800" w:header="720" w:footer="720" w:gutter="0"/>
          <w:pgNumType w:start="1"/>
          <w:cols w:space="720"/>
          <w:docGrid w:linePitch="360"/>
        </w:sectPr>
      </w:pPr>
    </w:p>
    <w:p w14:paraId="2CAEB7C2" w14:textId="6E50DB1A" w:rsidR="000343F7" w:rsidRDefault="000343F7" w:rsidP="000343F7">
      <w:pPr>
        <w:pStyle w:val="TableCaption"/>
      </w:pPr>
      <w:bookmarkStart w:id="92" w:name="_Ref2242236"/>
      <w:bookmarkStart w:id="93" w:name="_Toc4578177"/>
      <w:r w:rsidRPr="006874E9">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3</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2</w:t>
      </w:r>
      <w:r w:rsidR="005D5F52">
        <w:rPr>
          <w:noProof/>
        </w:rPr>
        <w:fldChar w:fldCharType="end"/>
      </w:r>
      <w:bookmarkEnd w:id="92"/>
      <w:r w:rsidRPr="006874E9">
        <w:t>: Average Event-Hour Load Impacts by Event</w:t>
      </w:r>
      <w:bookmarkEnd w:id="93"/>
    </w:p>
    <w:tbl>
      <w:tblPr>
        <w:tblW w:w="0" w:type="auto"/>
        <w:jc w:val="center"/>
        <w:tblLook w:val="04A0" w:firstRow="1" w:lastRow="0" w:firstColumn="1" w:lastColumn="0" w:noHBand="0" w:noVBand="1"/>
      </w:tblPr>
      <w:tblGrid>
        <w:gridCol w:w="1081"/>
        <w:gridCol w:w="2429"/>
        <w:gridCol w:w="1260"/>
        <w:gridCol w:w="1426"/>
        <w:gridCol w:w="1238"/>
        <w:gridCol w:w="836"/>
        <w:gridCol w:w="1067"/>
        <w:gridCol w:w="1067"/>
        <w:gridCol w:w="852"/>
        <w:gridCol w:w="1063"/>
        <w:gridCol w:w="749"/>
      </w:tblGrid>
      <w:tr w:rsidR="00A550EF" w:rsidRPr="00A550EF" w14:paraId="57564180" w14:textId="77777777" w:rsidTr="00A550EF">
        <w:trPr>
          <w:trHeight w:val="315"/>
          <w:jc w:val="center"/>
        </w:trPr>
        <w:tc>
          <w:tcPr>
            <w:tcW w:w="1081" w:type="dxa"/>
            <w:vMerge w:val="restart"/>
            <w:tcBorders>
              <w:top w:val="nil"/>
              <w:left w:val="nil"/>
              <w:bottom w:val="nil"/>
              <w:right w:val="nil"/>
            </w:tcBorders>
            <w:shd w:val="clear" w:color="000000" w:fill="0C2577"/>
            <w:vAlign w:val="center"/>
            <w:hideMark/>
          </w:tcPr>
          <w:p w14:paraId="5BF14991"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Event Date</w:t>
            </w:r>
          </w:p>
        </w:tc>
        <w:tc>
          <w:tcPr>
            <w:tcW w:w="2429" w:type="dxa"/>
            <w:vMerge w:val="restart"/>
            <w:tcBorders>
              <w:top w:val="nil"/>
              <w:left w:val="single" w:sz="4" w:space="0" w:color="FFFFFF"/>
              <w:bottom w:val="nil"/>
              <w:right w:val="nil"/>
            </w:tcBorders>
            <w:shd w:val="clear" w:color="000000" w:fill="0C2577"/>
            <w:vAlign w:val="center"/>
            <w:hideMark/>
          </w:tcPr>
          <w:p w14:paraId="52A01744"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Event Hours</w:t>
            </w:r>
          </w:p>
        </w:tc>
        <w:tc>
          <w:tcPr>
            <w:tcW w:w="1260" w:type="dxa"/>
            <w:vMerge w:val="restart"/>
            <w:tcBorders>
              <w:top w:val="nil"/>
              <w:left w:val="single" w:sz="4" w:space="0" w:color="FFFFFF"/>
              <w:bottom w:val="nil"/>
              <w:right w:val="single" w:sz="4" w:space="0" w:color="FFFFFF"/>
            </w:tcBorders>
            <w:shd w:val="clear" w:color="000000" w:fill="0C2577"/>
            <w:vAlign w:val="center"/>
            <w:hideMark/>
          </w:tcPr>
          <w:p w14:paraId="62A97281"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sub-LAPs Called</w:t>
            </w:r>
          </w:p>
        </w:tc>
        <w:tc>
          <w:tcPr>
            <w:tcW w:w="1426" w:type="dxa"/>
            <w:vMerge w:val="restart"/>
            <w:tcBorders>
              <w:top w:val="nil"/>
              <w:left w:val="single" w:sz="4" w:space="0" w:color="FFFFFF"/>
              <w:bottom w:val="nil"/>
              <w:right w:val="single" w:sz="4" w:space="0" w:color="FFFFFF"/>
            </w:tcBorders>
            <w:shd w:val="clear" w:color="000000" w:fill="0C2577"/>
            <w:vAlign w:val="center"/>
            <w:hideMark/>
          </w:tcPr>
          <w:p w14:paraId="199AA0CC"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Type of Event</w:t>
            </w:r>
          </w:p>
        </w:tc>
        <w:tc>
          <w:tcPr>
            <w:tcW w:w="1094" w:type="dxa"/>
            <w:vMerge w:val="restart"/>
            <w:tcBorders>
              <w:top w:val="nil"/>
              <w:left w:val="nil"/>
              <w:bottom w:val="nil"/>
              <w:right w:val="nil"/>
            </w:tcBorders>
            <w:shd w:val="clear" w:color="000000" w:fill="0C2577"/>
            <w:vAlign w:val="center"/>
            <w:hideMark/>
          </w:tcPr>
          <w:p w14:paraId="5C177518" w14:textId="305A9E43" w:rsidR="00A550EF" w:rsidRPr="00A550EF" w:rsidRDefault="00546AFB" w:rsidP="00A550EF">
            <w:pPr>
              <w:jc w:val="center"/>
              <w:rPr>
                <w:rFonts w:cs="Calibri"/>
                <w:b/>
                <w:bCs/>
                <w:color w:val="FFFFFF"/>
                <w:sz w:val="20"/>
                <w:szCs w:val="20"/>
              </w:rPr>
            </w:pPr>
            <w:r>
              <w:rPr>
                <w:rFonts w:cs="Calibri"/>
                <w:b/>
                <w:bCs/>
                <w:color w:val="FFFFFF"/>
                <w:sz w:val="20"/>
                <w:szCs w:val="20"/>
              </w:rPr>
              <w:t>SmartRate™</w:t>
            </w:r>
            <w:r w:rsidR="00A550EF" w:rsidRPr="00A550EF">
              <w:rPr>
                <w:rFonts w:cs="Calibri"/>
                <w:b/>
                <w:bCs/>
                <w:color w:val="FFFFFF"/>
                <w:sz w:val="20"/>
                <w:szCs w:val="20"/>
              </w:rPr>
              <w:t xml:space="preserve"> Event?</w:t>
            </w:r>
          </w:p>
        </w:tc>
        <w:tc>
          <w:tcPr>
            <w:tcW w:w="836" w:type="dxa"/>
            <w:vMerge w:val="restart"/>
            <w:tcBorders>
              <w:top w:val="nil"/>
              <w:left w:val="single" w:sz="4" w:space="0" w:color="FFFFFF"/>
              <w:bottom w:val="nil"/>
              <w:right w:val="single" w:sz="4" w:space="0" w:color="FFFFFF"/>
            </w:tcBorders>
            <w:shd w:val="clear" w:color="000000" w:fill="0C2577"/>
            <w:vAlign w:val="center"/>
            <w:hideMark/>
          </w:tcPr>
          <w:p w14:paraId="0AF40266"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 Called</w:t>
            </w:r>
          </w:p>
        </w:tc>
        <w:tc>
          <w:tcPr>
            <w:tcW w:w="4798" w:type="dxa"/>
            <w:gridSpan w:val="5"/>
            <w:tcBorders>
              <w:top w:val="nil"/>
              <w:left w:val="nil"/>
              <w:bottom w:val="nil"/>
              <w:right w:val="nil"/>
            </w:tcBorders>
            <w:shd w:val="clear" w:color="000000" w:fill="0C2577"/>
            <w:vAlign w:val="center"/>
            <w:hideMark/>
          </w:tcPr>
          <w:p w14:paraId="4E0CAD04"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Average Event Hour</w:t>
            </w:r>
          </w:p>
        </w:tc>
      </w:tr>
      <w:tr w:rsidR="00A550EF" w:rsidRPr="00A550EF" w14:paraId="229A7091" w14:textId="77777777" w:rsidTr="00A550EF">
        <w:trPr>
          <w:trHeight w:val="765"/>
          <w:jc w:val="center"/>
        </w:trPr>
        <w:tc>
          <w:tcPr>
            <w:tcW w:w="1081" w:type="dxa"/>
            <w:vMerge/>
            <w:tcBorders>
              <w:top w:val="nil"/>
              <w:left w:val="nil"/>
              <w:bottom w:val="nil"/>
              <w:right w:val="nil"/>
            </w:tcBorders>
            <w:vAlign w:val="center"/>
            <w:hideMark/>
          </w:tcPr>
          <w:p w14:paraId="231BBD8B" w14:textId="77777777" w:rsidR="00A550EF" w:rsidRPr="00A550EF" w:rsidRDefault="00A550EF" w:rsidP="00A550EF">
            <w:pPr>
              <w:rPr>
                <w:rFonts w:cs="Calibri"/>
                <w:b/>
                <w:bCs/>
                <w:color w:val="FFFFFF"/>
                <w:sz w:val="20"/>
                <w:szCs w:val="20"/>
              </w:rPr>
            </w:pPr>
          </w:p>
        </w:tc>
        <w:tc>
          <w:tcPr>
            <w:tcW w:w="2429" w:type="dxa"/>
            <w:vMerge/>
            <w:tcBorders>
              <w:top w:val="nil"/>
              <w:left w:val="single" w:sz="4" w:space="0" w:color="FFFFFF"/>
              <w:bottom w:val="nil"/>
              <w:right w:val="nil"/>
            </w:tcBorders>
            <w:vAlign w:val="center"/>
            <w:hideMark/>
          </w:tcPr>
          <w:p w14:paraId="7A434280" w14:textId="77777777" w:rsidR="00A550EF" w:rsidRPr="00A550EF" w:rsidRDefault="00A550EF" w:rsidP="00A550EF">
            <w:pPr>
              <w:rPr>
                <w:rFonts w:cs="Calibri"/>
                <w:b/>
                <w:bCs/>
                <w:color w:val="FFFFFF"/>
                <w:sz w:val="20"/>
                <w:szCs w:val="20"/>
              </w:rPr>
            </w:pPr>
          </w:p>
        </w:tc>
        <w:tc>
          <w:tcPr>
            <w:tcW w:w="1260" w:type="dxa"/>
            <w:vMerge/>
            <w:tcBorders>
              <w:top w:val="nil"/>
              <w:left w:val="single" w:sz="4" w:space="0" w:color="FFFFFF"/>
              <w:bottom w:val="nil"/>
              <w:right w:val="single" w:sz="4" w:space="0" w:color="FFFFFF"/>
            </w:tcBorders>
            <w:vAlign w:val="center"/>
            <w:hideMark/>
          </w:tcPr>
          <w:p w14:paraId="015B33DF" w14:textId="77777777" w:rsidR="00A550EF" w:rsidRPr="00A550EF" w:rsidRDefault="00A550EF" w:rsidP="00A550EF">
            <w:pPr>
              <w:rPr>
                <w:rFonts w:cs="Calibri"/>
                <w:b/>
                <w:bCs/>
                <w:color w:val="FFFFFF"/>
                <w:sz w:val="20"/>
                <w:szCs w:val="20"/>
              </w:rPr>
            </w:pPr>
          </w:p>
        </w:tc>
        <w:tc>
          <w:tcPr>
            <w:tcW w:w="1426" w:type="dxa"/>
            <w:vMerge/>
            <w:tcBorders>
              <w:top w:val="nil"/>
              <w:left w:val="single" w:sz="4" w:space="0" w:color="FFFFFF"/>
              <w:bottom w:val="nil"/>
              <w:right w:val="single" w:sz="4" w:space="0" w:color="FFFFFF"/>
            </w:tcBorders>
            <w:vAlign w:val="center"/>
            <w:hideMark/>
          </w:tcPr>
          <w:p w14:paraId="22E19FCC" w14:textId="77777777" w:rsidR="00A550EF" w:rsidRPr="00A550EF" w:rsidRDefault="00A550EF" w:rsidP="00A550EF">
            <w:pPr>
              <w:rPr>
                <w:rFonts w:cs="Calibri"/>
                <w:b/>
                <w:bCs/>
                <w:color w:val="FFFFFF"/>
                <w:sz w:val="20"/>
                <w:szCs w:val="20"/>
              </w:rPr>
            </w:pPr>
          </w:p>
        </w:tc>
        <w:tc>
          <w:tcPr>
            <w:tcW w:w="1094" w:type="dxa"/>
            <w:vMerge/>
            <w:tcBorders>
              <w:top w:val="nil"/>
              <w:left w:val="nil"/>
              <w:bottom w:val="nil"/>
              <w:right w:val="nil"/>
            </w:tcBorders>
            <w:vAlign w:val="center"/>
            <w:hideMark/>
          </w:tcPr>
          <w:p w14:paraId="44BC07E9" w14:textId="77777777" w:rsidR="00A550EF" w:rsidRPr="00A550EF" w:rsidRDefault="00A550EF" w:rsidP="00A550EF">
            <w:pPr>
              <w:rPr>
                <w:rFonts w:cs="Calibri"/>
                <w:b/>
                <w:bCs/>
                <w:color w:val="FFFFFF"/>
                <w:sz w:val="20"/>
                <w:szCs w:val="20"/>
              </w:rPr>
            </w:pPr>
          </w:p>
        </w:tc>
        <w:tc>
          <w:tcPr>
            <w:tcW w:w="836" w:type="dxa"/>
            <w:vMerge/>
            <w:tcBorders>
              <w:top w:val="nil"/>
              <w:left w:val="single" w:sz="4" w:space="0" w:color="FFFFFF"/>
              <w:bottom w:val="nil"/>
              <w:right w:val="single" w:sz="4" w:space="0" w:color="FFFFFF"/>
            </w:tcBorders>
            <w:vAlign w:val="center"/>
            <w:hideMark/>
          </w:tcPr>
          <w:p w14:paraId="7C8860D3" w14:textId="77777777" w:rsidR="00A550EF" w:rsidRPr="00A550EF" w:rsidRDefault="00A550EF" w:rsidP="00A550EF">
            <w:pPr>
              <w:rPr>
                <w:rFonts w:cs="Calibri"/>
                <w:b/>
                <w:bCs/>
                <w:color w:val="FFFFFF"/>
                <w:sz w:val="20"/>
                <w:szCs w:val="20"/>
              </w:rPr>
            </w:pPr>
          </w:p>
        </w:tc>
        <w:tc>
          <w:tcPr>
            <w:tcW w:w="1067" w:type="dxa"/>
            <w:tcBorders>
              <w:top w:val="single" w:sz="4" w:space="0" w:color="E7E6E6"/>
              <w:left w:val="nil"/>
              <w:bottom w:val="single" w:sz="4" w:space="0" w:color="auto"/>
              <w:right w:val="single" w:sz="4" w:space="0" w:color="FFFFFF"/>
            </w:tcBorders>
            <w:shd w:val="clear" w:color="000000" w:fill="0C2577"/>
            <w:vAlign w:val="center"/>
            <w:hideMark/>
          </w:tcPr>
          <w:p w14:paraId="16F78BD2"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Reference (kW/Cust)</w:t>
            </w:r>
          </w:p>
        </w:tc>
        <w:tc>
          <w:tcPr>
            <w:tcW w:w="1067" w:type="dxa"/>
            <w:tcBorders>
              <w:top w:val="single" w:sz="4" w:space="0" w:color="E7E6E6"/>
              <w:left w:val="nil"/>
              <w:bottom w:val="single" w:sz="4" w:space="0" w:color="auto"/>
              <w:right w:val="single" w:sz="4" w:space="0" w:color="FFFFFF"/>
            </w:tcBorders>
            <w:shd w:val="clear" w:color="000000" w:fill="0C2577"/>
            <w:vAlign w:val="center"/>
            <w:hideMark/>
          </w:tcPr>
          <w:p w14:paraId="31BBB2DC"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Impact (kW/Cust)</w:t>
            </w:r>
          </w:p>
        </w:tc>
        <w:tc>
          <w:tcPr>
            <w:tcW w:w="852" w:type="dxa"/>
            <w:tcBorders>
              <w:top w:val="single" w:sz="4" w:space="0" w:color="E7E6E6"/>
              <w:left w:val="nil"/>
              <w:bottom w:val="single" w:sz="4" w:space="0" w:color="auto"/>
              <w:right w:val="single" w:sz="4" w:space="0" w:color="FFFFFF"/>
            </w:tcBorders>
            <w:shd w:val="clear" w:color="000000" w:fill="0C2577"/>
            <w:vAlign w:val="center"/>
            <w:hideMark/>
          </w:tcPr>
          <w:p w14:paraId="08C964E9"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 Impact</w:t>
            </w:r>
          </w:p>
        </w:tc>
        <w:tc>
          <w:tcPr>
            <w:tcW w:w="1063" w:type="dxa"/>
            <w:tcBorders>
              <w:top w:val="single" w:sz="4" w:space="0" w:color="E7E6E6"/>
              <w:left w:val="nil"/>
              <w:bottom w:val="single" w:sz="4" w:space="0" w:color="auto"/>
              <w:right w:val="single" w:sz="4" w:space="0" w:color="FFFFFF"/>
            </w:tcBorders>
            <w:shd w:val="clear" w:color="000000" w:fill="0C2577"/>
            <w:vAlign w:val="center"/>
            <w:hideMark/>
          </w:tcPr>
          <w:p w14:paraId="313100F5"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Aggregate Impact (MW)</w:t>
            </w:r>
          </w:p>
        </w:tc>
        <w:tc>
          <w:tcPr>
            <w:tcW w:w="749" w:type="dxa"/>
            <w:tcBorders>
              <w:top w:val="single" w:sz="4" w:space="0" w:color="E7E6E6"/>
              <w:left w:val="nil"/>
              <w:bottom w:val="single" w:sz="4" w:space="0" w:color="auto"/>
              <w:right w:val="nil"/>
            </w:tcBorders>
            <w:shd w:val="clear" w:color="000000" w:fill="0C2577"/>
            <w:vAlign w:val="center"/>
            <w:hideMark/>
          </w:tcPr>
          <w:p w14:paraId="3FFE8754" w14:textId="77777777" w:rsidR="00A550EF" w:rsidRPr="00A550EF" w:rsidRDefault="00A550EF" w:rsidP="00A550EF">
            <w:pPr>
              <w:jc w:val="center"/>
              <w:rPr>
                <w:rFonts w:cs="Calibri"/>
                <w:b/>
                <w:bCs/>
                <w:color w:val="FFFFFF"/>
                <w:sz w:val="20"/>
                <w:szCs w:val="20"/>
              </w:rPr>
            </w:pPr>
            <w:r w:rsidRPr="00A550EF">
              <w:rPr>
                <w:rFonts w:cs="Calibri"/>
                <w:b/>
                <w:bCs/>
                <w:color w:val="FFFFFF"/>
                <w:sz w:val="20"/>
                <w:szCs w:val="20"/>
              </w:rPr>
              <w:t>Avg. Temp (°F)</w:t>
            </w:r>
          </w:p>
        </w:tc>
      </w:tr>
      <w:tr w:rsidR="00A550EF" w:rsidRPr="00A550EF" w14:paraId="03E22C84" w14:textId="77777777" w:rsidTr="00A550EF">
        <w:trPr>
          <w:trHeight w:val="510"/>
          <w:jc w:val="center"/>
        </w:trPr>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D365B" w14:textId="77777777" w:rsidR="00A550EF" w:rsidRPr="00A550EF" w:rsidRDefault="00A550EF" w:rsidP="00A550EF">
            <w:pPr>
              <w:jc w:val="center"/>
              <w:rPr>
                <w:rFonts w:cs="Calibri"/>
                <w:sz w:val="20"/>
                <w:szCs w:val="20"/>
              </w:rPr>
            </w:pPr>
            <w:r w:rsidRPr="00A550EF">
              <w:rPr>
                <w:rFonts w:cs="Calibri"/>
                <w:sz w:val="20"/>
                <w:szCs w:val="20"/>
              </w:rPr>
              <w:t>7/23/2018</w:t>
            </w:r>
          </w:p>
        </w:tc>
        <w:tc>
          <w:tcPr>
            <w:tcW w:w="2429" w:type="dxa"/>
            <w:tcBorders>
              <w:top w:val="single" w:sz="4" w:space="0" w:color="auto"/>
              <w:left w:val="nil"/>
              <w:bottom w:val="single" w:sz="4" w:space="0" w:color="auto"/>
              <w:right w:val="single" w:sz="4" w:space="0" w:color="auto"/>
            </w:tcBorders>
            <w:shd w:val="clear" w:color="auto" w:fill="auto"/>
            <w:vAlign w:val="center"/>
            <w:hideMark/>
          </w:tcPr>
          <w:p w14:paraId="567B0611" w14:textId="77777777" w:rsidR="00A550EF" w:rsidRPr="00A550EF" w:rsidRDefault="00A550EF" w:rsidP="00A550EF">
            <w:pPr>
              <w:rPr>
                <w:rFonts w:cs="Calibri"/>
                <w:sz w:val="20"/>
                <w:szCs w:val="20"/>
              </w:rPr>
            </w:pPr>
            <w:r w:rsidRPr="00A550EF">
              <w:rPr>
                <w:rFonts w:cs="Calibri"/>
                <w:sz w:val="20"/>
                <w:szCs w:val="20"/>
              </w:rPr>
              <w:t>4 to 8 p.m. (HE17 to HE20)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8A49F2E" w14:textId="77777777" w:rsidR="00A550EF" w:rsidRPr="00A550EF" w:rsidRDefault="00A550EF" w:rsidP="00A550EF">
            <w:pPr>
              <w:rPr>
                <w:rFonts w:cs="Calibri"/>
                <w:sz w:val="20"/>
                <w:szCs w:val="20"/>
              </w:rPr>
            </w:pPr>
            <w:r w:rsidRPr="00A550EF">
              <w:rPr>
                <w:rFonts w:cs="Calibri"/>
                <w:sz w:val="20"/>
                <w:szCs w:val="20"/>
              </w:rPr>
              <w:t>PGF1, PGKN, PGNP, PGSI</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6E7B7BDA" w14:textId="77777777" w:rsidR="00A550EF" w:rsidRPr="00A550EF" w:rsidRDefault="00A550EF" w:rsidP="00A550EF">
            <w:pPr>
              <w:jc w:val="center"/>
              <w:rPr>
                <w:rFonts w:cs="Calibri"/>
                <w:sz w:val="20"/>
                <w:szCs w:val="20"/>
              </w:rPr>
            </w:pPr>
            <w:r w:rsidRPr="00A550EF">
              <w:rPr>
                <w:rFonts w:cs="Calibri"/>
                <w:sz w:val="20"/>
                <w:szCs w:val="20"/>
              </w:rPr>
              <w:t>Market Award</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124B59BA" w14:textId="77777777" w:rsidR="00A550EF" w:rsidRPr="00A550EF" w:rsidRDefault="00A550EF" w:rsidP="00A550EF">
            <w:pPr>
              <w:jc w:val="center"/>
              <w:rPr>
                <w:rFonts w:cs="Calibri"/>
                <w:sz w:val="20"/>
                <w:szCs w:val="20"/>
              </w:rPr>
            </w:pPr>
            <w:r w:rsidRPr="00A550EF">
              <w:rPr>
                <w:rFonts w:cs="Calibri"/>
                <w:sz w:val="20"/>
                <w:szCs w:val="20"/>
              </w:rPr>
              <w:t>No</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6FBDEE0A" w14:textId="77777777" w:rsidR="00A550EF" w:rsidRPr="00A550EF" w:rsidRDefault="00A550EF" w:rsidP="00A550EF">
            <w:pPr>
              <w:jc w:val="right"/>
              <w:rPr>
                <w:rFonts w:cs="Calibri"/>
                <w:sz w:val="20"/>
                <w:szCs w:val="20"/>
              </w:rPr>
            </w:pPr>
            <w:r w:rsidRPr="00A550EF">
              <w:rPr>
                <w:rFonts w:cs="Calibri"/>
                <w:sz w:val="20"/>
                <w:szCs w:val="20"/>
              </w:rPr>
              <w:t>55,003</w:t>
            </w:r>
          </w:p>
        </w:tc>
        <w:tc>
          <w:tcPr>
            <w:tcW w:w="1067" w:type="dxa"/>
            <w:tcBorders>
              <w:top w:val="nil"/>
              <w:left w:val="nil"/>
              <w:bottom w:val="single" w:sz="4" w:space="0" w:color="auto"/>
              <w:right w:val="single" w:sz="4" w:space="0" w:color="auto"/>
            </w:tcBorders>
            <w:shd w:val="clear" w:color="auto" w:fill="auto"/>
            <w:noWrap/>
            <w:vAlign w:val="center"/>
            <w:hideMark/>
          </w:tcPr>
          <w:p w14:paraId="6461DBAF" w14:textId="77777777" w:rsidR="00A550EF" w:rsidRPr="00A550EF" w:rsidRDefault="00A550EF" w:rsidP="00A550EF">
            <w:pPr>
              <w:jc w:val="right"/>
              <w:rPr>
                <w:rFonts w:cs="Calibri"/>
                <w:sz w:val="20"/>
                <w:szCs w:val="20"/>
              </w:rPr>
            </w:pPr>
            <w:r w:rsidRPr="00A550EF">
              <w:rPr>
                <w:rFonts w:cs="Calibri"/>
                <w:sz w:val="20"/>
                <w:szCs w:val="20"/>
              </w:rPr>
              <w:t>2.64</w:t>
            </w:r>
          </w:p>
        </w:tc>
        <w:tc>
          <w:tcPr>
            <w:tcW w:w="1067" w:type="dxa"/>
            <w:tcBorders>
              <w:top w:val="nil"/>
              <w:left w:val="nil"/>
              <w:bottom w:val="single" w:sz="4" w:space="0" w:color="auto"/>
              <w:right w:val="single" w:sz="4" w:space="0" w:color="auto"/>
            </w:tcBorders>
            <w:shd w:val="clear" w:color="auto" w:fill="auto"/>
            <w:noWrap/>
            <w:vAlign w:val="center"/>
            <w:hideMark/>
          </w:tcPr>
          <w:p w14:paraId="1935B1B4" w14:textId="77777777" w:rsidR="00A550EF" w:rsidRPr="00A550EF" w:rsidRDefault="00A550EF" w:rsidP="00A550EF">
            <w:pPr>
              <w:jc w:val="right"/>
              <w:rPr>
                <w:rFonts w:cs="Calibri"/>
                <w:sz w:val="20"/>
                <w:szCs w:val="20"/>
              </w:rPr>
            </w:pPr>
            <w:r w:rsidRPr="00A550EF">
              <w:rPr>
                <w:rFonts w:cs="Calibri"/>
                <w:sz w:val="20"/>
                <w:szCs w:val="20"/>
              </w:rPr>
              <w:t>0.28</w:t>
            </w:r>
          </w:p>
        </w:tc>
        <w:tc>
          <w:tcPr>
            <w:tcW w:w="852" w:type="dxa"/>
            <w:tcBorders>
              <w:top w:val="nil"/>
              <w:left w:val="nil"/>
              <w:bottom w:val="single" w:sz="4" w:space="0" w:color="auto"/>
              <w:right w:val="single" w:sz="4" w:space="0" w:color="auto"/>
            </w:tcBorders>
            <w:shd w:val="clear" w:color="auto" w:fill="auto"/>
            <w:noWrap/>
            <w:vAlign w:val="center"/>
            <w:hideMark/>
          </w:tcPr>
          <w:p w14:paraId="3BEEF3CC" w14:textId="77777777" w:rsidR="00A550EF" w:rsidRPr="00A550EF" w:rsidRDefault="00A550EF" w:rsidP="00A550EF">
            <w:pPr>
              <w:jc w:val="right"/>
              <w:rPr>
                <w:rFonts w:cs="Calibri"/>
                <w:sz w:val="20"/>
                <w:szCs w:val="20"/>
              </w:rPr>
            </w:pPr>
            <w:r w:rsidRPr="00A550EF">
              <w:rPr>
                <w:rFonts w:cs="Calibri"/>
                <w:sz w:val="20"/>
                <w:szCs w:val="20"/>
              </w:rPr>
              <w:t>10.5%</w:t>
            </w:r>
          </w:p>
        </w:tc>
        <w:tc>
          <w:tcPr>
            <w:tcW w:w="1063" w:type="dxa"/>
            <w:tcBorders>
              <w:top w:val="nil"/>
              <w:left w:val="nil"/>
              <w:bottom w:val="single" w:sz="4" w:space="0" w:color="auto"/>
              <w:right w:val="single" w:sz="4" w:space="0" w:color="auto"/>
            </w:tcBorders>
            <w:shd w:val="clear" w:color="auto" w:fill="auto"/>
            <w:noWrap/>
            <w:vAlign w:val="center"/>
            <w:hideMark/>
          </w:tcPr>
          <w:p w14:paraId="590BB5CB" w14:textId="77777777" w:rsidR="00A550EF" w:rsidRPr="00A550EF" w:rsidRDefault="00A550EF" w:rsidP="00A550EF">
            <w:pPr>
              <w:jc w:val="right"/>
              <w:rPr>
                <w:rFonts w:cs="Calibri"/>
                <w:sz w:val="20"/>
                <w:szCs w:val="20"/>
              </w:rPr>
            </w:pPr>
            <w:r w:rsidRPr="00A550EF">
              <w:rPr>
                <w:rFonts w:cs="Calibri"/>
                <w:sz w:val="20"/>
                <w:szCs w:val="20"/>
              </w:rPr>
              <w:t>15.25</w:t>
            </w:r>
          </w:p>
        </w:tc>
        <w:tc>
          <w:tcPr>
            <w:tcW w:w="749" w:type="dxa"/>
            <w:tcBorders>
              <w:top w:val="nil"/>
              <w:left w:val="nil"/>
              <w:bottom w:val="single" w:sz="4" w:space="0" w:color="auto"/>
              <w:right w:val="single" w:sz="4" w:space="0" w:color="auto"/>
            </w:tcBorders>
            <w:shd w:val="clear" w:color="auto" w:fill="auto"/>
            <w:noWrap/>
            <w:vAlign w:val="center"/>
            <w:hideMark/>
          </w:tcPr>
          <w:p w14:paraId="314A2109" w14:textId="77777777" w:rsidR="00A550EF" w:rsidRPr="00A550EF" w:rsidRDefault="00A550EF" w:rsidP="00A550EF">
            <w:pPr>
              <w:jc w:val="right"/>
              <w:rPr>
                <w:rFonts w:cs="Calibri"/>
                <w:sz w:val="20"/>
                <w:szCs w:val="20"/>
              </w:rPr>
            </w:pPr>
            <w:r w:rsidRPr="00A550EF">
              <w:rPr>
                <w:rFonts w:cs="Calibri"/>
                <w:sz w:val="20"/>
                <w:szCs w:val="20"/>
              </w:rPr>
              <w:t>98.2</w:t>
            </w:r>
          </w:p>
        </w:tc>
      </w:tr>
      <w:tr w:rsidR="00A550EF" w:rsidRPr="00A550EF" w14:paraId="1F22EB47" w14:textId="77777777" w:rsidTr="00A550EF">
        <w:trPr>
          <w:trHeight w:val="765"/>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16D27A0E" w14:textId="77777777" w:rsidR="00A550EF" w:rsidRPr="00A550EF" w:rsidRDefault="00A550EF" w:rsidP="00A550EF">
            <w:pPr>
              <w:jc w:val="center"/>
              <w:rPr>
                <w:rFonts w:cs="Calibri"/>
                <w:sz w:val="20"/>
                <w:szCs w:val="20"/>
              </w:rPr>
            </w:pPr>
            <w:r w:rsidRPr="00A550EF">
              <w:rPr>
                <w:rFonts w:cs="Calibri"/>
                <w:sz w:val="20"/>
                <w:szCs w:val="20"/>
              </w:rPr>
              <w:t>7/24/2018</w:t>
            </w:r>
          </w:p>
        </w:tc>
        <w:tc>
          <w:tcPr>
            <w:tcW w:w="2429" w:type="dxa"/>
            <w:tcBorders>
              <w:top w:val="nil"/>
              <w:left w:val="nil"/>
              <w:bottom w:val="single" w:sz="4" w:space="0" w:color="auto"/>
              <w:right w:val="single" w:sz="4" w:space="0" w:color="auto"/>
            </w:tcBorders>
            <w:shd w:val="clear" w:color="auto" w:fill="auto"/>
            <w:vAlign w:val="center"/>
            <w:hideMark/>
          </w:tcPr>
          <w:p w14:paraId="23A1241C" w14:textId="77777777" w:rsidR="00A550EF" w:rsidRPr="00A550EF" w:rsidRDefault="00A550EF" w:rsidP="00A550EF">
            <w:pPr>
              <w:rPr>
                <w:rFonts w:cs="Calibri"/>
                <w:sz w:val="20"/>
                <w:szCs w:val="20"/>
              </w:rPr>
            </w:pPr>
            <w:r w:rsidRPr="00A550EF">
              <w:rPr>
                <w:rFonts w:cs="Calibri"/>
                <w:sz w:val="20"/>
                <w:szCs w:val="20"/>
              </w:rPr>
              <w:t>4 to 8 p.m. (HE17 to HE20)</w:t>
            </w:r>
            <w:r w:rsidRPr="00A550EF">
              <w:rPr>
                <w:rFonts w:cs="Calibri"/>
                <w:sz w:val="20"/>
                <w:szCs w:val="20"/>
              </w:rPr>
              <w:br/>
              <w:t xml:space="preserve">3 to 7 p.m. (HE16 to HE19) </w:t>
            </w:r>
            <w:r w:rsidRPr="00A550EF">
              <w:rPr>
                <w:rFonts w:cs="Calibri"/>
                <w:sz w:val="20"/>
                <w:szCs w:val="20"/>
              </w:rPr>
              <w:br/>
              <w:t>*PGNC only</w:t>
            </w:r>
          </w:p>
        </w:tc>
        <w:tc>
          <w:tcPr>
            <w:tcW w:w="1260" w:type="dxa"/>
            <w:tcBorders>
              <w:top w:val="nil"/>
              <w:left w:val="nil"/>
              <w:bottom w:val="single" w:sz="4" w:space="0" w:color="auto"/>
              <w:right w:val="single" w:sz="4" w:space="0" w:color="auto"/>
            </w:tcBorders>
            <w:shd w:val="clear" w:color="auto" w:fill="auto"/>
            <w:vAlign w:val="center"/>
            <w:hideMark/>
          </w:tcPr>
          <w:p w14:paraId="77F30269" w14:textId="77777777" w:rsidR="00A550EF" w:rsidRPr="00A550EF" w:rsidRDefault="00A550EF" w:rsidP="00A550EF">
            <w:pPr>
              <w:rPr>
                <w:rFonts w:cs="Calibri"/>
                <w:sz w:val="20"/>
                <w:szCs w:val="20"/>
              </w:rPr>
            </w:pPr>
            <w:r w:rsidRPr="00A550EF">
              <w:rPr>
                <w:rFonts w:cs="Calibri"/>
                <w:sz w:val="20"/>
                <w:szCs w:val="20"/>
              </w:rPr>
              <w:t>PGF1, PGKN, PGNP, PGSI, PGNC, PGZP</w:t>
            </w:r>
          </w:p>
        </w:tc>
        <w:tc>
          <w:tcPr>
            <w:tcW w:w="1426" w:type="dxa"/>
            <w:tcBorders>
              <w:top w:val="nil"/>
              <w:left w:val="nil"/>
              <w:bottom w:val="single" w:sz="4" w:space="0" w:color="auto"/>
              <w:right w:val="single" w:sz="4" w:space="0" w:color="auto"/>
            </w:tcBorders>
            <w:shd w:val="clear" w:color="auto" w:fill="auto"/>
            <w:vAlign w:val="center"/>
            <w:hideMark/>
          </w:tcPr>
          <w:p w14:paraId="40B077D8" w14:textId="77777777" w:rsidR="00A550EF" w:rsidRPr="00A550EF" w:rsidRDefault="00A550EF" w:rsidP="00A550EF">
            <w:pPr>
              <w:jc w:val="center"/>
              <w:rPr>
                <w:rFonts w:cs="Calibri"/>
                <w:sz w:val="20"/>
                <w:szCs w:val="20"/>
              </w:rPr>
            </w:pPr>
            <w:r w:rsidRPr="00A550EF">
              <w:rPr>
                <w:rFonts w:cs="Calibri"/>
                <w:sz w:val="20"/>
                <w:szCs w:val="20"/>
              </w:rPr>
              <w:t>Market Award</w:t>
            </w:r>
          </w:p>
        </w:tc>
        <w:tc>
          <w:tcPr>
            <w:tcW w:w="1094" w:type="dxa"/>
            <w:tcBorders>
              <w:top w:val="nil"/>
              <w:left w:val="nil"/>
              <w:bottom w:val="single" w:sz="4" w:space="0" w:color="auto"/>
              <w:right w:val="single" w:sz="4" w:space="0" w:color="auto"/>
            </w:tcBorders>
            <w:shd w:val="clear" w:color="auto" w:fill="auto"/>
            <w:noWrap/>
            <w:vAlign w:val="center"/>
            <w:hideMark/>
          </w:tcPr>
          <w:p w14:paraId="4CF2837E" w14:textId="77777777" w:rsidR="00A550EF" w:rsidRPr="00A550EF" w:rsidRDefault="00A550EF" w:rsidP="00A550EF">
            <w:pPr>
              <w:jc w:val="center"/>
              <w:rPr>
                <w:rFonts w:cs="Calibri"/>
                <w:sz w:val="20"/>
                <w:szCs w:val="20"/>
              </w:rPr>
            </w:pPr>
            <w:r w:rsidRPr="00A550EF">
              <w:rPr>
                <w:rFonts w:cs="Calibri"/>
                <w:sz w:val="20"/>
                <w:szCs w:val="20"/>
              </w:rPr>
              <w:t>No</w:t>
            </w:r>
          </w:p>
        </w:tc>
        <w:tc>
          <w:tcPr>
            <w:tcW w:w="836" w:type="dxa"/>
            <w:tcBorders>
              <w:top w:val="nil"/>
              <w:left w:val="nil"/>
              <w:bottom w:val="single" w:sz="4" w:space="0" w:color="auto"/>
              <w:right w:val="single" w:sz="4" w:space="0" w:color="auto"/>
            </w:tcBorders>
            <w:shd w:val="clear" w:color="auto" w:fill="auto"/>
            <w:noWrap/>
            <w:vAlign w:val="center"/>
            <w:hideMark/>
          </w:tcPr>
          <w:p w14:paraId="0EAB5371" w14:textId="77777777" w:rsidR="00A550EF" w:rsidRPr="00A550EF" w:rsidRDefault="00A550EF" w:rsidP="00A550EF">
            <w:pPr>
              <w:jc w:val="right"/>
              <w:rPr>
                <w:rFonts w:cs="Calibri"/>
                <w:sz w:val="20"/>
                <w:szCs w:val="20"/>
              </w:rPr>
            </w:pPr>
            <w:r w:rsidRPr="00A550EF">
              <w:rPr>
                <w:rFonts w:cs="Calibri"/>
                <w:sz w:val="20"/>
                <w:szCs w:val="20"/>
              </w:rPr>
              <w:t>57,897</w:t>
            </w:r>
          </w:p>
        </w:tc>
        <w:tc>
          <w:tcPr>
            <w:tcW w:w="1067" w:type="dxa"/>
            <w:tcBorders>
              <w:top w:val="nil"/>
              <w:left w:val="nil"/>
              <w:bottom w:val="single" w:sz="4" w:space="0" w:color="auto"/>
              <w:right w:val="single" w:sz="4" w:space="0" w:color="auto"/>
            </w:tcBorders>
            <w:shd w:val="clear" w:color="auto" w:fill="auto"/>
            <w:noWrap/>
            <w:vAlign w:val="center"/>
            <w:hideMark/>
          </w:tcPr>
          <w:p w14:paraId="5DACC148" w14:textId="77777777" w:rsidR="00A550EF" w:rsidRPr="00A550EF" w:rsidRDefault="00A550EF" w:rsidP="00A550EF">
            <w:pPr>
              <w:jc w:val="right"/>
              <w:rPr>
                <w:rFonts w:cs="Calibri"/>
                <w:sz w:val="20"/>
                <w:szCs w:val="20"/>
              </w:rPr>
            </w:pPr>
            <w:r w:rsidRPr="00A550EF">
              <w:rPr>
                <w:rFonts w:cs="Calibri"/>
                <w:sz w:val="20"/>
                <w:szCs w:val="20"/>
              </w:rPr>
              <w:t>2.73</w:t>
            </w:r>
          </w:p>
        </w:tc>
        <w:tc>
          <w:tcPr>
            <w:tcW w:w="1067" w:type="dxa"/>
            <w:tcBorders>
              <w:top w:val="nil"/>
              <w:left w:val="nil"/>
              <w:bottom w:val="single" w:sz="4" w:space="0" w:color="auto"/>
              <w:right w:val="single" w:sz="4" w:space="0" w:color="auto"/>
            </w:tcBorders>
            <w:shd w:val="clear" w:color="auto" w:fill="auto"/>
            <w:noWrap/>
            <w:vAlign w:val="center"/>
            <w:hideMark/>
          </w:tcPr>
          <w:p w14:paraId="477FDFF1" w14:textId="77777777" w:rsidR="00A550EF" w:rsidRPr="00A550EF" w:rsidRDefault="00A550EF" w:rsidP="00A550EF">
            <w:pPr>
              <w:jc w:val="right"/>
              <w:rPr>
                <w:rFonts w:cs="Calibri"/>
                <w:sz w:val="20"/>
                <w:szCs w:val="20"/>
              </w:rPr>
            </w:pPr>
            <w:r w:rsidRPr="00A550EF">
              <w:rPr>
                <w:rFonts w:cs="Calibri"/>
                <w:sz w:val="20"/>
                <w:szCs w:val="20"/>
              </w:rPr>
              <w:t>0.29</w:t>
            </w:r>
          </w:p>
        </w:tc>
        <w:tc>
          <w:tcPr>
            <w:tcW w:w="852" w:type="dxa"/>
            <w:tcBorders>
              <w:top w:val="nil"/>
              <w:left w:val="nil"/>
              <w:bottom w:val="single" w:sz="4" w:space="0" w:color="auto"/>
              <w:right w:val="single" w:sz="4" w:space="0" w:color="auto"/>
            </w:tcBorders>
            <w:shd w:val="clear" w:color="auto" w:fill="auto"/>
            <w:noWrap/>
            <w:vAlign w:val="center"/>
            <w:hideMark/>
          </w:tcPr>
          <w:p w14:paraId="0FBEF2E6" w14:textId="77777777" w:rsidR="00A550EF" w:rsidRPr="00A550EF" w:rsidRDefault="00A550EF" w:rsidP="00A550EF">
            <w:pPr>
              <w:jc w:val="right"/>
              <w:rPr>
                <w:rFonts w:cs="Calibri"/>
                <w:sz w:val="20"/>
                <w:szCs w:val="20"/>
              </w:rPr>
            </w:pPr>
            <w:r w:rsidRPr="00A550EF">
              <w:rPr>
                <w:rFonts w:cs="Calibri"/>
                <w:sz w:val="20"/>
                <w:szCs w:val="20"/>
              </w:rPr>
              <w:t>10.8%</w:t>
            </w:r>
          </w:p>
        </w:tc>
        <w:tc>
          <w:tcPr>
            <w:tcW w:w="1063" w:type="dxa"/>
            <w:tcBorders>
              <w:top w:val="nil"/>
              <w:left w:val="nil"/>
              <w:bottom w:val="single" w:sz="4" w:space="0" w:color="auto"/>
              <w:right w:val="single" w:sz="4" w:space="0" w:color="auto"/>
            </w:tcBorders>
            <w:shd w:val="clear" w:color="auto" w:fill="auto"/>
            <w:noWrap/>
            <w:vAlign w:val="center"/>
            <w:hideMark/>
          </w:tcPr>
          <w:p w14:paraId="2B792CEF" w14:textId="77777777" w:rsidR="00A550EF" w:rsidRPr="00A550EF" w:rsidRDefault="00A550EF" w:rsidP="00A550EF">
            <w:pPr>
              <w:jc w:val="right"/>
              <w:rPr>
                <w:rFonts w:cs="Calibri"/>
                <w:sz w:val="20"/>
                <w:szCs w:val="20"/>
              </w:rPr>
            </w:pPr>
            <w:r w:rsidRPr="00A550EF">
              <w:rPr>
                <w:rFonts w:cs="Calibri"/>
                <w:sz w:val="20"/>
                <w:szCs w:val="20"/>
              </w:rPr>
              <w:t>13.59</w:t>
            </w:r>
          </w:p>
        </w:tc>
        <w:tc>
          <w:tcPr>
            <w:tcW w:w="749" w:type="dxa"/>
            <w:tcBorders>
              <w:top w:val="nil"/>
              <w:left w:val="nil"/>
              <w:bottom w:val="single" w:sz="4" w:space="0" w:color="auto"/>
              <w:right w:val="single" w:sz="4" w:space="0" w:color="auto"/>
            </w:tcBorders>
            <w:shd w:val="clear" w:color="auto" w:fill="auto"/>
            <w:noWrap/>
            <w:vAlign w:val="center"/>
            <w:hideMark/>
          </w:tcPr>
          <w:p w14:paraId="62BD9C52" w14:textId="77777777" w:rsidR="00A550EF" w:rsidRPr="00A550EF" w:rsidRDefault="00A550EF" w:rsidP="00A550EF">
            <w:pPr>
              <w:jc w:val="right"/>
              <w:rPr>
                <w:rFonts w:cs="Calibri"/>
                <w:sz w:val="20"/>
                <w:szCs w:val="20"/>
              </w:rPr>
            </w:pPr>
            <w:r w:rsidRPr="00A550EF">
              <w:rPr>
                <w:rFonts w:cs="Calibri"/>
                <w:sz w:val="20"/>
                <w:szCs w:val="20"/>
              </w:rPr>
              <w:t>100.8</w:t>
            </w:r>
          </w:p>
        </w:tc>
      </w:tr>
      <w:tr w:rsidR="00A550EF" w:rsidRPr="00A550EF" w14:paraId="6897AA86" w14:textId="77777777" w:rsidTr="00A550EF">
        <w:trPr>
          <w:trHeight w:val="1020"/>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19A8D571" w14:textId="77777777" w:rsidR="00A550EF" w:rsidRPr="00A550EF" w:rsidRDefault="00A550EF" w:rsidP="00A550EF">
            <w:pPr>
              <w:jc w:val="center"/>
              <w:rPr>
                <w:rFonts w:cs="Calibri"/>
                <w:sz w:val="20"/>
                <w:szCs w:val="20"/>
              </w:rPr>
            </w:pPr>
            <w:r w:rsidRPr="00A550EF">
              <w:rPr>
                <w:rFonts w:cs="Calibri"/>
                <w:sz w:val="20"/>
                <w:szCs w:val="20"/>
              </w:rPr>
              <w:t>7/25/2018</w:t>
            </w:r>
          </w:p>
        </w:tc>
        <w:tc>
          <w:tcPr>
            <w:tcW w:w="2429" w:type="dxa"/>
            <w:tcBorders>
              <w:top w:val="nil"/>
              <w:left w:val="nil"/>
              <w:bottom w:val="single" w:sz="4" w:space="0" w:color="auto"/>
              <w:right w:val="single" w:sz="4" w:space="0" w:color="auto"/>
            </w:tcBorders>
            <w:shd w:val="clear" w:color="auto" w:fill="auto"/>
            <w:vAlign w:val="center"/>
            <w:hideMark/>
          </w:tcPr>
          <w:p w14:paraId="7D1110EF" w14:textId="77777777" w:rsidR="00A550EF" w:rsidRPr="00A550EF" w:rsidRDefault="00A550EF" w:rsidP="00A550EF">
            <w:pPr>
              <w:rPr>
                <w:rFonts w:cs="Calibri"/>
                <w:sz w:val="20"/>
                <w:szCs w:val="20"/>
              </w:rPr>
            </w:pPr>
            <w:r w:rsidRPr="00A550EF">
              <w:rPr>
                <w:rFonts w:cs="Calibri"/>
                <w:sz w:val="20"/>
                <w:szCs w:val="20"/>
              </w:rPr>
              <w:t xml:space="preserve">6 to 7 p.m. (HE19) </w:t>
            </w:r>
            <w:r w:rsidRPr="00A550EF">
              <w:rPr>
                <w:rFonts w:cs="Calibri"/>
                <w:sz w:val="20"/>
                <w:szCs w:val="20"/>
              </w:rPr>
              <w:br/>
              <w:t xml:space="preserve">*PGSI only </w:t>
            </w:r>
            <w:r w:rsidRPr="00A550EF">
              <w:rPr>
                <w:rFonts w:cs="Calibri"/>
                <w:sz w:val="20"/>
                <w:szCs w:val="20"/>
              </w:rPr>
              <w:br/>
              <w:t xml:space="preserve">4 to 7 p.m. (HE17 to HE19) </w:t>
            </w:r>
            <w:r w:rsidRPr="00A550EF">
              <w:rPr>
                <w:rFonts w:cs="Calibri"/>
                <w:sz w:val="20"/>
                <w:szCs w:val="20"/>
              </w:rPr>
              <w:br/>
              <w:t>*PGST only</w:t>
            </w:r>
          </w:p>
        </w:tc>
        <w:tc>
          <w:tcPr>
            <w:tcW w:w="1260" w:type="dxa"/>
            <w:tcBorders>
              <w:top w:val="nil"/>
              <w:left w:val="nil"/>
              <w:bottom w:val="single" w:sz="4" w:space="0" w:color="auto"/>
              <w:right w:val="single" w:sz="4" w:space="0" w:color="auto"/>
            </w:tcBorders>
            <w:shd w:val="clear" w:color="auto" w:fill="auto"/>
            <w:vAlign w:val="center"/>
            <w:hideMark/>
          </w:tcPr>
          <w:p w14:paraId="12C3AC92" w14:textId="77777777" w:rsidR="00A550EF" w:rsidRPr="00A550EF" w:rsidRDefault="00A550EF" w:rsidP="00A550EF">
            <w:pPr>
              <w:rPr>
                <w:rFonts w:cs="Calibri"/>
                <w:sz w:val="20"/>
                <w:szCs w:val="20"/>
              </w:rPr>
            </w:pPr>
            <w:r w:rsidRPr="00A550EF">
              <w:rPr>
                <w:rFonts w:cs="Calibri"/>
                <w:sz w:val="20"/>
                <w:szCs w:val="20"/>
              </w:rPr>
              <w:t>PGST, PGSI</w:t>
            </w:r>
          </w:p>
        </w:tc>
        <w:tc>
          <w:tcPr>
            <w:tcW w:w="1426" w:type="dxa"/>
            <w:tcBorders>
              <w:top w:val="nil"/>
              <w:left w:val="nil"/>
              <w:bottom w:val="single" w:sz="4" w:space="0" w:color="auto"/>
              <w:right w:val="single" w:sz="4" w:space="0" w:color="auto"/>
            </w:tcBorders>
            <w:shd w:val="clear" w:color="auto" w:fill="auto"/>
            <w:vAlign w:val="center"/>
            <w:hideMark/>
          </w:tcPr>
          <w:p w14:paraId="77C0075F" w14:textId="77777777" w:rsidR="00A550EF" w:rsidRPr="00A550EF" w:rsidRDefault="00A550EF" w:rsidP="00A550EF">
            <w:pPr>
              <w:jc w:val="center"/>
              <w:rPr>
                <w:rFonts w:cs="Calibri"/>
                <w:sz w:val="20"/>
                <w:szCs w:val="20"/>
              </w:rPr>
            </w:pPr>
            <w:r w:rsidRPr="00A550EF">
              <w:rPr>
                <w:rFonts w:cs="Calibri"/>
                <w:sz w:val="20"/>
                <w:szCs w:val="20"/>
              </w:rPr>
              <w:t>Market Award</w:t>
            </w:r>
          </w:p>
        </w:tc>
        <w:tc>
          <w:tcPr>
            <w:tcW w:w="1094" w:type="dxa"/>
            <w:tcBorders>
              <w:top w:val="nil"/>
              <w:left w:val="nil"/>
              <w:bottom w:val="single" w:sz="4" w:space="0" w:color="auto"/>
              <w:right w:val="single" w:sz="4" w:space="0" w:color="auto"/>
            </w:tcBorders>
            <w:shd w:val="clear" w:color="auto" w:fill="auto"/>
            <w:noWrap/>
            <w:vAlign w:val="center"/>
            <w:hideMark/>
          </w:tcPr>
          <w:p w14:paraId="1CE7B968" w14:textId="77777777" w:rsidR="00A550EF" w:rsidRPr="00A550EF" w:rsidRDefault="00A550EF" w:rsidP="00A550EF">
            <w:pPr>
              <w:jc w:val="center"/>
              <w:rPr>
                <w:rFonts w:cs="Calibri"/>
                <w:sz w:val="20"/>
                <w:szCs w:val="20"/>
              </w:rPr>
            </w:pPr>
            <w:r w:rsidRPr="00A550EF">
              <w:rPr>
                <w:rFonts w:cs="Calibri"/>
                <w:sz w:val="20"/>
                <w:szCs w:val="20"/>
              </w:rPr>
              <w:t>Yes</w:t>
            </w:r>
          </w:p>
        </w:tc>
        <w:tc>
          <w:tcPr>
            <w:tcW w:w="836" w:type="dxa"/>
            <w:tcBorders>
              <w:top w:val="nil"/>
              <w:left w:val="nil"/>
              <w:bottom w:val="single" w:sz="4" w:space="0" w:color="auto"/>
              <w:right w:val="single" w:sz="4" w:space="0" w:color="auto"/>
            </w:tcBorders>
            <w:shd w:val="clear" w:color="auto" w:fill="auto"/>
            <w:noWrap/>
            <w:vAlign w:val="center"/>
            <w:hideMark/>
          </w:tcPr>
          <w:p w14:paraId="00C081DC" w14:textId="77777777" w:rsidR="00A550EF" w:rsidRPr="00A550EF" w:rsidRDefault="00A550EF" w:rsidP="00A550EF">
            <w:pPr>
              <w:jc w:val="right"/>
              <w:rPr>
                <w:rFonts w:cs="Calibri"/>
                <w:sz w:val="20"/>
                <w:szCs w:val="20"/>
              </w:rPr>
            </w:pPr>
            <w:r w:rsidRPr="00A550EF">
              <w:rPr>
                <w:rFonts w:cs="Calibri"/>
                <w:sz w:val="20"/>
                <w:szCs w:val="20"/>
              </w:rPr>
              <w:t>20,269</w:t>
            </w:r>
          </w:p>
        </w:tc>
        <w:tc>
          <w:tcPr>
            <w:tcW w:w="1067" w:type="dxa"/>
            <w:tcBorders>
              <w:top w:val="nil"/>
              <w:left w:val="nil"/>
              <w:bottom w:val="single" w:sz="4" w:space="0" w:color="auto"/>
              <w:right w:val="single" w:sz="4" w:space="0" w:color="auto"/>
            </w:tcBorders>
            <w:shd w:val="clear" w:color="auto" w:fill="auto"/>
            <w:noWrap/>
            <w:vAlign w:val="center"/>
            <w:hideMark/>
          </w:tcPr>
          <w:p w14:paraId="74427570" w14:textId="77777777" w:rsidR="00A550EF" w:rsidRPr="00A550EF" w:rsidRDefault="00A550EF" w:rsidP="00A550EF">
            <w:pPr>
              <w:jc w:val="right"/>
              <w:rPr>
                <w:rFonts w:cs="Calibri"/>
                <w:sz w:val="20"/>
                <w:szCs w:val="20"/>
              </w:rPr>
            </w:pPr>
            <w:r w:rsidRPr="00A550EF">
              <w:rPr>
                <w:rFonts w:cs="Calibri"/>
                <w:sz w:val="20"/>
                <w:szCs w:val="20"/>
              </w:rPr>
              <w:t>2.86</w:t>
            </w:r>
          </w:p>
        </w:tc>
        <w:tc>
          <w:tcPr>
            <w:tcW w:w="1067" w:type="dxa"/>
            <w:tcBorders>
              <w:top w:val="nil"/>
              <w:left w:val="nil"/>
              <w:bottom w:val="single" w:sz="4" w:space="0" w:color="auto"/>
              <w:right w:val="single" w:sz="4" w:space="0" w:color="auto"/>
            </w:tcBorders>
            <w:shd w:val="clear" w:color="auto" w:fill="auto"/>
            <w:noWrap/>
            <w:vAlign w:val="center"/>
            <w:hideMark/>
          </w:tcPr>
          <w:p w14:paraId="34A04373" w14:textId="77777777" w:rsidR="00A550EF" w:rsidRPr="00A550EF" w:rsidRDefault="00A550EF" w:rsidP="00A550EF">
            <w:pPr>
              <w:jc w:val="right"/>
              <w:rPr>
                <w:rFonts w:cs="Calibri"/>
                <w:sz w:val="20"/>
                <w:szCs w:val="20"/>
              </w:rPr>
            </w:pPr>
            <w:r w:rsidRPr="00A550EF">
              <w:rPr>
                <w:rFonts w:cs="Calibri"/>
                <w:sz w:val="20"/>
                <w:szCs w:val="20"/>
              </w:rPr>
              <w:t>0.43</w:t>
            </w:r>
          </w:p>
        </w:tc>
        <w:tc>
          <w:tcPr>
            <w:tcW w:w="852" w:type="dxa"/>
            <w:tcBorders>
              <w:top w:val="nil"/>
              <w:left w:val="nil"/>
              <w:bottom w:val="single" w:sz="4" w:space="0" w:color="auto"/>
              <w:right w:val="single" w:sz="4" w:space="0" w:color="auto"/>
            </w:tcBorders>
            <w:shd w:val="clear" w:color="auto" w:fill="auto"/>
            <w:noWrap/>
            <w:vAlign w:val="center"/>
            <w:hideMark/>
          </w:tcPr>
          <w:p w14:paraId="0348583D" w14:textId="77777777" w:rsidR="00A550EF" w:rsidRPr="00A550EF" w:rsidRDefault="00A550EF" w:rsidP="00A550EF">
            <w:pPr>
              <w:jc w:val="right"/>
              <w:rPr>
                <w:rFonts w:cs="Calibri"/>
                <w:sz w:val="20"/>
                <w:szCs w:val="20"/>
              </w:rPr>
            </w:pPr>
            <w:r w:rsidRPr="00A550EF">
              <w:rPr>
                <w:rFonts w:cs="Calibri"/>
                <w:sz w:val="20"/>
                <w:szCs w:val="20"/>
              </w:rPr>
              <w:t>15.1%</w:t>
            </w:r>
          </w:p>
        </w:tc>
        <w:tc>
          <w:tcPr>
            <w:tcW w:w="1063" w:type="dxa"/>
            <w:tcBorders>
              <w:top w:val="nil"/>
              <w:left w:val="nil"/>
              <w:bottom w:val="single" w:sz="4" w:space="0" w:color="auto"/>
              <w:right w:val="single" w:sz="4" w:space="0" w:color="auto"/>
            </w:tcBorders>
            <w:shd w:val="clear" w:color="auto" w:fill="auto"/>
            <w:noWrap/>
            <w:vAlign w:val="center"/>
            <w:hideMark/>
          </w:tcPr>
          <w:p w14:paraId="096DDE40" w14:textId="77777777" w:rsidR="00A550EF" w:rsidRPr="00A550EF" w:rsidRDefault="00A550EF" w:rsidP="00A550EF">
            <w:pPr>
              <w:jc w:val="right"/>
              <w:rPr>
                <w:rFonts w:cs="Calibri"/>
                <w:sz w:val="20"/>
                <w:szCs w:val="20"/>
              </w:rPr>
            </w:pPr>
            <w:r w:rsidRPr="00A550EF">
              <w:rPr>
                <w:rFonts w:cs="Calibri"/>
                <w:sz w:val="20"/>
                <w:szCs w:val="20"/>
              </w:rPr>
              <w:t>4.60</w:t>
            </w:r>
          </w:p>
        </w:tc>
        <w:tc>
          <w:tcPr>
            <w:tcW w:w="749" w:type="dxa"/>
            <w:tcBorders>
              <w:top w:val="nil"/>
              <w:left w:val="nil"/>
              <w:bottom w:val="single" w:sz="4" w:space="0" w:color="auto"/>
              <w:right w:val="single" w:sz="4" w:space="0" w:color="auto"/>
            </w:tcBorders>
            <w:shd w:val="clear" w:color="auto" w:fill="auto"/>
            <w:noWrap/>
            <w:vAlign w:val="center"/>
            <w:hideMark/>
          </w:tcPr>
          <w:p w14:paraId="56F3F8AB" w14:textId="77777777" w:rsidR="00A550EF" w:rsidRPr="00A550EF" w:rsidRDefault="00A550EF" w:rsidP="00A550EF">
            <w:pPr>
              <w:jc w:val="right"/>
              <w:rPr>
                <w:rFonts w:cs="Calibri"/>
                <w:sz w:val="20"/>
                <w:szCs w:val="20"/>
              </w:rPr>
            </w:pPr>
            <w:r w:rsidRPr="00A550EF">
              <w:rPr>
                <w:rFonts w:cs="Calibri"/>
                <w:sz w:val="20"/>
                <w:szCs w:val="20"/>
              </w:rPr>
              <w:t>100.9</w:t>
            </w:r>
          </w:p>
        </w:tc>
      </w:tr>
      <w:tr w:rsidR="00A550EF" w:rsidRPr="00A550EF" w14:paraId="639E6214" w14:textId="77777777" w:rsidTr="00A550EF">
        <w:trPr>
          <w:trHeight w:val="855"/>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1D75D59C" w14:textId="77777777" w:rsidR="00A550EF" w:rsidRPr="00A550EF" w:rsidRDefault="00A550EF" w:rsidP="00A550EF">
            <w:pPr>
              <w:jc w:val="center"/>
              <w:rPr>
                <w:rFonts w:cs="Calibri"/>
                <w:sz w:val="20"/>
                <w:szCs w:val="20"/>
              </w:rPr>
            </w:pPr>
            <w:r w:rsidRPr="00A550EF">
              <w:rPr>
                <w:rFonts w:cs="Calibri"/>
                <w:sz w:val="20"/>
                <w:szCs w:val="20"/>
              </w:rPr>
              <w:t>7/26/2018</w:t>
            </w:r>
          </w:p>
        </w:tc>
        <w:tc>
          <w:tcPr>
            <w:tcW w:w="2429" w:type="dxa"/>
            <w:tcBorders>
              <w:top w:val="nil"/>
              <w:left w:val="nil"/>
              <w:bottom w:val="single" w:sz="4" w:space="0" w:color="auto"/>
              <w:right w:val="single" w:sz="4" w:space="0" w:color="auto"/>
            </w:tcBorders>
            <w:shd w:val="clear" w:color="auto" w:fill="auto"/>
            <w:vAlign w:val="center"/>
            <w:hideMark/>
          </w:tcPr>
          <w:p w14:paraId="4C908FF9" w14:textId="4C58DC49" w:rsidR="00A550EF" w:rsidRPr="00A550EF" w:rsidRDefault="00A550EF" w:rsidP="00A550EF">
            <w:pPr>
              <w:rPr>
                <w:rFonts w:cs="Calibri"/>
                <w:sz w:val="20"/>
                <w:szCs w:val="20"/>
              </w:rPr>
            </w:pPr>
            <w:r w:rsidRPr="00A550EF">
              <w:rPr>
                <w:rFonts w:cs="Calibri"/>
                <w:sz w:val="20"/>
                <w:szCs w:val="20"/>
              </w:rPr>
              <w:t>4 to 7 p.m. (HE17 to HE19)</w:t>
            </w:r>
            <w:r w:rsidRPr="00A550EF">
              <w:rPr>
                <w:rFonts w:cs="Calibri"/>
                <w:sz w:val="20"/>
                <w:szCs w:val="20"/>
              </w:rPr>
              <w:br/>
              <w:t xml:space="preserve">3 to 6 p.m. (HE16 to HE18) </w:t>
            </w:r>
            <w:r w:rsidRPr="00A550EF">
              <w:rPr>
                <w:rFonts w:cs="Calibri"/>
                <w:sz w:val="20"/>
                <w:szCs w:val="20"/>
              </w:rPr>
              <w:br/>
              <w:t>*PGNC only</w:t>
            </w:r>
          </w:p>
        </w:tc>
        <w:tc>
          <w:tcPr>
            <w:tcW w:w="1260" w:type="dxa"/>
            <w:tcBorders>
              <w:top w:val="nil"/>
              <w:left w:val="nil"/>
              <w:bottom w:val="single" w:sz="4" w:space="0" w:color="auto"/>
              <w:right w:val="single" w:sz="4" w:space="0" w:color="auto"/>
            </w:tcBorders>
            <w:shd w:val="clear" w:color="auto" w:fill="auto"/>
            <w:vAlign w:val="center"/>
            <w:hideMark/>
          </w:tcPr>
          <w:p w14:paraId="60F0162D" w14:textId="77777777" w:rsidR="00A550EF" w:rsidRPr="00A550EF" w:rsidRDefault="00A550EF" w:rsidP="00A550EF">
            <w:pPr>
              <w:rPr>
                <w:rFonts w:cs="Calibri"/>
                <w:sz w:val="20"/>
                <w:szCs w:val="20"/>
              </w:rPr>
            </w:pPr>
            <w:r w:rsidRPr="00A550EF">
              <w:rPr>
                <w:rFonts w:cs="Calibri"/>
                <w:sz w:val="20"/>
                <w:szCs w:val="20"/>
              </w:rPr>
              <w:t>PGEB, PGFG, PGNC, PGST, PGZP</w:t>
            </w:r>
          </w:p>
        </w:tc>
        <w:tc>
          <w:tcPr>
            <w:tcW w:w="1426" w:type="dxa"/>
            <w:tcBorders>
              <w:top w:val="nil"/>
              <w:left w:val="nil"/>
              <w:bottom w:val="single" w:sz="4" w:space="0" w:color="auto"/>
              <w:right w:val="single" w:sz="4" w:space="0" w:color="auto"/>
            </w:tcBorders>
            <w:shd w:val="clear" w:color="auto" w:fill="auto"/>
            <w:vAlign w:val="center"/>
            <w:hideMark/>
          </w:tcPr>
          <w:p w14:paraId="758FAA90" w14:textId="77777777" w:rsidR="00A550EF" w:rsidRPr="00A550EF" w:rsidRDefault="00A550EF" w:rsidP="00A550EF">
            <w:pPr>
              <w:jc w:val="center"/>
              <w:rPr>
                <w:rFonts w:cs="Calibri"/>
                <w:sz w:val="20"/>
                <w:szCs w:val="20"/>
              </w:rPr>
            </w:pPr>
            <w:r w:rsidRPr="00A550EF">
              <w:rPr>
                <w:rFonts w:cs="Calibri"/>
                <w:sz w:val="20"/>
                <w:szCs w:val="20"/>
              </w:rPr>
              <w:t>Market Award</w:t>
            </w:r>
          </w:p>
        </w:tc>
        <w:tc>
          <w:tcPr>
            <w:tcW w:w="1094" w:type="dxa"/>
            <w:tcBorders>
              <w:top w:val="nil"/>
              <w:left w:val="nil"/>
              <w:bottom w:val="single" w:sz="4" w:space="0" w:color="auto"/>
              <w:right w:val="single" w:sz="4" w:space="0" w:color="auto"/>
            </w:tcBorders>
            <w:shd w:val="clear" w:color="auto" w:fill="auto"/>
            <w:noWrap/>
            <w:vAlign w:val="center"/>
            <w:hideMark/>
          </w:tcPr>
          <w:p w14:paraId="238F5DEF" w14:textId="77777777" w:rsidR="00A550EF" w:rsidRPr="00A550EF" w:rsidRDefault="00A550EF" w:rsidP="00A550EF">
            <w:pPr>
              <w:jc w:val="center"/>
              <w:rPr>
                <w:rFonts w:cs="Calibri"/>
                <w:sz w:val="20"/>
                <w:szCs w:val="20"/>
              </w:rPr>
            </w:pPr>
            <w:r w:rsidRPr="00A550EF">
              <w:rPr>
                <w:rFonts w:cs="Calibri"/>
                <w:sz w:val="20"/>
                <w:szCs w:val="20"/>
              </w:rPr>
              <w:t>Yes</w:t>
            </w:r>
          </w:p>
        </w:tc>
        <w:tc>
          <w:tcPr>
            <w:tcW w:w="836" w:type="dxa"/>
            <w:tcBorders>
              <w:top w:val="nil"/>
              <w:left w:val="nil"/>
              <w:bottom w:val="single" w:sz="4" w:space="0" w:color="auto"/>
              <w:right w:val="single" w:sz="4" w:space="0" w:color="auto"/>
            </w:tcBorders>
            <w:shd w:val="clear" w:color="auto" w:fill="auto"/>
            <w:noWrap/>
            <w:vAlign w:val="center"/>
            <w:hideMark/>
          </w:tcPr>
          <w:p w14:paraId="4E136AF9" w14:textId="77777777" w:rsidR="00A550EF" w:rsidRPr="00A550EF" w:rsidRDefault="00A550EF" w:rsidP="00A550EF">
            <w:pPr>
              <w:jc w:val="right"/>
              <w:rPr>
                <w:rFonts w:cs="Calibri"/>
                <w:sz w:val="20"/>
                <w:szCs w:val="20"/>
              </w:rPr>
            </w:pPr>
            <w:r w:rsidRPr="00A550EF">
              <w:rPr>
                <w:rFonts w:cs="Calibri"/>
                <w:sz w:val="20"/>
                <w:szCs w:val="20"/>
              </w:rPr>
              <w:t>28,088</w:t>
            </w:r>
          </w:p>
        </w:tc>
        <w:tc>
          <w:tcPr>
            <w:tcW w:w="1067" w:type="dxa"/>
            <w:tcBorders>
              <w:top w:val="nil"/>
              <w:left w:val="nil"/>
              <w:bottom w:val="single" w:sz="4" w:space="0" w:color="auto"/>
              <w:right w:val="single" w:sz="4" w:space="0" w:color="auto"/>
            </w:tcBorders>
            <w:shd w:val="clear" w:color="auto" w:fill="auto"/>
            <w:noWrap/>
            <w:vAlign w:val="center"/>
            <w:hideMark/>
          </w:tcPr>
          <w:p w14:paraId="59FBA16E" w14:textId="77777777" w:rsidR="00A550EF" w:rsidRPr="00A550EF" w:rsidRDefault="00A550EF" w:rsidP="00A550EF">
            <w:pPr>
              <w:jc w:val="right"/>
              <w:rPr>
                <w:rFonts w:cs="Calibri"/>
                <w:sz w:val="20"/>
                <w:szCs w:val="20"/>
              </w:rPr>
            </w:pPr>
            <w:r w:rsidRPr="00A550EF">
              <w:rPr>
                <w:rFonts w:cs="Calibri"/>
                <w:sz w:val="20"/>
                <w:szCs w:val="20"/>
              </w:rPr>
              <w:t>2.14</w:t>
            </w:r>
          </w:p>
        </w:tc>
        <w:tc>
          <w:tcPr>
            <w:tcW w:w="1067" w:type="dxa"/>
            <w:tcBorders>
              <w:top w:val="nil"/>
              <w:left w:val="nil"/>
              <w:bottom w:val="single" w:sz="4" w:space="0" w:color="auto"/>
              <w:right w:val="single" w:sz="4" w:space="0" w:color="auto"/>
            </w:tcBorders>
            <w:shd w:val="clear" w:color="auto" w:fill="auto"/>
            <w:noWrap/>
            <w:vAlign w:val="center"/>
            <w:hideMark/>
          </w:tcPr>
          <w:p w14:paraId="256CE409" w14:textId="77777777" w:rsidR="00A550EF" w:rsidRPr="00A550EF" w:rsidRDefault="00A550EF" w:rsidP="00A550EF">
            <w:pPr>
              <w:jc w:val="right"/>
              <w:rPr>
                <w:rFonts w:cs="Calibri"/>
                <w:sz w:val="20"/>
                <w:szCs w:val="20"/>
              </w:rPr>
            </w:pPr>
            <w:r w:rsidRPr="00A550EF">
              <w:rPr>
                <w:rFonts w:cs="Calibri"/>
                <w:sz w:val="20"/>
                <w:szCs w:val="20"/>
              </w:rPr>
              <w:t>0.32</w:t>
            </w:r>
          </w:p>
        </w:tc>
        <w:tc>
          <w:tcPr>
            <w:tcW w:w="852" w:type="dxa"/>
            <w:tcBorders>
              <w:top w:val="nil"/>
              <w:left w:val="nil"/>
              <w:bottom w:val="single" w:sz="4" w:space="0" w:color="auto"/>
              <w:right w:val="single" w:sz="4" w:space="0" w:color="auto"/>
            </w:tcBorders>
            <w:shd w:val="clear" w:color="auto" w:fill="auto"/>
            <w:noWrap/>
            <w:vAlign w:val="center"/>
            <w:hideMark/>
          </w:tcPr>
          <w:p w14:paraId="5D74F666" w14:textId="77777777" w:rsidR="00A550EF" w:rsidRPr="00A550EF" w:rsidRDefault="00A550EF" w:rsidP="00A550EF">
            <w:pPr>
              <w:jc w:val="right"/>
              <w:rPr>
                <w:rFonts w:cs="Calibri"/>
                <w:sz w:val="20"/>
                <w:szCs w:val="20"/>
              </w:rPr>
            </w:pPr>
            <w:r w:rsidRPr="00A550EF">
              <w:rPr>
                <w:rFonts w:cs="Calibri"/>
                <w:sz w:val="20"/>
                <w:szCs w:val="20"/>
              </w:rPr>
              <w:t>14.8%</w:t>
            </w:r>
          </w:p>
        </w:tc>
        <w:tc>
          <w:tcPr>
            <w:tcW w:w="1063" w:type="dxa"/>
            <w:tcBorders>
              <w:top w:val="nil"/>
              <w:left w:val="nil"/>
              <w:bottom w:val="single" w:sz="4" w:space="0" w:color="auto"/>
              <w:right w:val="single" w:sz="4" w:space="0" w:color="auto"/>
            </w:tcBorders>
            <w:shd w:val="clear" w:color="auto" w:fill="auto"/>
            <w:noWrap/>
            <w:vAlign w:val="center"/>
            <w:hideMark/>
          </w:tcPr>
          <w:p w14:paraId="6B1D8BAE" w14:textId="77777777" w:rsidR="00A550EF" w:rsidRPr="00A550EF" w:rsidRDefault="00A550EF" w:rsidP="00A550EF">
            <w:pPr>
              <w:jc w:val="right"/>
              <w:rPr>
                <w:rFonts w:cs="Calibri"/>
                <w:sz w:val="20"/>
                <w:szCs w:val="20"/>
              </w:rPr>
            </w:pPr>
            <w:r w:rsidRPr="00A550EF">
              <w:rPr>
                <w:rFonts w:cs="Calibri"/>
                <w:sz w:val="20"/>
                <w:szCs w:val="20"/>
              </w:rPr>
              <w:t>6.68</w:t>
            </w:r>
          </w:p>
        </w:tc>
        <w:tc>
          <w:tcPr>
            <w:tcW w:w="749" w:type="dxa"/>
            <w:tcBorders>
              <w:top w:val="nil"/>
              <w:left w:val="nil"/>
              <w:bottom w:val="single" w:sz="4" w:space="0" w:color="auto"/>
              <w:right w:val="single" w:sz="4" w:space="0" w:color="auto"/>
            </w:tcBorders>
            <w:shd w:val="clear" w:color="auto" w:fill="auto"/>
            <w:noWrap/>
            <w:vAlign w:val="center"/>
            <w:hideMark/>
          </w:tcPr>
          <w:p w14:paraId="6784903D" w14:textId="77777777" w:rsidR="00A550EF" w:rsidRPr="00A550EF" w:rsidRDefault="00A550EF" w:rsidP="00A550EF">
            <w:pPr>
              <w:jc w:val="right"/>
              <w:rPr>
                <w:rFonts w:cs="Calibri"/>
                <w:sz w:val="20"/>
                <w:szCs w:val="20"/>
              </w:rPr>
            </w:pPr>
            <w:r w:rsidRPr="00A550EF">
              <w:rPr>
                <w:rFonts w:cs="Calibri"/>
                <w:sz w:val="20"/>
                <w:szCs w:val="20"/>
              </w:rPr>
              <w:t>90.7</w:t>
            </w:r>
          </w:p>
        </w:tc>
      </w:tr>
      <w:tr w:rsidR="00A550EF" w:rsidRPr="00A550EF" w14:paraId="3C2AC249" w14:textId="77777777" w:rsidTr="00A550EF">
        <w:trPr>
          <w:trHeight w:val="585"/>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4E258503" w14:textId="77777777" w:rsidR="00A550EF" w:rsidRPr="00A550EF" w:rsidRDefault="00A550EF" w:rsidP="00A550EF">
            <w:pPr>
              <w:jc w:val="center"/>
              <w:rPr>
                <w:rFonts w:cs="Calibri"/>
                <w:sz w:val="20"/>
                <w:szCs w:val="20"/>
              </w:rPr>
            </w:pPr>
            <w:r w:rsidRPr="00A550EF">
              <w:rPr>
                <w:rFonts w:cs="Calibri"/>
                <w:sz w:val="20"/>
                <w:szCs w:val="20"/>
              </w:rPr>
              <w:t>7/27/2018</w:t>
            </w:r>
          </w:p>
        </w:tc>
        <w:tc>
          <w:tcPr>
            <w:tcW w:w="2429" w:type="dxa"/>
            <w:tcBorders>
              <w:top w:val="nil"/>
              <w:left w:val="nil"/>
              <w:bottom w:val="single" w:sz="4" w:space="0" w:color="auto"/>
              <w:right w:val="single" w:sz="4" w:space="0" w:color="auto"/>
            </w:tcBorders>
            <w:shd w:val="clear" w:color="auto" w:fill="auto"/>
            <w:vAlign w:val="center"/>
            <w:hideMark/>
          </w:tcPr>
          <w:p w14:paraId="106CA593" w14:textId="77777777" w:rsidR="00A550EF" w:rsidRPr="00A550EF" w:rsidRDefault="00A550EF" w:rsidP="00A550EF">
            <w:pPr>
              <w:rPr>
                <w:rFonts w:cs="Calibri"/>
                <w:sz w:val="20"/>
                <w:szCs w:val="20"/>
              </w:rPr>
            </w:pPr>
            <w:r w:rsidRPr="00A550EF">
              <w:rPr>
                <w:rFonts w:cs="Calibri"/>
                <w:sz w:val="20"/>
                <w:szCs w:val="20"/>
              </w:rPr>
              <w:t xml:space="preserve">7 to 11:59 p.m. </w:t>
            </w:r>
            <w:r w:rsidRPr="00A550EF">
              <w:rPr>
                <w:rFonts w:cs="Calibri"/>
                <w:sz w:val="20"/>
                <w:szCs w:val="20"/>
              </w:rPr>
              <w:br/>
              <w:t>(HE20 to HE24)</w:t>
            </w:r>
          </w:p>
        </w:tc>
        <w:tc>
          <w:tcPr>
            <w:tcW w:w="1260" w:type="dxa"/>
            <w:tcBorders>
              <w:top w:val="nil"/>
              <w:left w:val="nil"/>
              <w:bottom w:val="single" w:sz="4" w:space="0" w:color="auto"/>
              <w:right w:val="single" w:sz="4" w:space="0" w:color="auto"/>
            </w:tcBorders>
            <w:shd w:val="clear" w:color="auto" w:fill="auto"/>
            <w:vAlign w:val="center"/>
            <w:hideMark/>
          </w:tcPr>
          <w:p w14:paraId="3318B7F1" w14:textId="77777777" w:rsidR="00A550EF" w:rsidRPr="00A550EF" w:rsidRDefault="00A550EF" w:rsidP="00A550EF">
            <w:pPr>
              <w:rPr>
                <w:rFonts w:cs="Calibri"/>
                <w:sz w:val="20"/>
                <w:szCs w:val="20"/>
              </w:rPr>
            </w:pPr>
            <w:r w:rsidRPr="00A550EF">
              <w:rPr>
                <w:rFonts w:cs="Calibri"/>
                <w:sz w:val="20"/>
                <w:szCs w:val="20"/>
              </w:rPr>
              <w:t>PGNC</w:t>
            </w:r>
          </w:p>
        </w:tc>
        <w:tc>
          <w:tcPr>
            <w:tcW w:w="1426" w:type="dxa"/>
            <w:tcBorders>
              <w:top w:val="nil"/>
              <w:left w:val="nil"/>
              <w:bottom w:val="single" w:sz="4" w:space="0" w:color="auto"/>
              <w:right w:val="single" w:sz="4" w:space="0" w:color="auto"/>
            </w:tcBorders>
            <w:shd w:val="clear" w:color="auto" w:fill="auto"/>
            <w:vAlign w:val="center"/>
            <w:hideMark/>
          </w:tcPr>
          <w:p w14:paraId="56557396" w14:textId="77777777" w:rsidR="00A550EF" w:rsidRPr="00A550EF" w:rsidRDefault="00A550EF" w:rsidP="00A550EF">
            <w:pPr>
              <w:jc w:val="center"/>
              <w:rPr>
                <w:rFonts w:cs="Calibri"/>
                <w:sz w:val="20"/>
                <w:szCs w:val="20"/>
              </w:rPr>
            </w:pPr>
            <w:r w:rsidRPr="00A550EF">
              <w:rPr>
                <w:rFonts w:cs="Calibri"/>
                <w:sz w:val="20"/>
                <w:szCs w:val="20"/>
              </w:rPr>
              <w:t>Transmission Emergency</w:t>
            </w:r>
          </w:p>
        </w:tc>
        <w:tc>
          <w:tcPr>
            <w:tcW w:w="1094" w:type="dxa"/>
            <w:tcBorders>
              <w:top w:val="nil"/>
              <w:left w:val="nil"/>
              <w:bottom w:val="single" w:sz="4" w:space="0" w:color="auto"/>
              <w:right w:val="single" w:sz="4" w:space="0" w:color="auto"/>
            </w:tcBorders>
            <w:shd w:val="clear" w:color="auto" w:fill="auto"/>
            <w:noWrap/>
            <w:vAlign w:val="center"/>
            <w:hideMark/>
          </w:tcPr>
          <w:p w14:paraId="274035EF" w14:textId="77777777" w:rsidR="00A550EF" w:rsidRPr="00A550EF" w:rsidRDefault="00A550EF" w:rsidP="00A550EF">
            <w:pPr>
              <w:jc w:val="center"/>
              <w:rPr>
                <w:rFonts w:cs="Calibri"/>
                <w:sz w:val="20"/>
                <w:szCs w:val="20"/>
              </w:rPr>
            </w:pPr>
            <w:r w:rsidRPr="00A550EF">
              <w:rPr>
                <w:rFonts w:cs="Calibri"/>
                <w:sz w:val="20"/>
                <w:szCs w:val="20"/>
              </w:rPr>
              <w:t>No</w:t>
            </w:r>
          </w:p>
        </w:tc>
        <w:tc>
          <w:tcPr>
            <w:tcW w:w="836" w:type="dxa"/>
            <w:tcBorders>
              <w:top w:val="nil"/>
              <w:left w:val="nil"/>
              <w:bottom w:val="single" w:sz="4" w:space="0" w:color="auto"/>
              <w:right w:val="single" w:sz="4" w:space="0" w:color="auto"/>
            </w:tcBorders>
            <w:shd w:val="clear" w:color="auto" w:fill="auto"/>
            <w:noWrap/>
            <w:vAlign w:val="center"/>
            <w:hideMark/>
          </w:tcPr>
          <w:p w14:paraId="6561CFA3" w14:textId="77777777" w:rsidR="00A550EF" w:rsidRPr="00A550EF" w:rsidRDefault="00A550EF" w:rsidP="00A550EF">
            <w:pPr>
              <w:jc w:val="right"/>
              <w:rPr>
                <w:rFonts w:cs="Calibri"/>
                <w:sz w:val="20"/>
                <w:szCs w:val="20"/>
              </w:rPr>
            </w:pPr>
            <w:r w:rsidRPr="00A550EF">
              <w:rPr>
                <w:rFonts w:cs="Calibri"/>
                <w:sz w:val="20"/>
                <w:szCs w:val="20"/>
              </w:rPr>
              <w:t>731</w:t>
            </w:r>
          </w:p>
        </w:tc>
        <w:tc>
          <w:tcPr>
            <w:tcW w:w="1067" w:type="dxa"/>
            <w:tcBorders>
              <w:top w:val="nil"/>
              <w:left w:val="nil"/>
              <w:bottom w:val="single" w:sz="4" w:space="0" w:color="auto"/>
              <w:right w:val="single" w:sz="4" w:space="0" w:color="auto"/>
            </w:tcBorders>
            <w:shd w:val="clear" w:color="auto" w:fill="auto"/>
            <w:noWrap/>
            <w:vAlign w:val="center"/>
            <w:hideMark/>
          </w:tcPr>
          <w:p w14:paraId="74679ACB" w14:textId="77777777" w:rsidR="00A550EF" w:rsidRPr="00A550EF" w:rsidRDefault="00A550EF" w:rsidP="00A550EF">
            <w:pPr>
              <w:jc w:val="right"/>
              <w:rPr>
                <w:rFonts w:cs="Calibri"/>
                <w:sz w:val="20"/>
                <w:szCs w:val="20"/>
              </w:rPr>
            </w:pPr>
            <w:r w:rsidRPr="00A550EF">
              <w:rPr>
                <w:rFonts w:cs="Calibri"/>
                <w:sz w:val="20"/>
                <w:szCs w:val="20"/>
              </w:rPr>
              <w:t>1.60</w:t>
            </w:r>
          </w:p>
        </w:tc>
        <w:tc>
          <w:tcPr>
            <w:tcW w:w="1067" w:type="dxa"/>
            <w:tcBorders>
              <w:top w:val="nil"/>
              <w:left w:val="nil"/>
              <w:bottom w:val="single" w:sz="4" w:space="0" w:color="auto"/>
              <w:right w:val="single" w:sz="4" w:space="0" w:color="auto"/>
            </w:tcBorders>
            <w:shd w:val="clear" w:color="auto" w:fill="auto"/>
            <w:noWrap/>
            <w:vAlign w:val="center"/>
            <w:hideMark/>
          </w:tcPr>
          <w:p w14:paraId="45AA643E" w14:textId="77777777" w:rsidR="00A550EF" w:rsidRPr="00A550EF" w:rsidRDefault="00A550EF" w:rsidP="00A550EF">
            <w:pPr>
              <w:jc w:val="right"/>
              <w:rPr>
                <w:rFonts w:cs="Calibri"/>
                <w:sz w:val="20"/>
                <w:szCs w:val="20"/>
              </w:rPr>
            </w:pPr>
            <w:r w:rsidRPr="00A550EF">
              <w:rPr>
                <w:rFonts w:cs="Calibri"/>
                <w:sz w:val="20"/>
                <w:szCs w:val="20"/>
              </w:rPr>
              <w:t>0.05</w:t>
            </w:r>
          </w:p>
        </w:tc>
        <w:tc>
          <w:tcPr>
            <w:tcW w:w="852" w:type="dxa"/>
            <w:tcBorders>
              <w:top w:val="nil"/>
              <w:left w:val="nil"/>
              <w:bottom w:val="single" w:sz="4" w:space="0" w:color="auto"/>
              <w:right w:val="single" w:sz="4" w:space="0" w:color="auto"/>
            </w:tcBorders>
            <w:shd w:val="clear" w:color="auto" w:fill="auto"/>
            <w:noWrap/>
            <w:vAlign w:val="center"/>
            <w:hideMark/>
          </w:tcPr>
          <w:p w14:paraId="34D47A29" w14:textId="77777777" w:rsidR="00A550EF" w:rsidRPr="00A550EF" w:rsidRDefault="00A550EF" w:rsidP="00A550EF">
            <w:pPr>
              <w:jc w:val="right"/>
              <w:rPr>
                <w:rFonts w:cs="Calibri"/>
                <w:sz w:val="20"/>
                <w:szCs w:val="20"/>
              </w:rPr>
            </w:pPr>
            <w:r w:rsidRPr="00A550EF">
              <w:rPr>
                <w:rFonts w:cs="Calibri"/>
                <w:sz w:val="20"/>
                <w:szCs w:val="20"/>
              </w:rPr>
              <w:t>3.4%</w:t>
            </w:r>
          </w:p>
        </w:tc>
        <w:tc>
          <w:tcPr>
            <w:tcW w:w="1063" w:type="dxa"/>
            <w:tcBorders>
              <w:top w:val="nil"/>
              <w:left w:val="nil"/>
              <w:bottom w:val="single" w:sz="4" w:space="0" w:color="auto"/>
              <w:right w:val="single" w:sz="4" w:space="0" w:color="auto"/>
            </w:tcBorders>
            <w:shd w:val="clear" w:color="auto" w:fill="auto"/>
            <w:noWrap/>
            <w:vAlign w:val="center"/>
            <w:hideMark/>
          </w:tcPr>
          <w:p w14:paraId="565F565A" w14:textId="77777777" w:rsidR="00A550EF" w:rsidRPr="00A550EF" w:rsidRDefault="00A550EF" w:rsidP="00A550EF">
            <w:pPr>
              <w:jc w:val="right"/>
              <w:rPr>
                <w:rFonts w:cs="Calibri"/>
                <w:sz w:val="20"/>
                <w:szCs w:val="20"/>
              </w:rPr>
            </w:pPr>
            <w:r w:rsidRPr="00A550EF">
              <w:rPr>
                <w:rFonts w:cs="Calibri"/>
                <w:sz w:val="20"/>
                <w:szCs w:val="20"/>
              </w:rPr>
              <w:t>0.04</w:t>
            </w:r>
          </w:p>
        </w:tc>
        <w:tc>
          <w:tcPr>
            <w:tcW w:w="749" w:type="dxa"/>
            <w:tcBorders>
              <w:top w:val="nil"/>
              <w:left w:val="nil"/>
              <w:bottom w:val="single" w:sz="4" w:space="0" w:color="auto"/>
              <w:right w:val="single" w:sz="4" w:space="0" w:color="auto"/>
            </w:tcBorders>
            <w:shd w:val="clear" w:color="auto" w:fill="auto"/>
            <w:noWrap/>
            <w:vAlign w:val="center"/>
            <w:hideMark/>
          </w:tcPr>
          <w:p w14:paraId="2280A445" w14:textId="77777777" w:rsidR="00A550EF" w:rsidRPr="00A550EF" w:rsidRDefault="00A550EF" w:rsidP="00A550EF">
            <w:pPr>
              <w:jc w:val="right"/>
              <w:rPr>
                <w:rFonts w:cs="Calibri"/>
                <w:sz w:val="20"/>
                <w:szCs w:val="20"/>
              </w:rPr>
            </w:pPr>
            <w:r w:rsidRPr="00A550EF">
              <w:rPr>
                <w:rFonts w:cs="Calibri"/>
                <w:sz w:val="20"/>
                <w:szCs w:val="20"/>
              </w:rPr>
              <w:t>79.1</w:t>
            </w:r>
          </w:p>
        </w:tc>
      </w:tr>
      <w:tr w:rsidR="00A550EF" w:rsidRPr="00A550EF" w14:paraId="022C0802" w14:textId="77777777" w:rsidTr="00A550EF">
        <w:trPr>
          <w:trHeight w:val="765"/>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4F6C2E7B" w14:textId="77777777" w:rsidR="00A550EF" w:rsidRPr="00A550EF" w:rsidRDefault="00A550EF" w:rsidP="00A550EF">
            <w:pPr>
              <w:jc w:val="center"/>
              <w:rPr>
                <w:rFonts w:cs="Calibri"/>
                <w:sz w:val="20"/>
                <w:szCs w:val="20"/>
              </w:rPr>
            </w:pPr>
            <w:r w:rsidRPr="00A550EF">
              <w:rPr>
                <w:rFonts w:cs="Calibri"/>
                <w:sz w:val="20"/>
                <w:szCs w:val="20"/>
              </w:rPr>
              <w:t>8/8/2018</w:t>
            </w:r>
          </w:p>
        </w:tc>
        <w:tc>
          <w:tcPr>
            <w:tcW w:w="2429" w:type="dxa"/>
            <w:tcBorders>
              <w:top w:val="nil"/>
              <w:left w:val="nil"/>
              <w:bottom w:val="single" w:sz="4" w:space="0" w:color="auto"/>
              <w:right w:val="single" w:sz="4" w:space="0" w:color="auto"/>
            </w:tcBorders>
            <w:shd w:val="clear" w:color="auto" w:fill="auto"/>
            <w:vAlign w:val="center"/>
            <w:hideMark/>
          </w:tcPr>
          <w:p w14:paraId="043FF4DC" w14:textId="77777777" w:rsidR="00A550EF" w:rsidRPr="00A550EF" w:rsidRDefault="00A550EF" w:rsidP="00A550EF">
            <w:pPr>
              <w:rPr>
                <w:rFonts w:cs="Calibri"/>
                <w:sz w:val="20"/>
                <w:szCs w:val="20"/>
              </w:rPr>
            </w:pPr>
            <w:r w:rsidRPr="00A550EF">
              <w:rPr>
                <w:rFonts w:cs="Calibri"/>
                <w:sz w:val="20"/>
                <w:szCs w:val="20"/>
              </w:rPr>
              <w:t>4 to 7 p.m. (HE17 to HE 19)</w:t>
            </w:r>
          </w:p>
        </w:tc>
        <w:tc>
          <w:tcPr>
            <w:tcW w:w="1260" w:type="dxa"/>
            <w:tcBorders>
              <w:top w:val="nil"/>
              <w:left w:val="nil"/>
              <w:bottom w:val="single" w:sz="4" w:space="0" w:color="auto"/>
              <w:right w:val="single" w:sz="4" w:space="0" w:color="auto"/>
            </w:tcBorders>
            <w:shd w:val="clear" w:color="auto" w:fill="auto"/>
            <w:vAlign w:val="center"/>
            <w:hideMark/>
          </w:tcPr>
          <w:p w14:paraId="24A15D09" w14:textId="77777777" w:rsidR="00A550EF" w:rsidRPr="00A550EF" w:rsidRDefault="00A550EF" w:rsidP="00A550EF">
            <w:pPr>
              <w:rPr>
                <w:rFonts w:cs="Calibri"/>
                <w:sz w:val="20"/>
                <w:szCs w:val="20"/>
              </w:rPr>
            </w:pPr>
            <w:r w:rsidRPr="00A550EF">
              <w:rPr>
                <w:rFonts w:cs="Calibri"/>
                <w:sz w:val="20"/>
                <w:szCs w:val="20"/>
              </w:rPr>
              <w:t>PGEB, PGF1, PGKN, PGST, PGZP</w:t>
            </w:r>
          </w:p>
        </w:tc>
        <w:tc>
          <w:tcPr>
            <w:tcW w:w="1426" w:type="dxa"/>
            <w:tcBorders>
              <w:top w:val="nil"/>
              <w:left w:val="nil"/>
              <w:bottom w:val="single" w:sz="4" w:space="0" w:color="auto"/>
              <w:right w:val="single" w:sz="4" w:space="0" w:color="auto"/>
            </w:tcBorders>
            <w:shd w:val="clear" w:color="auto" w:fill="auto"/>
            <w:vAlign w:val="center"/>
            <w:hideMark/>
          </w:tcPr>
          <w:p w14:paraId="5D7AF630" w14:textId="77777777" w:rsidR="00A550EF" w:rsidRPr="00A550EF" w:rsidRDefault="00A550EF" w:rsidP="00A550EF">
            <w:pPr>
              <w:jc w:val="center"/>
              <w:rPr>
                <w:rFonts w:cs="Calibri"/>
                <w:sz w:val="20"/>
                <w:szCs w:val="20"/>
              </w:rPr>
            </w:pPr>
            <w:r w:rsidRPr="00A550EF">
              <w:rPr>
                <w:rFonts w:cs="Calibri"/>
                <w:sz w:val="20"/>
                <w:szCs w:val="20"/>
              </w:rPr>
              <w:t>Market Award</w:t>
            </w:r>
          </w:p>
        </w:tc>
        <w:tc>
          <w:tcPr>
            <w:tcW w:w="1094" w:type="dxa"/>
            <w:tcBorders>
              <w:top w:val="nil"/>
              <w:left w:val="nil"/>
              <w:bottom w:val="single" w:sz="4" w:space="0" w:color="auto"/>
              <w:right w:val="single" w:sz="4" w:space="0" w:color="auto"/>
            </w:tcBorders>
            <w:shd w:val="clear" w:color="auto" w:fill="auto"/>
            <w:noWrap/>
            <w:vAlign w:val="center"/>
            <w:hideMark/>
          </w:tcPr>
          <w:p w14:paraId="51437A0F" w14:textId="77777777" w:rsidR="00A550EF" w:rsidRPr="00A550EF" w:rsidRDefault="00A550EF" w:rsidP="00A550EF">
            <w:pPr>
              <w:jc w:val="center"/>
              <w:rPr>
                <w:rFonts w:cs="Calibri"/>
                <w:sz w:val="20"/>
                <w:szCs w:val="20"/>
              </w:rPr>
            </w:pPr>
            <w:r w:rsidRPr="00A550EF">
              <w:rPr>
                <w:rFonts w:cs="Calibri"/>
                <w:sz w:val="20"/>
                <w:szCs w:val="20"/>
              </w:rPr>
              <w:t>No</w:t>
            </w:r>
          </w:p>
        </w:tc>
        <w:tc>
          <w:tcPr>
            <w:tcW w:w="836" w:type="dxa"/>
            <w:tcBorders>
              <w:top w:val="nil"/>
              <w:left w:val="nil"/>
              <w:bottom w:val="single" w:sz="4" w:space="0" w:color="auto"/>
              <w:right w:val="single" w:sz="4" w:space="0" w:color="auto"/>
            </w:tcBorders>
            <w:shd w:val="clear" w:color="auto" w:fill="auto"/>
            <w:noWrap/>
            <w:vAlign w:val="center"/>
            <w:hideMark/>
          </w:tcPr>
          <w:p w14:paraId="24AE7D7F" w14:textId="77777777" w:rsidR="00A550EF" w:rsidRPr="00A550EF" w:rsidRDefault="00A550EF" w:rsidP="00A550EF">
            <w:pPr>
              <w:jc w:val="right"/>
              <w:rPr>
                <w:rFonts w:cs="Calibri"/>
                <w:sz w:val="20"/>
                <w:szCs w:val="20"/>
              </w:rPr>
            </w:pPr>
            <w:r w:rsidRPr="00A550EF">
              <w:rPr>
                <w:rFonts w:cs="Calibri"/>
                <w:sz w:val="20"/>
                <w:szCs w:val="20"/>
              </w:rPr>
              <w:t>53,802</w:t>
            </w:r>
          </w:p>
        </w:tc>
        <w:tc>
          <w:tcPr>
            <w:tcW w:w="1067" w:type="dxa"/>
            <w:tcBorders>
              <w:top w:val="nil"/>
              <w:left w:val="nil"/>
              <w:bottom w:val="single" w:sz="4" w:space="0" w:color="auto"/>
              <w:right w:val="single" w:sz="4" w:space="0" w:color="auto"/>
            </w:tcBorders>
            <w:shd w:val="clear" w:color="auto" w:fill="auto"/>
            <w:noWrap/>
            <w:vAlign w:val="center"/>
            <w:hideMark/>
          </w:tcPr>
          <w:p w14:paraId="55114821" w14:textId="77777777" w:rsidR="00A550EF" w:rsidRPr="00A550EF" w:rsidRDefault="00A550EF" w:rsidP="00A550EF">
            <w:pPr>
              <w:jc w:val="right"/>
              <w:rPr>
                <w:rFonts w:cs="Calibri"/>
                <w:sz w:val="20"/>
                <w:szCs w:val="20"/>
              </w:rPr>
            </w:pPr>
            <w:r w:rsidRPr="00A550EF">
              <w:rPr>
                <w:rFonts w:cs="Calibri"/>
                <w:sz w:val="20"/>
                <w:szCs w:val="20"/>
              </w:rPr>
              <w:t>2.16</w:t>
            </w:r>
          </w:p>
        </w:tc>
        <w:tc>
          <w:tcPr>
            <w:tcW w:w="1067" w:type="dxa"/>
            <w:tcBorders>
              <w:top w:val="nil"/>
              <w:left w:val="nil"/>
              <w:bottom w:val="single" w:sz="4" w:space="0" w:color="auto"/>
              <w:right w:val="single" w:sz="4" w:space="0" w:color="auto"/>
            </w:tcBorders>
            <w:shd w:val="clear" w:color="auto" w:fill="auto"/>
            <w:noWrap/>
            <w:vAlign w:val="center"/>
            <w:hideMark/>
          </w:tcPr>
          <w:p w14:paraId="1308EF69" w14:textId="77777777" w:rsidR="00A550EF" w:rsidRPr="00A550EF" w:rsidRDefault="00A550EF" w:rsidP="00A550EF">
            <w:pPr>
              <w:jc w:val="right"/>
              <w:rPr>
                <w:rFonts w:cs="Calibri"/>
                <w:sz w:val="20"/>
                <w:szCs w:val="20"/>
              </w:rPr>
            </w:pPr>
            <w:r w:rsidRPr="00A550EF">
              <w:rPr>
                <w:rFonts w:cs="Calibri"/>
                <w:sz w:val="20"/>
                <w:szCs w:val="20"/>
              </w:rPr>
              <w:t>0.26</w:t>
            </w:r>
          </w:p>
        </w:tc>
        <w:tc>
          <w:tcPr>
            <w:tcW w:w="852" w:type="dxa"/>
            <w:tcBorders>
              <w:top w:val="nil"/>
              <w:left w:val="nil"/>
              <w:bottom w:val="single" w:sz="4" w:space="0" w:color="auto"/>
              <w:right w:val="single" w:sz="4" w:space="0" w:color="auto"/>
            </w:tcBorders>
            <w:shd w:val="clear" w:color="auto" w:fill="auto"/>
            <w:noWrap/>
            <w:vAlign w:val="center"/>
            <w:hideMark/>
          </w:tcPr>
          <w:p w14:paraId="58D54551" w14:textId="77777777" w:rsidR="00A550EF" w:rsidRPr="00A550EF" w:rsidRDefault="00A550EF" w:rsidP="00A550EF">
            <w:pPr>
              <w:jc w:val="right"/>
              <w:rPr>
                <w:rFonts w:cs="Calibri"/>
                <w:sz w:val="20"/>
                <w:szCs w:val="20"/>
              </w:rPr>
            </w:pPr>
            <w:r w:rsidRPr="00A550EF">
              <w:rPr>
                <w:rFonts w:cs="Calibri"/>
                <w:sz w:val="20"/>
                <w:szCs w:val="20"/>
              </w:rPr>
              <w:t>12.1%</w:t>
            </w:r>
          </w:p>
        </w:tc>
        <w:tc>
          <w:tcPr>
            <w:tcW w:w="1063" w:type="dxa"/>
            <w:tcBorders>
              <w:top w:val="nil"/>
              <w:left w:val="nil"/>
              <w:bottom w:val="single" w:sz="4" w:space="0" w:color="auto"/>
              <w:right w:val="single" w:sz="4" w:space="0" w:color="auto"/>
            </w:tcBorders>
            <w:shd w:val="clear" w:color="auto" w:fill="auto"/>
            <w:noWrap/>
            <w:vAlign w:val="center"/>
            <w:hideMark/>
          </w:tcPr>
          <w:p w14:paraId="08D11AC8" w14:textId="77777777" w:rsidR="00A550EF" w:rsidRPr="00A550EF" w:rsidRDefault="00A550EF" w:rsidP="00A550EF">
            <w:pPr>
              <w:jc w:val="right"/>
              <w:rPr>
                <w:rFonts w:cs="Calibri"/>
                <w:sz w:val="20"/>
                <w:szCs w:val="20"/>
              </w:rPr>
            </w:pPr>
            <w:r w:rsidRPr="00A550EF">
              <w:rPr>
                <w:rFonts w:cs="Calibri"/>
                <w:sz w:val="20"/>
                <w:szCs w:val="20"/>
              </w:rPr>
              <w:t>14.06</w:t>
            </w:r>
          </w:p>
        </w:tc>
        <w:tc>
          <w:tcPr>
            <w:tcW w:w="749" w:type="dxa"/>
            <w:tcBorders>
              <w:top w:val="nil"/>
              <w:left w:val="nil"/>
              <w:bottom w:val="single" w:sz="4" w:space="0" w:color="auto"/>
              <w:right w:val="single" w:sz="4" w:space="0" w:color="auto"/>
            </w:tcBorders>
            <w:shd w:val="clear" w:color="auto" w:fill="auto"/>
            <w:noWrap/>
            <w:vAlign w:val="center"/>
            <w:hideMark/>
          </w:tcPr>
          <w:p w14:paraId="58FD22C7" w14:textId="77777777" w:rsidR="00A550EF" w:rsidRPr="00A550EF" w:rsidRDefault="00A550EF" w:rsidP="00A550EF">
            <w:pPr>
              <w:jc w:val="right"/>
              <w:rPr>
                <w:rFonts w:cs="Calibri"/>
                <w:sz w:val="20"/>
                <w:szCs w:val="20"/>
              </w:rPr>
            </w:pPr>
            <w:r w:rsidRPr="00A550EF">
              <w:rPr>
                <w:rFonts w:cs="Calibri"/>
                <w:sz w:val="20"/>
                <w:szCs w:val="20"/>
              </w:rPr>
              <w:t>96.1</w:t>
            </w:r>
          </w:p>
        </w:tc>
      </w:tr>
      <w:tr w:rsidR="00A550EF" w:rsidRPr="00A550EF" w14:paraId="6DCA862A" w14:textId="77777777" w:rsidTr="00A550EF">
        <w:trPr>
          <w:trHeight w:val="765"/>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6E3BF4CA" w14:textId="77777777" w:rsidR="00A550EF" w:rsidRPr="00A550EF" w:rsidRDefault="00A550EF" w:rsidP="00A550EF">
            <w:pPr>
              <w:jc w:val="center"/>
              <w:rPr>
                <w:rFonts w:cs="Calibri"/>
                <w:sz w:val="20"/>
                <w:szCs w:val="20"/>
              </w:rPr>
            </w:pPr>
            <w:r w:rsidRPr="00A550EF">
              <w:rPr>
                <w:rFonts w:cs="Calibri"/>
                <w:sz w:val="20"/>
                <w:szCs w:val="20"/>
              </w:rPr>
              <w:t>8/9/2018</w:t>
            </w:r>
          </w:p>
        </w:tc>
        <w:tc>
          <w:tcPr>
            <w:tcW w:w="2429" w:type="dxa"/>
            <w:tcBorders>
              <w:top w:val="nil"/>
              <w:left w:val="nil"/>
              <w:bottom w:val="single" w:sz="4" w:space="0" w:color="auto"/>
              <w:right w:val="single" w:sz="4" w:space="0" w:color="auto"/>
            </w:tcBorders>
            <w:shd w:val="clear" w:color="auto" w:fill="auto"/>
            <w:vAlign w:val="center"/>
            <w:hideMark/>
          </w:tcPr>
          <w:p w14:paraId="0D2ACED7" w14:textId="0807C4F9" w:rsidR="00A550EF" w:rsidRPr="00A550EF" w:rsidRDefault="00A550EF" w:rsidP="00A550EF">
            <w:pPr>
              <w:rPr>
                <w:rFonts w:cs="Calibri"/>
                <w:sz w:val="20"/>
                <w:szCs w:val="20"/>
              </w:rPr>
            </w:pPr>
            <w:r w:rsidRPr="00A550EF">
              <w:rPr>
                <w:rFonts w:cs="Calibri"/>
                <w:sz w:val="20"/>
                <w:szCs w:val="20"/>
              </w:rPr>
              <w:t>4 to 7 p.m. (HE17 to HE19)</w:t>
            </w:r>
          </w:p>
        </w:tc>
        <w:tc>
          <w:tcPr>
            <w:tcW w:w="1260" w:type="dxa"/>
            <w:tcBorders>
              <w:top w:val="nil"/>
              <w:left w:val="nil"/>
              <w:bottom w:val="single" w:sz="4" w:space="0" w:color="auto"/>
              <w:right w:val="single" w:sz="4" w:space="0" w:color="auto"/>
            </w:tcBorders>
            <w:shd w:val="clear" w:color="auto" w:fill="auto"/>
            <w:vAlign w:val="center"/>
            <w:hideMark/>
          </w:tcPr>
          <w:p w14:paraId="3E4DD669" w14:textId="77777777" w:rsidR="00A550EF" w:rsidRPr="00A550EF" w:rsidRDefault="00A550EF" w:rsidP="00A550EF">
            <w:pPr>
              <w:rPr>
                <w:rFonts w:cs="Calibri"/>
                <w:sz w:val="20"/>
                <w:szCs w:val="20"/>
              </w:rPr>
            </w:pPr>
            <w:r w:rsidRPr="00A550EF">
              <w:rPr>
                <w:rFonts w:cs="Calibri"/>
                <w:sz w:val="20"/>
                <w:szCs w:val="20"/>
              </w:rPr>
              <w:t>PGEB, PGF1, PGKN, PGST, PGZP, PGSI</w:t>
            </w:r>
          </w:p>
        </w:tc>
        <w:tc>
          <w:tcPr>
            <w:tcW w:w="1426" w:type="dxa"/>
            <w:tcBorders>
              <w:top w:val="nil"/>
              <w:left w:val="nil"/>
              <w:bottom w:val="single" w:sz="4" w:space="0" w:color="auto"/>
              <w:right w:val="single" w:sz="4" w:space="0" w:color="auto"/>
            </w:tcBorders>
            <w:shd w:val="clear" w:color="auto" w:fill="auto"/>
            <w:vAlign w:val="center"/>
            <w:hideMark/>
          </w:tcPr>
          <w:p w14:paraId="4B275ED9" w14:textId="77777777" w:rsidR="00A550EF" w:rsidRPr="00A550EF" w:rsidRDefault="00A550EF" w:rsidP="00A550EF">
            <w:pPr>
              <w:jc w:val="center"/>
              <w:rPr>
                <w:rFonts w:cs="Calibri"/>
                <w:sz w:val="20"/>
                <w:szCs w:val="20"/>
              </w:rPr>
            </w:pPr>
            <w:r w:rsidRPr="00A550EF">
              <w:rPr>
                <w:rFonts w:cs="Calibri"/>
                <w:sz w:val="20"/>
                <w:szCs w:val="20"/>
              </w:rPr>
              <w:t>Market Award</w:t>
            </w:r>
          </w:p>
        </w:tc>
        <w:tc>
          <w:tcPr>
            <w:tcW w:w="1094" w:type="dxa"/>
            <w:tcBorders>
              <w:top w:val="nil"/>
              <w:left w:val="nil"/>
              <w:bottom w:val="single" w:sz="4" w:space="0" w:color="auto"/>
              <w:right w:val="single" w:sz="4" w:space="0" w:color="auto"/>
            </w:tcBorders>
            <w:shd w:val="clear" w:color="auto" w:fill="auto"/>
            <w:noWrap/>
            <w:vAlign w:val="center"/>
            <w:hideMark/>
          </w:tcPr>
          <w:p w14:paraId="406E8977" w14:textId="77777777" w:rsidR="00A550EF" w:rsidRPr="00A550EF" w:rsidRDefault="00A550EF" w:rsidP="00A550EF">
            <w:pPr>
              <w:jc w:val="center"/>
              <w:rPr>
                <w:rFonts w:cs="Calibri"/>
                <w:sz w:val="20"/>
                <w:szCs w:val="20"/>
              </w:rPr>
            </w:pPr>
            <w:r w:rsidRPr="00A550EF">
              <w:rPr>
                <w:rFonts w:cs="Calibri"/>
                <w:sz w:val="20"/>
                <w:szCs w:val="20"/>
              </w:rPr>
              <w:t>No</w:t>
            </w:r>
          </w:p>
        </w:tc>
        <w:tc>
          <w:tcPr>
            <w:tcW w:w="836" w:type="dxa"/>
            <w:tcBorders>
              <w:top w:val="nil"/>
              <w:left w:val="nil"/>
              <w:bottom w:val="single" w:sz="4" w:space="0" w:color="auto"/>
              <w:right w:val="single" w:sz="4" w:space="0" w:color="auto"/>
            </w:tcBorders>
            <w:shd w:val="clear" w:color="auto" w:fill="auto"/>
            <w:noWrap/>
            <w:vAlign w:val="center"/>
            <w:hideMark/>
          </w:tcPr>
          <w:p w14:paraId="6B9C83E1" w14:textId="77777777" w:rsidR="00A550EF" w:rsidRPr="00A550EF" w:rsidRDefault="00A550EF" w:rsidP="00A550EF">
            <w:pPr>
              <w:jc w:val="right"/>
              <w:rPr>
                <w:rFonts w:cs="Calibri"/>
                <w:sz w:val="20"/>
                <w:szCs w:val="20"/>
              </w:rPr>
            </w:pPr>
            <w:r w:rsidRPr="00A550EF">
              <w:rPr>
                <w:rFonts w:cs="Calibri"/>
                <w:sz w:val="20"/>
                <w:szCs w:val="20"/>
              </w:rPr>
              <w:t>70,251</w:t>
            </w:r>
          </w:p>
        </w:tc>
        <w:tc>
          <w:tcPr>
            <w:tcW w:w="1067" w:type="dxa"/>
            <w:tcBorders>
              <w:top w:val="nil"/>
              <w:left w:val="nil"/>
              <w:bottom w:val="single" w:sz="4" w:space="0" w:color="auto"/>
              <w:right w:val="single" w:sz="4" w:space="0" w:color="auto"/>
            </w:tcBorders>
            <w:shd w:val="clear" w:color="auto" w:fill="auto"/>
            <w:noWrap/>
            <w:vAlign w:val="center"/>
            <w:hideMark/>
          </w:tcPr>
          <w:p w14:paraId="6E7C2CEC" w14:textId="77777777" w:rsidR="00A550EF" w:rsidRPr="00A550EF" w:rsidRDefault="00A550EF" w:rsidP="00A550EF">
            <w:pPr>
              <w:jc w:val="right"/>
              <w:rPr>
                <w:rFonts w:cs="Calibri"/>
                <w:sz w:val="20"/>
                <w:szCs w:val="20"/>
              </w:rPr>
            </w:pPr>
            <w:r w:rsidRPr="00A550EF">
              <w:rPr>
                <w:rFonts w:cs="Calibri"/>
                <w:sz w:val="20"/>
                <w:szCs w:val="20"/>
              </w:rPr>
              <w:t>2.46</w:t>
            </w:r>
          </w:p>
        </w:tc>
        <w:tc>
          <w:tcPr>
            <w:tcW w:w="1067" w:type="dxa"/>
            <w:tcBorders>
              <w:top w:val="nil"/>
              <w:left w:val="nil"/>
              <w:bottom w:val="single" w:sz="4" w:space="0" w:color="auto"/>
              <w:right w:val="single" w:sz="4" w:space="0" w:color="auto"/>
            </w:tcBorders>
            <w:shd w:val="clear" w:color="auto" w:fill="auto"/>
            <w:noWrap/>
            <w:vAlign w:val="center"/>
            <w:hideMark/>
          </w:tcPr>
          <w:p w14:paraId="2CD44003" w14:textId="77777777" w:rsidR="00A550EF" w:rsidRPr="00A550EF" w:rsidRDefault="00A550EF" w:rsidP="00A550EF">
            <w:pPr>
              <w:jc w:val="right"/>
              <w:rPr>
                <w:rFonts w:cs="Calibri"/>
                <w:sz w:val="20"/>
                <w:szCs w:val="20"/>
              </w:rPr>
            </w:pPr>
            <w:r w:rsidRPr="00A550EF">
              <w:rPr>
                <w:rFonts w:cs="Calibri"/>
                <w:sz w:val="20"/>
                <w:szCs w:val="20"/>
              </w:rPr>
              <w:t>0.35</w:t>
            </w:r>
          </w:p>
        </w:tc>
        <w:tc>
          <w:tcPr>
            <w:tcW w:w="852" w:type="dxa"/>
            <w:tcBorders>
              <w:top w:val="nil"/>
              <w:left w:val="nil"/>
              <w:bottom w:val="single" w:sz="4" w:space="0" w:color="auto"/>
              <w:right w:val="single" w:sz="4" w:space="0" w:color="auto"/>
            </w:tcBorders>
            <w:shd w:val="clear" w:color="auto" w:fill="auto"/>
            <w:noWrap/>
            <w:vAlign w:val="center"/>
            <w:hideMark/>
          </w:tcPr>
          <w:p w14:paraId="65A88AAE" w14:textId="77777777" w:rsidR="00A550EF" w:rsidRPr="00A550EF" w:rsidRDefault="00A550EF" w:rsidP="00A550EF">
            <w:pPr>
              <w:jc w:val="right"/>
              <w:rPr>
                <w:rFonts w:cs="Calibri"/>
                <w:sz w:val="20"/>
                <w:szCs w:val="20"/>
              </w:rPr>
            </w:pPr>
            <w:r w:rsidRPr="00A550EF">
              <w:rPr>
                <w:rFonts w:cs="Calibri"/>
                <w:sz w:val="20"/>
                <w:szCs w:val="20"/>
              </w:rPr>
              <w:t>14.2%</w:t>
            </w:r>
          </w:p>
        </w:tc>
        <w:tc>
          <w:tcPr>
            <w:tcW w:w="1063" w:type="dxa"/>
            <w:tcBorders>
              <w:top w:val="nil"/>
              <w:left w:val="nil"/>
              <w:bottom w:val="single" w:sz="4" w:space="0" w:color="auto"/>
              <w:right w:val="single" w:sz="4" w:space="0" w:color="auto"/>
            </w:tcBorders>
            <w:shd w:val="clear" w:color="auto" w:fill="auto"/>
            <w:noWrap/>
            <w:vAlign w:val="center"/>
            <w:hideMark/>
          </w:tcPr>
          <w:p w14:paraId="0DDD1C04" w14:textId="77777777" w:rsidR="00A550EF" w:rsidRPr="00A550EF" w:rsidRDefault="00A550EF" w:rsidP="00A550EF">
            <w:pPr>
              <w:jc w:val="right"/>
              <w:rPr>
                <w:rFonts w:cs="Calibri"/>
                <w:sz w:val="20"/>
                <w:szCs w:val="20"/>
              </w:rPr>
            </w:pPr>
            <w:r w:rsidRPr="00A550EF">
              <w:rPr>
                <w:rFonts w:cs="Calibri"/>
                <w:sz w:val="20"/>
                <w:szCs w:val="20"/>
              </w:rPr>
              <w:t>24.51</w:t>
            </w:r>
          </w:p>
        </w:tc>
        <w:tc>
          <w:tcPr>
            <w:tcW w:w="749" w:type="dxa"/>
            <w:tcBorders>
              <w:top w:val="nil"/>
              <w:left w:val="nil"/>
              <w:bottom w:val="single" w:sz="4" w:space="0" w:color="auto"/>
              <w:right w:val="single" w:sz="4" w:space="0" w:color="auto"/>
            </w:tcBorders>
            <w:shd w:val="clear" w:color="auto" w:fill="auto"/>
            <w:noWrap/>
            <w:vAlign w:val="center"/>
            <w:hideMark/>
          </w:tcPr>
          <w:p w14:paraId="76888105" w14:textId="77777777" w:rsidR="00A550EF" w:rsidRPr="00A550EF" w:rsidRDefault="00A550EF" w:rsidP="00A550EF">
            <w:pPr>
              <w:jc w:val="right"/>
              <w:rPr>
                <w:rFonts w:cs="Calibri"/>
                <w:sz w:val="20"/>
                <w:szCs w:val="20"/>
              </w:rPr>
            </w:pPr>
            <w:r w:rsidRPr="00A550EF">
              <w:rPr>
                <w:rFonts w:cs="Calibri"/>
                <w:sz w:val="20"/>
                <w:szCs w:val="20"/>
              </w:rPr>
              <w:t>99.8</w:t>
            </w:r>
          </w:p>
        </w:tc>
      </w:tr>
      <w:tr w:rsidR="00A550EF" w:rsidRPr="00A550EF" w14:paraId="2A71CD54" w14:textId="77777777" w:rsidTr="00A550EF">
        <w:trPr>
          <w:trHeight w:val="510"/>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0D89E216" w14:textId="77777777" w:rsidR="00A550EF" w:rsidRPr="00A550EF" w:rsidRDefault="00A550EF" w:rsidP="00A550EF">
            <w:pPr>
              <w:jc w:val="center"/>
              <w:rPr>
                <w:rFonts w:cs="Calibri"/>
                <w:sz w:val="20"/>
                <w:szCs w:val="20"/>
              </w:rPr>
            </w:pPr>
            <w:r w:rsidRPr="00A550EF">
              <w:rPr>
                <w:rFonts w:cs="Calibri"/>
                <w:sz w:val="20"/>
                <w:szCs w:val="20"/>
              </w:rPr>
              <w:t>8/10/2018</w:t>
            </w:r>
          </w:p>
        </w:tc>
        <w:tc>
          <w:tcPr>
            <w:tcW w:w="2429" w:type="dxa"/>
            <w:tcBorders>
              <w:top w:val="nil"/>
              <w:left w:val="nil"/>
              <w:bottom w:val="single" w:sz="4" w:space="0" w:color="auto"/>
              <w:right w:val="single" w:sz="4" w:space="0" w:color="auto"/>
            </w:tcBorders>
            <w:shd w:val="clear" w:color="auto" w:fill="auto"/>
            <w:vAlign w:val="center"/>
            <w:hideMark/>
          </w:tcPr>
          <w:p w14:paraId="7DB31DF6" w14:textId="2D1C3FE0" w:rsidR="00A550EF" w:rsidRPr="00A550EF" w:rsidRDefault="00A550EF" w:rsidP="00A550EF">
            <w:pPr>
              <w:rPr>
                <w:rFonts w:cs="Calibri"/>
                <w:sz w:val="20"/>
                <w:szCs w:val="20"/>
              </w:rPr>
            </w:pPr>
            <w:r w:rsidRPr="00A550EF">
              <w:rPr>
                <w:rFonts w:cs="Calibri"/>
                <w:sz w:val="20"/>
                <w:szCs w:val="20"/>
              </w:rPr>
              <w:t>4 to 7 p.m. (HE17 to HE19)</w:t>
            </w:r>
          </w:p>
        </w:tc>
        <w:tc>
          <w:tcPr>
            <w:tcW w:w="1260" w:type="dxa"/>
            <w:tcBorders>
              <w:top w:val="nil"/>
              <w:left w:val="nil"/>
              <w:bottom w:val="single" w:sz="4" w:space="0" w:color="auto"/>
              <w:right w:val="single" w:sz="4" w:space="0" w:color="auto"/>
            </w:tcBorders>
            <w:shd w:val="clear" w:color="auto" w:fill="auto"/>
            <w:vAlign w:val="center"/>
            <w:hideMark/>
          </w:tcPr>
          <w:p w14:paraId="5B915A81" w14:textId="77777777" w:rsidR="00A550EF" w:rsidRPr="00A550EF" w:rsidRDefault="00A550EF" w:rsidP="00A550EF">
            <w:pPr>
              <w:rPr>
                <w:rFonts w:cs="Calibri"/>
                <w:sz w:val="20"/>
                <w:szCs w:val="20"/>
              </w:rPr>
            </w:pPr>
            <w:r w:rsidRPr="00A550EF">
              <w:rPr>
                <w:rFonts w:cs="Calibri"/>
                <w:sz w:val="20"/>
                <w:szCs w:val="20"/>
              </w:rPr>
              <w:t>PGF1, PGKN, PGZP</w:t>
            </w:r>
          </w:p>
        </w:tc>
        <w:tc>
          <w:tcPr>
            <w:tcW w:w="1426" w:type="dxa"/>
            <w:tcBorders>
              <w:top w:val="nil"/>
              <w:left w:val="nil"/>
              <w:bottom w:val="single" w:sz="4" w:space="0" w:color="auto"/>
              <w:right w:val="single" w:sz="4" w:space="0" w:color="auto"/>
            </w:tcBorders>
            <w:shd w:val="clear" w:color="auto" w:fill="auto"/>
            <w:vAlign w:val="center"/>
            <w:hideMark/>
          </w:tcPr>
          <w:p w14:paraId="7249F5AE" w14:textId="77777777" w:rsidR="00A550EF" w:rsidRPr="00A550EF" w:rsidRDefault="00A550EF" w:rsidP="00A550EF">
            <w:pPr>
              <w:jc w:val="center"/>
              <w:rPr>
                <w:rFonts w:cs="Calibri"/>
                <w:sz w:val="20"/>
                <w:szCs w:val="20"/>
              </w:rPr>
            </w:pPr>
            <w:r w:rsidRPr="00A550EF">
              <w:rPr>
                <w:rFonts w:cs="Calibri"/>
                <w:sz w:val="20"/>
                <w:szCs w:val="20"/>
              </w:rPr>
              <w:t>Market Award</w:t>
            </w:r>
          </w:p>
        </w:tc>
        <w:tc>
          <w:tcPr>
            <w:tcW w:w="1094" w:type="dxa"/>
            <w:tcBorders>
              <w:top w:val="nil"/>
              <w:left w:val="nil"/>
              <w:bottom w:val="single" w:sz="4" w:space="0" w:color="auto"/>
              <w:right w:val="single" w:sz="4" w:space="0" w:color="auto"/>
            </w:tcBorders>
            <w:shd w:val="clear" w:color="auto" w:fill="auto"/>
            <w:noWrap/>
            <w:vAlign w:val="center"/>
            <w:hideMark/>
          </w:tcPr>
          <w:p w14:paraId="1A6306DB" w14:textId="77777777" w:rsidR="00A550EF" w:rsidRPr="00A550EF" w:rsidRDefault="00A550EF" w:rsidP="00A550EF">
            <w:pPr>
              <w:jc w:val="center"/>
              <w:rPr>
                <w:rFonts w:cs="Calibri"/>
                <w:sz w:val="20"/>
                <w:szCs w:val="20"/>
              </w:rPr>
            </w:pPr>
            <w:r w:rsidRPr="00A550EF">
              <w:rPr>
                <w:rFonts w:cs="Calibri"/>
                <w:sz w:val="20"/>
                <w:szCs w:val="20"/>
              </w:rPr>
              <w:t>No</w:t>
            </w:r>
          </w:p>
        </w:tc>
        <w:tc>
          <w:tcPr>
            <w:tcW w:w="836" w:type="dxa"/>
            <w:tcBorders>
              <w:top w:val="nil"/>
              <w:left w:val="nil"/>
              <w:bottom w:val="single" w:sz="4" w:space="0" w:color="auto"/>
              <w:right w:val="single" w:sz="4" w:space="0" w:color="auto"/>
            </w:tcBorders>
            <w:shd w:val="clear" w:color="auto" w:fill="auto"/>
            <w:noWrap/>
            <w:vAlign w:val="center"/>
            <w:hideMark/>
          </w:tcPr>
          <w:p w14:paraId="640AAFBC" w14:textId="77777777" w:rsidR="00A550EF" w:rsidRPr="00A550EF" w:rsidRDefault="00A550EF" w:rsidP="00A550EF">
            <w:pPr>
              <w:jc w:val="right"/>
              <w:rPr>
                <w:rFonts w:cs="Calibri"/>
                <w:sz w:val="20"/>
                <w:szCs w:val="20"/>
              </w:rPr>
            </w:pPr>
            <w:r w:rsidRPr="00A550EF">
              <w:rPr>
                <w:rFonts w:cs="Calibri"/>
                <w:sz w:val="20"/>
                <w:szCs w:val="20"/>
              </w:rPr>
              <w:t>25,148</w:t>
            </w:r>
          </w:p>
        </w:tc>
        <w:tc>
          <w:tcPr>
            <w:tcW w:w="1067" w:type="dxa"/>
            <w:tcBorders>
              <w:top w:val="nil"/>
              <w:left w:val="nil"/>
              <w:bottom w:val="single" w:sz="4" w:space="0" w:color="auto"/>
              <w:right w:val="single" w:sz="4" w:space="0" w:color="auto"/>
            </w:tcBorders>
            <w:shd w:val="clear" w:color="auto" w:fill="auto"/>
            <w:noWrap/>
            <w:vAlign w:val="center"/>
            <w:hideMark/>
          </w:tcPr>
          <w:p w14:paraId="0904B7A3" w14:textId="77777777" w:rsidR="00A550EF" w:rsidRPr="00A550EF" w:rsidRDefault="00A550EF" w:rsidP="00A550EF">
            <w:pPr>
              <w:jc w:val="right"/>
              <w:rPr>
                <w:rFonts w:cs="Calibri"/>
                <w:sz w:val="20"/>
                <w:szCs w:val="20"/>
              </w:rPr>
            </w:pPr>
            <w:r w:rsidRPr="00A550EF">
              <w:rPr>
                <w:rFonts w:cs="Calibri"/>
                <w:sz w:val="20"/>
                <w:szCs w:val="20"/>
              </w:rPr>
              <w:t>2.66</w:t>
            </w:r>
          </w:p>
        </w:tc>
        <w:tc>
          <w:tcPr>
            <w:tcW w:w="1067" w:type="dxa"/>
            <w:tcBorders>
              <w:top w:val="nil"/>
              <w:left w:val="nil"/>
              <w:bottom w:val="single" w:sz="4" w:space="0" w:color="auto"/>
              <w:right w:val="single" w:sz="4" w:space="0" w:color="auto"/>
            </w:tcBorders>
            <w:shd w:val="clear" w:color="auto" w:fill="auto"/>
            <w:noWrap/>
            <w:vAlign w:val="center"/>
            <w:hideMark/>
          </w:tcPr>
          <w:p w14:paraId="150590C1" w14:textId="77777777" w:rsidR="00A550EF" w:rsidRPr="00A550EF" w:rsidRDefault="00A550EF" w:rsidP="00A550EF">
            <w:pPr>
              <w:jc w:val="right"/>
              <w:rPr>
                <w:rFonts w:cs="Calibri"/>
                <w:sz w:val="20"/>
                <w:szCs w:val="20"/>
              </w:rPr>
            </w:pPr>
            <w:r w:rsidRPr="00A550EF">
              <w:rPr>
                <w:rFonts w:cs="Calibri"/>
                <w:sz w:val="20"/>
                <w:szCs w:val="20"/>
              </w:rPr>
              <w:t>0.21</w:t>
            </w:r>
          </w:p>
        </w:tc>
        <w:tc>
          <w:tcPr>
            <w:tcW w:w="852" w:type="dxa"/>
            <w:tcBorders>
              <w:top w:val="nil"/>
              <w:left w:val="nil"/>
              <w:bottom w:val="single" w:sz="4" w:space="0" w:color="auto"/>
              <w:right w:val="single" w:sz="4" w:space="0" w:color="auto"/>
            </w:tcBorders>
            <w:shd w:val="clear" w:color="auto" w:fill="auto"/>
            <w:noWrap/>
            <w:vAlign w:val="center"/>
            <w:hideMark/>
          </w:tcPr>
          <w:p w14:paraId="118EF9DB" w14:textId="77777777" w:rsidR="00A550EF" w:rsidRPr="00A550EF" w:rsidRDefault="00A550EF" w:rsidP="00A550EF">
            <w:pPr>
              <w:jc w:val="right"/>
              <w:rPr>
                <w:rFonts w:cs="Calibri"/>
                <w:sz w:val="20"/>
                <w:szCs w:val="20"/>
              </w:rPr>
            </w:pPr>
            <w:r w:rsidRPr="00A550EF">
              <w:rPr>
                <w:rFonts w:cs="Calibri"/>
                <w:sz w:val="20"/>
                <w:szCs w:val="20"/>
              </w:rPr>
              <w:t>8.0%</w:t>
            </w:r>
          </w:p>
        </w:tc>
        <w:tc>
          <w:tcPr>
            <w:tcW w:w="1063" w:type="dxa"/>
            <w:tcBorders>
              <w:top w:val="nil"/>
              <w:left w:val="nil"/>
              <w:bottom w:val="single" w:sz="4" w:space="0" w:color="auto"/>
              <w:right w:val="single" w:sz="4" w:space="0" w:color="auto"/>
            </w:tcBorders>
            <w:shd w:val="clear" w:color="auto" w:fill="auto"/>
            <w:noWrap/>
            <w:vAlign w:val="center"/>
            <w:hideMark/>
          </w:tcPr>
          <w:p w14:paraId="351413D0" w14:textId="77777777" w:rsidR="00A550EF" w:rsidRPr="00A550EF" w:rsidRDefault="00A550EF" w:rsidP="00A550EF">
            <w:pPr>
              <w:jc w:val="right"/>
              <w:rPr>
                <w:rFonts w:cs="Calibri"/>
                <w:sz w:val="20"/>
                <w:szCs w:val="20"/>
              </w:rPr>
            </w:pPr>
            <w:r w:rsidRPr="00A550EF">
              <w:rPr>
                <w:rFonts w:cs="Calibri"/>
                <w:sz w:val="20"/>
                <w:szCs w:val="20"/>
              </w:rPr>
              <w:t>5.38</w:t>
            </w:r>
          </w:p>
        </w:tc>
        <w:tc>
          <w:tcPr>
            <w:tcW w:w="749" w:type="dxa"/>
            <w:tcBorders>
              <w:top w:val="nil"/>
              <w:left w:val="nil"/>
              <w:bottom w:val="single" w:sz="4" w:space="0" w:color="auto"/>
              <w:right w:val="single" w:sz="4" w:space="0" w:color="auto"/>
            </w:tcBorders>
            <w:shd w:val="clear" w:color="auto" w:fill="auto"/>
            <w:noWrap/>
            <w:vAlign w:val="center"/>
            <w:hideMark/>
          </w:tcPr>
          <w:p w14:paraId="5E48D074" w14:textId="77777777" w:rsidR="00A550EF" w:rsidRPr="00A550EF" w:rsidRDefault="00A550EF" w:rsidP="00A550EF">
            <w:pPr>
              <w:jc w:val="right"/>
              <w:rPr>
                <w:rFonts w:cs="Calibri"/>
                <w:sz w:val="20"/>
                <w:szCs w:val="20"/>
              </w:rPr>
            </w:pPr>
            <w:r w:rsidRPr="00A550EF">
              <w:rPr>
                <w:rFonts w:cs="Calibri"/>
                <w:sz w:val="20"/>
                <w:szCs w:val="20"/>
              </w:rPr>
              <w:t>102.2</w:t>
            </w:r>
          </w:p>
        </w:tc>
      </w:tr>
      <w:tr w:rsidR="00A550EF" w:rsidRPr="00A550EF" w14:paraId="32DD72A5" w14:textId="77777777" w:rsidTr="00A550EF">
        <w:trPr>
          <w:trHeight w:val="765"/>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6ADEEB86" w14:textId="77777777" w:rsidR="00A550EF" w:rsidRPr="00A550EF" w:rsidRDefault="00A550EF" w:rsidP="00A550EF">
            <w:pPr>
              <w:jc w:val="center"/>
              <w:rPr>
                <w:rFonts w:cs="Calibri"/>
                <w:sz w:val="20"/>
                <w:szCs w:val="20"/>
              </w:rPr>
            </w:pPr>
            <w:r w:rsidRPr="00A550EF">
              <w:rPr>
                <w:rFonts w:cs="Calibri"/>
                <w:sz w:val="20"/>
                <w:szCs w:val="20"/>
              </w:rPr>
              <w:t>9/26/2018</w:t>
            </w:r>
          </w:p>
        </w:tc>
        <w:tc>
          <w:tcPr>
            <w:tcW w:w="2429" w:type="dxa"/>
            <w:tcBorders>
              <w:top w:val="nil"/>
              <w:left w:val="nil"/>
              <w:bottom w:val="single" w:sz="4" w:space="0" w:color="auto"/>
              <w:right w:val="single" w:sz="4" w:space="0" w:color="auto"/>
            </w:tcBorders>
            <w:shd w:val="clear" w:color="auto" w:fill="auto"/>
            <w:vAlign w:val="center"/>
            <w:hideMark/>
          </w:tcPr>
          <w:p w14:paraId="04FE75FC" w14:textId="2FCB4FCA" w:rsidR="00A550EF" w:rsidRPr="00A550EF" w:rsidRDefault="00A550EF" w:rsidP="00A550EF">
            <w:pPr>
              <w:rPr>
                <w:rFonts w:cs="Calibri"/>
                <w:sz w:val="20"/>
                <w:szCs w:val="20"/>
              </w:rPr>
            </w:pPr>
            <w:r w:rsidRPr="00A550EF">
              <w:rPr>
                <w:rFonts w:cs="Calibri"/>
                <w:sz w:val="20"/>
                <w:szCs w:val="20"/>
              </w:rPr>
              <w:t>5 to 8 p.m. (HE18 to HE20)</w:t>
            </w:r>
          </w:p>
        </w:tc>
        <w:tc>
          <w:tcPr>
            <w:tcW w:w="1260" w:type="dxa"/>
            <w:tcBorders>
              <w:top w:val="nil"/>
              <w:left w:val="nil"/>
              <w:bottom w:val="single" w:sz="4" w:space="0" w:color="auto"/>
              <w:right w:val="single" w:sz="4" w:space="0" w:color="auto"/>
            </w:tcBorders>
            <w:shd w:val="clear" w:color="auto" w:fill="auto"/>
            <w:vAlign w:val="center"/>
            <w:hideMark/>
          </w:tcPr>
          <w:p w14:paraId="3100F33A" w14:textId="77777777" w:rsidR="00A550EF" w:rsidRPr="00A550EF" w:rsidRDefault="00A550EF" w:rsidP="00A550EF">
            <w:pPr>
              <w:rPr>
                <w:rFonts w:cs="Calibri"/>
                <w:sz w:val="20"/>
                <w:szCs w:val="20"/>
              </w:rPr>
            </w:pPr>
            <w:r w:rsidRPr="00A550EF">
              <w:rPr>
                <w:rFonts w:cs="Calibri"/>
                <w:sz w:val="20"/>
                <w:szCs w:val="20"/>
              </w:rPr>
              <w:t>PGNC</w:t>
            </w:r>
          </w:p>
        </w:tc>
        <w:tc>
          <w:tcPr>
            <w:tcW w:w="1426" w:type="dxa"/>
            <w:tcBorders>
              <w:top w:val="nil"/>
              <w:left w:val="nil"/>
              <w:bottom w:val="single" w:sz="4" w:space="0" w:color="auto"/>
              <w:right w:val="single" w:sz="4" w:space="0" w:color="auto"/>
            </w:tcBorders>
            <w:shd w:val="clear" w:color="auto" w:fill="auto"/>
            <w:vAlign w:val="center"/>
            <w:hideMark/>
          </w:tcPr>
          <w:p w14:paraId="0C7FD822" w14:textId="77777777" w:rsidR="00A550EF" w:rsidRPr="00A550EF" w:rsidRDefault="00A550EF" w:rsidP="00A550EF">
            <w:pPr>
              <w:jc w:val="center"/>
              <w:rPr>
                <w:rFonts w:cs="Calibri"/>
                <w:sz w:val="20"/>
                <w:szCs w:val="20"/>
              </w:rPr>
            </w:pPr>
            <w:r w:rsidRPr="00A550EF">
              <w:rPr>
                <w:rFonts w:cs="Calibri"/>
                <w:sz w:val="20"/>
                <w:szCs w:val="20"/>
              </w:rPr>
              <w:t>Market Award</w:t>
            </w:r>
          </w:p>
        </w:tc>
        <w:tc>
          <w:tcPr>
            <w:tcW w:w="1094" w:type="dxa"/>
            <w:tcBorders>
              <w:top w:val="nil"/>
              <w:left w:val="nil"/>
              <w:bottom w:val="single" w:sz="4" w:space="0" w:color="auto"/>
              <w:right w:val="single" w:sz="4" w:space="0" w:color="auto"/>
            </w:tcBorders>
            <w:shd w:val="clear" w:color="auto" w:fill="auto"/>
            <w:noWrap/>
            <w:vAlign w:val="center"/>
            <w:hideMark/>
          </w:tcPr>
          <w:p w14:paraId="1F933E96" w14:textId="77777777" w:rsidR="00A550EF" w:rsidRPr="00A550EF" w:rsidRDefault="00A550EF" w:rsidP="00A550EF">
            <w:pPr>
              <w:jc w:val="center"/>
              <w:rPr>
                <w:rFonts w:cs="Calibri"/>
                <w:sz w:val="20"/>
                <w:szCs w:val="20"/>
              </w:rPr>
            </w:pPr>
            <w:r w:rsidRPr="00A550EF">
              <w:rPr>
                <w:rFonts w:cs="Calibri"/>
                <w:sz w:val="20"/>
                <w:szCs w:val="20"/>
              </w:rPr>
              <w:t>No</w:t>
            </w:r>
          </w:p>
        </w:tc>
        <w:tc>
          <w:tcPr>
            <w:tcW w:w="836" w:type="dxa"/>
            <w:tcBorders>
              <w:top w:val="nil"/>
              <w:left w:val="nil"/>
              <w:bottom w:val="single" w:sz="4" w:space="0" w:color="auto"/>
              <w:right w:val="single" w:sz="4" w:space="0" w:color="auto"/>
            </w:tcBorders>
            <w:shd w:val="clear" w:color="auto" w:fill="auto"/>
            <w:noWrap/>
            <w:vAlign w:val="center"/>
            <w:hideMark/>
          </w:tcPr>
          <w:p w14:paraId="6ED4B6BD" w14:textId="77777777" w:rsidR="00A550EF" w:rsidRPr="00A550EF" w:rsidRDefault="00A550EF" w:rsidP="00A550EF">
            <w:pPr>
              <w:jc w:val="right"/>
              <w:rPr>
                <w:rFonts w:cs="Calibri"/>
                <w:sz w:val="20"/>
                <w:szCs w:val="20"/>
              </w:rPr>
            </w:pPr>
            <w:r w:rsidRPr="00A550EF">
              <w:rPr>
                <w:rFonts w:cs="Calibri"/>
                <w:sz w:val="20"/>
                <w:szCs w:val="20"/>
              </w:rPr>
              <w:t>719</w:t>
            </w:r>
          </w:p>
        </w:tc>
        <w:tc>
          <w:tcPr>
            <w:tcW w:w="1067" w:type="dxa"/>
            <w:tcBorders>
              <w:top w:val="nil"/>
              <w:left w:val="nil"/>
              <w:bottom w:val="single" w:sz="4" w:space="0" w:color="auto"/>
              <w:right w:val="single" w:sz="4" w:space="0" w:color="auto"/>
            </w:tcBorders>
            <w:shd w:val="clear" w:color="auto" w:fill="auto"/>
            <w:noWrap/>
            <w:vAlign w:val="center"/>
            <w:hideMark/>
          </w:tcPr>
          <w:p w14:paraId="71735DFA" w14:textId="77777777" w:rsidR="00A550EF" w:rsidRPr="00A550EF" w:rsidRDefault="00A550EF" w:rsidP="00A550EF">
            <w:pPr>
              <w:jc w:val="right"/>
              <w:rPr>
                <w:rFonts w:cs="Calibri"/>
                <w:sz w:val="20"/>
                <w:szCs w:val="20"/>
              </w:rPr>
            </w:pPr>
            <w:r w:rsidRPr="00A550EF">
              <w:rPr>
                <w:rFonts w:cs="Calibri"/>
                <w:sz w:val="20"/>
                <w:szCs w:val="20"/>
              </w:rPr>
              <w:t>1.22</w:t>
            </w:r>
          </w:p>
        </w:tc>
        <w:tc>
          <w:tcPr>
            <w:tcW w:w="1067" w:type="dxa"/>
            <w:tcBorders>
              <w:top w:val="nil"/>
              <w:left w:val="nil"/>
              <w:bottom w:val="single" w:sz="4" w:space="0" w:color="auto"/>
              <w:right w:val="single" w:sz="4" w:space="0" w:color="auto"/>
            </w:tcBorders>
            <w:shd w:val="clear" w:color="auto" w:fill="auto"/>
            <w:noWrap/>
            <w:vAlign w:val="center"/>
            <w:hideMark/>
          </w:tcPr>
          <w:p w14:paraId="71E9409F" w14:textId="77777777" w:rsidR="00A550EF" w:rsidRPr="00A550EF" w:rsidRDefault="00A550EF" w:rsidP="00A550EF">
            <w:pPr>
              <w:jc w:val="right"/>
              <w:rPr>
                <w:rFonts w:cs="Calibri"/>
                <w:sz w:val="20"/>
                <w:szCs w:val="20"/>
              </w:rPr>
            </w:pPr>
            <w:r w:rsidRPr="00A550EF">
              <w:rPr>
                <w:rFonts w:cs="Calibri"/>
                <w:sz w:val="20"/>
                <w:szCs w:val="20"/>
              </w:rPr>
              <w:t>0.11</w:t>
            </w:r>
          </w:p>
        </w:tc>
        <w:tc>
          <w:tcPr>
            <w:tcW w:w="852" w:type="dxa"/>
            <w:tcBorders>
              <w:top w:val="nil"/>
              <w:left w:val="nil"/>
              <w:bottom w:val="single" w:sz="4" w:space="0" w:color="auto"/>
              <w:right w:val="single" w:sz="4" w:space="0" w:color="auto"/>
            </w:tcBorders>
            <w:shd w:val="clear" w:color="auto" w:fill="auto"/>
            <w:noWrap/>
            <w:vAlign w:val="center"/>
            <w:hideMark/>
          </w:tcPr>
          <w:p w14:paraId="1C60F6E5" w14:textId="77777777" w:rsidR="00A550EF" w:rsidRPr="00A550EF" w:rsidRDefault="00A550EF" w:rsidP="00A550EF">
            <w:pPr>
              <w:jc w:val="right"/>
              <w:rPr>
                <w:rFonts w:cs="Calibri"/>
                <w:sz w:val="20"/>
                <w:szCs w:val="20"/>
              </w:rPr>
            </w:pPr>
            <w:r w:rsidRPr="00A550EF">
              <w:rPr>
                <w:rFonts w:cs="Calibri"/>
                <w:sz w:val="20"/>
                <w:szCs w:val="20"/>
              </w:rPr>
              <w:t>9.4%</w:t>
            </w:r>
          </w:p>
        </w:tc>
        <w:tc>
          <w:tcPr>
            <w:tcW w:w="1063" w:type="dxa"/>
            <w:tcBorders>
              <w:top w:val="nil"/>
              <w:left w:val="nil"/>
              <w:bottom w:val="single" w:sz="4" w:space="0" w:color="auto"/>
              <w:right w:val="single" w:sz="4" w:space="0" w:color="auto"/>
            </w:tcBorders>
            <w:shd w:val="clear" w:color="auto" w:fill="auto"/>
            <w:noWrap/>
            <w:vAlign w:val="center"/>
            <w:hideMark/>
          </w:tcPr>
          <w:p w14:paraId="4EEC6EA8" w14:textId="77777777" w:rsidR="00A550EF" w:rsidRPr="00A550EF" w:rsidRDefault="00A550EF" w:rsidP="00A550EF">
            <w:pPr>
              <w:jc w:val="right"/>
              <w:rPr>
                <w:rFonts w:cs="Calibri"/>
                <w:sz w:val="20"/>
                <w:szCs w:val="20"/>
              </w:rPr>
            </w:pPr>
            <w:r w:rsidRPr="00A550EF">
              <w:rPr>
                <w:rFonts w:cs="Calibri"/>
                <w:sz w:val="20"/>
                <w:szCs w:val="20"/>
              </w:rPr>
              <w:t>0.08</w:t>
            </w:r>
          </w:p>
        </w:tc>
        <w:tc>
          <w:tcPr>
            <w:tcW w:w="749" w:type="dxa"/>
            <w:tcBorders>
              <w:top w:val="nil"/>
              <w:left w:val="nil"/>
              <w:bottom w:val="single" w:sz="4" w:space="0" w:color="auto"/>
              <w:right w:val="single" w:sz="4" w:space="0" w:color="auto"/>
            </w:tcBorders>
            <w:shd w:val="clear" w:color="auto" w:fill="auto"/>
            <w:noWrap/>
            <w:vAlign w:val="center"/>
            <w:hideMark/>
          </w:tcPr>
          <w:p w14:paraId="5F5DF719" w14:textId="77777777" w:rsidR="00A550EF" w:rsidRPr="00A550EF" w:rsidRDefault="00A550EF" w:rsidP="00A550EF">
            <w:pPr>
              <w:jc w:val="right"/>
              <w:rPr>
                <w:rFonts w:cs="Calibri"/>
                <w:sz w:val="20"/>
                <w:szCs w:val="20"/>
              </w:rPr>
            </w:pPr>
            <w:r w:rsidRPr="00A550EF">
              <w:rPr>
                <w:rFonts w:cs="Calibri"/>
                <w:sz w:val="20"/>
                <w:szCs w:val="20"/>
              </w:rPr>
              <w:t>94.1</w:t>
            </w:r>
          </w:p>
        </w:tc>
      </w:tr>
    </w:tbl>
    <w:p w14:paraId="2BEA06B8" w14:textId="30964EB7" w:rsidR="000343F7" w:rsidRDefault="000343F7" w:rsidP="009A7375">
      <w:pPr>
        <w:widowControl w:val="0"/>
        <w:spacing w:after="120"/>
        <w:sectPr w:rsidR="000343F7" w:rsidSect="000343F7">
          <w:footerReference w:type="default" r:id="rId18"/>
          <w:pgSz w:w="15840" w:h="12240" w:orient="landscape"/>
          <w:pgMar w:top="1800" w:right="1440" w:bottom="1800" w:left="1440" w:header="720" w:footer="720" w:gutter="0"/>
          <w:cols w:space="720"/>
          <w:docGrid w:linePitch="360"/>
        </w:sectPr>
      </w:pPr>
    </w:p>
    <w:p w14:paraId="3AF49095" w14:textId="242D21C9" w:rsidR="006E09B1" w:rsidRDefault="00AB4C37" w:rsidP="00687E61">
      <w:pPr>
        <w:keepNext/>
        <w:spacing w:after="120"/>
        <w:rPr>
          <w:szCs w:val="32"/>
        </w:rPr>
      </w:pPr>
      <w:r>
        <w:t xml:space="preserve">Next, we examine the results at the sub-LAP </w:t>
      </w:r>
      <w:r w:rsidRPr="00252090">
        <w:t xml:space="preserve">level. </w:t>
      </w:r>
      <w:r w:rsidR="00815719">
        <w:fldChar w:fldCharType="begin"/>
      </w:r>
      <w:r w:rsidR="00815719">
        <w:instrText xml:space="preserve"> REF _Ref506895201 \h </w:instrText>
      </w:r>
      <w:r w:rsidR="00815719">
        <w:fldChar w:fldCharType="separate"/>
      </w:r>
      <w:r w:rsidR="00445DF3" w:rsidRPr="00AD4130">
        <w:t xml:space="preserve">Figure </w:t>
      </w:r>
      <w:r w:rsidR="00445DF3">
        <w:rPr>
          <w:noProof/>
        </w:rPr>
        <w:t>3</w:t>
      </w:r>
      <w:r w:rsidR="00445DF3">
        <w:noBreakHyphen/>
      </w:r>
      <w:r w:rsidR="00445DF3">
        <w:rPr>
          <w:noProof/>
        </w:rPr>
        <w:t>3</w:t>
      </w:r>
      <w:r w:rsidR="00815719">
        <w:fldChar w:fldCharType="end"/>
      </w:r>
      <w:r w:rsidR="00815719">
        <w:t xml:space="preserve"> </w:t>
      </w:r>
      <w:r w:rsidR="006E09B1">
        <w:t xml:space="preserve">summarizes the sub-LAP level </w:t>
      </w:r>
      <w:r w:rsidR="006E09B1" w:rsidRPr="003C71C3">
        <w:rPr>
          <w:i/>
        </w:rPr>
        <w:t>ex-post</w:t>
      </w:r>
      <w:r w:rsidR="006E09B1">
        <w:t xml:space="preserve"> load impacts by event. The blue bars indicate the magnitude of the average per customer load impact (in kWh/customer/hour) across the sub-LAP-specific event hours. The green bands correspond to 80 percent confidence intervals around these estimates </w:t>
      </w:r>
      <w:r w:rsidR="006E09B1">
        <w:rPr>
          <w:szCs w:val="32"/>
        </w:rPr>
        <w:t>(</w:t>
      </w:r>
      <w:r w:rsidR="006E09B1" w:rsidRPr="00E6482F">
        <w:rPr>
          <w:i/>
          <w:szCs w:val="32"/>
        </w:rPr>
        <w:t>i.e.</w:t>
      </w:r>
      <w:r w:rsidR="006E09B1">
        <w:rPr>
          <w:szCs w:val="32"/>
        </w:rPr>
        <w:t>, the 10</w:t>
      </w:r>
      <w:r w:rsidR="006E09B1" w:rsidRPr="00E6482F">
        <w:rPr>
          <w:szCs w:val="32"/>
          <w:vertAlign w:val="superscript"/>
        </w:rPr>
        <w:t>th</w:t>
      </w:r>
      <w:r w:rsidR="006E09B1">
        <w:rPr>
          <w:szCs w:val="32"/>
        </w:rPr>
        <w:t xml:space="preserve"> and 90</w:t>
      </w:r>
      <w:r w:rsidR="006E09B1" w:rsidRPr="00E6482F">
        <w:rPr>
          <w:szCs w:val="32"/>
          <w:vertAlign w:val="superscript"/>
        </w:rPr>
        <w:t>th</w:t>
      </w:r>
      <w:r w:rsidR="006E09B1">
        <w:rPr>
          <w:szCs w:val="32"/>
        </w:rPr>
        <w:t xml:space="preserve"> percentile scenarios from the uncertainty-adjusted load impacts). The orange line represents the average temperatures experienced by the customers in each sub-LAP during the event hours.  </w:t>
      </w:r>
    </w:p>
    <w:p w14:paraId="0DEF41ED" w14:textId="562AD010" w:rsidR="00687E61" w:rsidRPr="00687E61" w:rsidRDefault="00687E61" w:rsidP="00687E61">
      <w:pPr>
        <w:spacing w:after="120"/>
        <w:rPr>
          <w:b/>
          <w:i/>
          <w:szCs w:val="32"/>
        </w:rPr>
      </w:pPr>
      <w:r>
        <w:rPr>
          <w:b/>
          <w:i/>
          <w:szCs w:val="32"/>
        </w:rPr>
        <w:t>PGEB, PGF1, PGSI, and PGST consistently produce the highest load impacts</w:t>
      </w:r>
    </w:p>
    <w:p w14:paraId="283C7410" w14:textId="405C7DC1" w:rsidR="00687E61" w:rsidRDefault="00815719" w:rsidP="00687E61">
      <w:pPr>
        <w:spacing w:after="120"/>
        <w:rPr>
          <w:szCs w:val="32"/>
        </w:rPr>
      </w:pPr>
      <w:r>
        <w:rPr>
          <w:szCs w:val="32"/>
        </w:rPr>
        <w:fldChar w:fldCharType="begin"/>
      </w:r>
      <w:r>
        <w:rPr>
          <w:szCs w:val="32"/>
        </w:rPr>
        <w:instrText xml:space="preserve"> REF _Ref506895201 \h </w:instrText>
      </w:r>
      <w:r>
        <w:rPr>
          <w:szCs w:val="32"/>
        </w:rPr>
      </w:r>
      <w:r>
        <w:rPr>
          <w:szCs w:val="32"/>
        </w:rPr>
        <w:fldChar w:fldCharType="separate"/>
      </w:r>
      <w:r w:rsidR="00445DF3" w:rsidRPr="00AD4130">
        <w:t xml:space="preserve">Figure </w:t>
      </w:r>
      <w:r w:rsidR="00445DF3">
        <w:rPr>
          <w:noProof/>
        </w:rPr>
        <w:t>3</w:t>
      </w:r>
      <w:r w:rsidR="00445DF3">
        <w:noBreakHyphen/>
      </w:r>
      <w:r w:rsidR="00445DF3">
        <w:rPr>
          <w:noProof/>
        </w:rPr>
        <w:t>3</w:t>
      </w:r>
      <w:r>
        <w:rPr>
          <w:szCs w:val="32"/>
        </w:rPr>
        <w:fldChar w:fldCharType="end"/>
      </w:r>
      <w:r w:rsidR="0014595D">
        <w:rPr>
          <w:szCs w:val="32"/>
        </w:rPr>
        <w:t xml:space="preserve"> </w:t>
      </w:r>
      <w:r w:rsidR="000C5D9E">
        <w:rPr>
          <w:szCs w:val="32"/>
        </w:rPr>
        <w:t>illustrates that there is considerable variation across sub-LAP</w:t>
      </w:r>
      <w:r w:rsidR="00AD4130">
        <w:rPr>
          <w:szCs w:val="32"/>
        </w:rPr>
        <w:t xml:space="preserve"> area</w:t>
      </w:r>
      <w:r w:rsidR="000C5D9E">
        <w:rPr>
          <w:szCs w:val="32"/>
        </w:rPr>
        <w:t>s within the same event</w:t>
      </w:r>
      <w:r w:rsidR="00652611">
        <w:rPr>
          <w:szCs w:val="32"/>
        </w:rPr>
        <w:t>,</w:t>
      </w:r>
      <w:r w:rsidR="000C5D9E">
        <w:rPr>
          <w:szCs w:val="32"/>
        </w:rPr>
        <w:t xml:space="preserve"> as well as within sub-LAP across events. Several sub-LAPs including </w:t>
      </w:r>
      <w:r w:rsidR="00687E61">
        <w:rPr>
          <w:szCs w:val="32"/>
        </w:rPr>
        <w:t xml:space="preserve">PGEB, </w:t>
      </w:r>
      <w:r w:rsidR="000C5D9E">
        <w:rPr>
          <w:szCs w:val="32"/>
        </w:rPr>
        <w:t xml:space="preserve">PGF1, PGSI, and PGST have consistently higher average load impacts per customer than the others. </w:t>
      </w:r>
    </w:p>
    <w:p w14:paraId="7625265B" w14:textId="760B741C" w:rsidR="00687E61" w:rsidRPr="00687E61" w:rsidRDefault="00687E61" w:rsidP="00687E61">
      <w:pPr>
        <w:spacing w:after="120"/>
        <w:rPr>
          <w:b/>
          <w:i/>
          <w:szCs w:val="32"/>
        </w:rPr>
      </w:pPr>
      <w:r>
        <w:rPr>
          <w:b/>
          <w:i/>
          <w:szCs w:val="32"/>
        </w:rPr>
        <w:t>A dispatch malfunction throughout PY2018 led PGKN to produce low load impacts</w:t>
      </w:r>
    </w:p>
    <w:p w14:paraId="2491140D" w14:textId="5CF2A2C1" w:rsidR="00FF36A8" w:rsidRDefault="00943AED" w:rsidP="00687E61">
      <w:pPr>
        <w:spacing w:after="120"/>
      </w:pPr>
      <w:r>
        <w:rPr>
          <w:szCs w:val="32"/>
        </w:rPr>
        <w:t xml:space="preserve">While </w:t>
      </w:r>
      <w:r w:rsidR="00652611">
        <w:rPr>
          <w:szCs w:val="32"/>
        </w:rPr>
        <w:t xml:space="preserve">PGKN </w:t>
      </w:r>
      <w:r>
        <w:rPr>
          <w:szCs w:val="32"/>
        </w:rPr>
        <w:t>had high per-customer load impacts in the PY2017 evaluation</w:t>
      </w:r>
      <w:r w:rsidR="002D4F93">
        <w:rPr>
          <w:szCs w:val="32"/>
        </w:rPr>
        <w:t>, during PY2018</w:t>
      </w:r>
      <w:r w:rsidR="00652611">
        <w:rPr>
          <w:szCs w:val="32"/>
        </w:rPr>
        <w:t xml:space="preserve"> there was a</w:t>
      </w:r>
      <w:r w:rsidR="00475920">
        <w:rPr>
          <w:szCs w:val="32"/>
        </w:rPr>
        <w:t>n</w:t>
      </w:r>
      <w:r w:rsidR="00652611">
        <w:rPr>
          <w:szCs w:val="32"/>
        </w:rPr>
        <w:t xml:space="preserve"> error in dispatching</w:t>
      </w:r>
      <w:r>
        <w:rPr>
          <w:szCs w:val="32"/>
        </w:rPr>
        <w:t xml:space="preserve"> </w:t>
      </w:r>
      <w:r w:rsidR="0060377A">
        <w:rPr>
          <w:szCs w:val="32"/>
        </w:rPr>
        <w:t>SmartAC customers in this sub-LAP</w:t>
      </w:r>
      <w:r w:rsidR="002D4F93">
        <w:rPr>
          <w:szCs w:val="32"/>
        </w:rPr>
        <w:t>.</w:t>
      </w:r>
      <w:r w:rsidR="00475920">
        <w:rPr>
          <w:rStyle w:val="FootnoteReference"/>
          <w:szCs w:val="32"/>
        </w:rPr>
        <w:footnoteReference w:id="10"/>
      </w:r>
      <w:r w:rsidR="00652611">
        <w:rPr>
          <w:szCs w:val="32"/>
        </w:rPr>
        <w:t xml:space="preserve"> The yellow bars represent the </w:t>
      </w:r>
      <w:r w:rsidR="00475920">
        <w:t xml:space="preserve">magnitude of the average per customer load impacts for all five events called in PGKN. </w:t>
      </w:r>
      <w:r w:rsidR="002D4F93">
        <w:t>Although the load impacts are higher for PGKN during the July 23</w:t>
      </w:r>
      <w:r w:rsidR="002D4F93" w:rsidRPr="002D4F93">
        <w:rPr>
          <w:vertAlign w:val="superscript"/>
        </w:rPr>
        <w:t>rd</w:t>
      </w:r>
      <w:r w:rsidR="002D4F93">
        <w:t xml:space="preserve"> event </w:t>
      </w:r>
      <w:r w:rsidR="00EC47E5">
        <w:t>compared to</w:t>
      </w:r>
      <w:r w:rsidR="002D4F93">
        <w:t xml:space="preserve"> the other events for which PGKN was called, the load impacts fall behind PGF1 and PGSI</w:t>
      </w:r>
      <w:r w:rsidR="00F51B69">
        <w:t>, which were comparable in PY2017</w:t>
      </w:r>
      <w:r w:rsidR="002D4F93">
        <w:t>.</w:t>
      </w:r>
      <w:r w:rsidR="00687E61">
        <w:t xml:space="preserve"> </w:t>
      </w:r>
      <w:r w:rsidR="00475920">
        <w:t>For the remaining events</w:t>
      </w:r>
      <w:r w:rsidR="002D4F93">
        <w:t xml:space="preserve"> on July 24</w:t>
      </w:r>
      <w:r w:rsidR="002D4F93" w:rsidRPr="002D4F93">
        <w:rPr>
          <w:vertAlign w:val="superscript"/>
        </w:rPr>
        <w:t>th</w:t>
      </w:r>
      <w:r w:rsidR="002D4F93">
        <w:t xml:space="preserve"> and August 8</w:t>
      </w:r>
      <w:r w:rsidR="002D4F93" w:rsidRPr="002D4F93">
        <w:rPr>
          <w:vertAlign w:val="superscript"/>
        </w:rPr>
        <w:t>th</w:t>
      </w:r>
      <w:r w:rsidR="002D4F93">
        <w:t>, 9</w:t>
      </w:r>
      <w:r w:rsidR="002D4F93" w:rsidRPr="002D4F93">
        <w:rPr>
          <w:vertAlign w:val="superscript"/>
        </w:rPr>
        <w:t>th</w:t>
      </w:r>
      <w:r w:rsidR="002D4F93">
        <w:t>, and 10</w:t>
      </w:r>
      <w:r w:rsidR="002D4F93" w:rsidRPr="002D4F93">
        <w:rPr>
          <w:vertAlign w:val="superscript"/>
        </w:rPr>
        <w:t>th</w:t>
      </w:r>
      <w:r w:rsidR="00475920">
        <w:t xml:space="preserve">, </w:t>
      </w:r>
      <w:r w:rsidR="002D4F93">
        <w:t xml:space="preserve">PGKN has a load </w:t>
      </w:r>
      <w:r w:rsidR="00475920">
        <w:t>response</w:t>
      </w:r>
      <w:r w:rsidR="00F51B69">
        <w:t xml:space="preserve"> that</w:t>
      </w:r>
      <w:r w:rsidR="00475920">
        <w:t xml:space="preserve"> </w:t>
      </w:r>
      <w:r w:rsidR="00AD4130">
        <w:t>does not exceed</w:t>
      </w:r>
      <w:r w:rsidR="00475920">
        <w:t xml:space="preserve"> 0.05 kWh/customer/hour, although this response is </w:t>
      </w:r>
      <w:r w:rsidR="00F51B69">
        <w:t xml:space="preserve">generally </w:t>
      </w:r>
      <w:r w:rsidR="00475920">
        <w:t>statistically significant. These results</w:t>
      </w:r>
      <w:r w:rsidR="002D4F93">
        <w:t xml:space="preserve"> confirm that there was some malfunction in dispatching most customers in this sub-LAP, </w:t>
      </w:r>
      <w:r>
        <w:t xml:space="preserve">leading to </w:t>
      </w:r>
      <w:r w:rsidR="00475920">
        <w:t xml:space="preserve">a small share of the </w:t>
      </w:r>
      <w:r w:rsidR="00546AFB">
        <w:t>SmartAC™</w:t>
      </w:r>
      <w:r w:rsidR="00475920">
        <w:t xml:space="preserve"> customers</w:t>
      </w:r>
      <w:r>
        <w:t xml:space="preserve"> being</w:t>
      </w:r>
      <w:r w:rsidR="00475920">
        <w:t xml:space="preserve"> </w:t>
      </w:r>
      <w:r w:rsidR="002D4F93">
        <w:t>dispatched for</w:t>
      </w:r>
      <w:r w:rsidR="00475920">
        <w:t xml:space="preserve"> these events.</w:t>
      </w:r>
    </w:p>
    <w:p w14:paraId="1FB4B47F" w14:textId="0E044F55" w:rsidR="00025EDD" w:rsidRPr="006E09B1" w:rsidRDefault="00025EDD" w:rsidP="006E09B1">
      <w:pPr>
        <w:pStyle w:val="FigureCaption"/>
        <w:keepLines/>
      </w:pPr>
      <w:bookmarkStart w:id="94" w:name="_Ref506895201"/>
      <w:bookmarkStart w:id="95" w:name="_Toc506907187"/>
      <w:bookmarkStart w:id="96" w:name="_Toc4578196"/>
      <w:r w:rsidRPr="00AD4130">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3</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3</w:t>
      </w:r>
      <w:r w:rsidR="00002E97">
        <w:rPr>
          <w:noProof/>
        </w:rPr>
        <w:fldChar w:fldCharType="end"/>
      </w:r>
      <w:bookmarkEnd w:id="94"/>
      <w:r w:rsidR="002C1A9D" w:rsidRPr="00AD4130">
        <w:t xml:space="preserve">: </w:t>
      </w:r>
      <w:bookmarkEnd w:id="95"/>
      <w:r w:rsidR="006E09B1" w:rsidRPr="00AD4130">
        <w:t>Average Event-Hour Load Impacts by Sub-LAP and Event</w:t>
      </w:r>
      <w:bookmarkEnd w:id="96"/>
    </w:p>
    <w:p w14:paraId="3BF6E8EC" w14:textId="6DF842F0" w:rsidR="001548ED" w:rsidRDefault="001548ED" w:rsidP="006E09B1">
      <w:pPr>
        <w:jc w:val="center"/>
      </w:pPr>
      <w:r>
        <w:rPr>
          <w:noProof/>
        </w:rPr>
        <w:drawing>
          <wp:inline distT="0" distB="0" distL="0" distR="0" wp14:anchorId="682CEFAA" wp14:editId="7F38FEA1">
            <wp:extent cx="5486400" cy="3985895"/>
            <wp:effectExtent l="0" t="0" r="0" b="0"/>
            <wp:docPr id="10" name="Chart 10">
              <a:extLst xmlns:a="http://schemas.openxmlformats.org/drawingml/2006/main">
                <a:ext uri="{FF2B5EF4-FFF2-40B4-BE49-F238E27FC236}">
                  <a16:creationId xmlns:a16="http://schemas.microsoft.com/office/drawing/2014/main" id="{728FD4FE-15C2-437F-B547-8FD5C9688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68F828" w14:textId="488D5F46" w:rsidR="007B35F9" w:rsidRDefault="007B35F9" w:rsidP="001548ED"/>
    <w:p w14:paraId="141E68E0" w14:textId="17219C1E" w:rsidR="009B0A71" w:rsidRPr="009B0A71" w:rsidRDefault="009B0A71" w:rsidP="00D64900">
      <w:pPr>
        <w:spacing w:after="120"/>
        <w:rPr>
          <w:b/>
          <w:i/>
          <w:szCs w:val="32"/>
        </w:rPr>
      </w:pPr>
      <w:r>
        <w:rPr>
          <w:b/>
          <w:i/>
          <w:szCs w:val="32"/>
        </w:rPr>
        <w:t>PGEB has the highest aggregate and percentage load impacts</w:t>
      </w:r>
    </w:p>
    <w:p w14:paraId="48611A4E" w14:textId="680C01FB" w:rsidR="00D64900" w:rsidRDefault="00BF6128" w:rsidP="00D64900">
      <w:pPr>
        <w:spacing w:after="120"/>
        <w:rPr>
          <w:szCs w:val="32"/>
        </w:rPr>
      </w:pPr>
      <w:r>
        <w:rPr>
          <w:szCs w:val="32"/>
        </w:rPr>
        <w:fldChar w:fldCharType="begin"/>
      </w:r>
      <w:r>
        <w:rPr>
          <w:szCs w:val="32"/>
        </w:rPr>
        <w:instrText xml:space="preserve"> REF _Ref506897850 \h </w:instrText>
      </w:r>
      <w:r>
        <w:rPr>
          <w:szCs w:val="32"/>
        </w:rPr>
      </w:r>
      <w:r>
        <w:rPr>
          <w:szCs w:val="32"/>
        </w:rPr>
        <w:fldChar w:fldCharType="separate"/>
      </w:r>
      <w:r w:rsidR="00445DF3" w:rsidRPr="0048349E">
        <w:t xml:space="preserve">Table </w:t>
      </w:r>
      <w:r w:rsidR="00445DF3">
        <w:rPr>
          <w:noProof/>
        </w:rPr>
        <w:t>3</w:t>
      </w:r>
      <w:r w:rsidR="00445DF3">
        <w:noBreakHyphen/>
      </w:r>
      <w:r w:rsidR="00445DF3">
        <w:rPr>
          <w:noProof/>
        </w:rPr>
        <w:t>3</w:t>
      </w:r>
      <w:r>
        <w:rPr>
          <w:szCs w:val="32"/>
        </w:rPr>
        <w:fldChar w:fldCharType="end"/>
      </w:r>
      <w:r>
        <w:rPr>
          <w:szCs w:val="32"/>
        </w:rPr>
        <w:t xml:space="preserve"> </w:t>
      </w:r>
      <w:r w:rsidR="00F624EE">
        <w:rPr>
          <w:szCs w:val="32"/>
        </w:rPr>
        <w:t xml:space="preserve">provides the detailed information underlying Figure 3-3, including </w:t>
      </w:r>
      <w:r w:rsidR="00D64900">
        <w:rPr>
          <w:szCs w:val="32"/>
        </w:rPr>
        <w:t>the number customers called, the average</w:t>
      </w:r>
      <w:r w:rsidR="00642523">
        <w:rPr>
          <w:szCs w:val="32"/>
        </w:rPr>
        <w:t xml:space="preserve"> event</w:t>
      </w:r>
      <w:r w:rsidR="00D64900">
        <w:rPr>
          <w:szCs w:val="32"/>
        </w:rPr>
        <w:t xml:space="preserve"> load impacts (per customer and in aggregate), reference loads, and percentage load impacts for each</w:t>
      </w:r>
      <w:r w:rsidR="00642523">
        <w:rPr>
          <w:szCs w:val="32"/>
        </w:rPr>
        <w:t xml:space="preserve"> sub-LAP for each</w:t>
      </w:r>
      <w:r w:rsidR="00D64900">
        <w:rPr>
          <w:szCs w:val="32"/>
        </w:rPr>
        <w:t xml:space="preserve"> event. The number of called customers varies dramatically across </w:t>
      </w:r>
      <w:r w:rsidR="00642523">
        <w:rPr>
          <w:szCs w:val="32"/>
        </w:rPr>
        <w:t xml:space="preserve">sub-LAPs </w:t>
      </w:r>
      <w:r w:rsidR="00D64900">
        <w:rPr>
          <w:szCs w:val="32"/>
        </w:rPr>
        <w:t xml:space="preserve">leading </w:t>
      </w:r>
      <w:r w:rsidR="00642523">
        <w:rPr>
          <w:szCs w:val="32"/>
        </w:rPr>
        <w:t xml:space="preserve">to </w:t>
      </w:r>
      <w:r w:rsidR="00D64900">
        <w:rPr>
          <w:szCs w:val="32"/>
        </w:rPr>
        <w:t xml:space="preserve">aggregate load impacts </w:t>
      </w:r>
      <w:r w:rsidR="00642523">
        <w:rPr>
          <w:szCs w:val="32"/>
        </w:rPr>
        <w:t xml:space="preserve">that range </w:t>
      </w:r>
      <w:r w:rsidR="00D64900">
        <w:rPr>
          <w:szCs w:val="32"/>
        </w:rPr>
        <w:t xml:space="preserve">from </w:t>
      </w:r>
      <w:r w:rsidR="00642523">
        <w:rPr>
          <w:szCs w:val="32"/>
        </w:rPr>
        <w:t>0.</w:t>
      </w:r>
      <w:r w:rsidR="00635030">
        <w:rPr>
          <w:szCs w:val="32"/>
        </w:rPr>
        <w:t>04</w:t>
      </w:r>
      <w:r w:rsidR="00D64900">
        <w:rPr>
          <w:szCs w:val="32"/>
        </w:rPr>
        <w:t xml:space="preserve"> MWh/hour</w:t>
      </w:r>
      <w:r w:rsidR="00642523">
        <w:rPr>
          <w:szCs w:val="32"/>
        </w:rPr>
        <w:t xml:space="preserve"> for PGNC</w:t>
      </w:r>
      <w:r w:rsidR="00D64900">
        <w:rPr>
          <w:szCs w:val="32"/>
        </w:rPr>
        <w:t xml:space="preserve"> to </w:t>
      </w:r>
      <w:r w:rsidR="00642523">
        <w:rPr>
          <w:szCs w:val="32"/>
        </w:rPr>
        <w:t>7.</w:t>
      </w:r>
      <w:r w:rsidR="00635030">
        <w:rPr>
          <w:szCs w:val="32"/>
        </w:rPr>
        <w:t>8</w:t>
      </w:r>
      <w:r w:rsidR="00D64900">
        <w:rPr>
          <w:szCs w:val="32"/>
        </w:rPr>
        <w:t xml:space="preserve"> MWh/hour</w:t>
      </w:r>
      <w:r w:rsidR="00642523">
        <w:rPr>
          <w:szCs w:val="32"/>
        </w:rPr>
        <w:t xml:space="preserve"> for PGEB</w:t>
      </w:r>
      <w:r w:rsidR="00D64900">
        <w:rPr>
          <w:szCs w:val="32"/>
        </w:rPr>
        <w:t>. In percentage terms, the load impacts range from</w:t>
      </w:r>
      <w:r w:rsidR="00642523">
        <w:rPr>
          <w:szCs w:val="32"/>
        </w:rPr>
        <w:t xml:space="preserve"> </w:t>
      </w:r>
      <w:r w:rsidR="00A62634">
        <w:rPr>
          <w:szCs w:val="32"/>
        </w:rPr>
        <w:t>3</w:t>
      </w:r>
      <w:r w:rsidR="00635030">
        <w:rPr>
          <w:szCs w:val="32"/>
        </w:rPr>
        <w:t>.</w:t>
      </w:r>
      <w:r w:rsidR="006B1F9F">
        <w:rPr>
          <w:szCs w:val="32"/>
        </w:rPr>
        <w:t>4</w:t>
      </w:r>
      <w:r w:rsidR="00642523">
        <w:rPr>
          <w:szCs w:val="32"/>
        </w:rPr>
        <w:t xml:space="preserve"> percent of reference loads for PGN</w:t>
      </w:r>
      <w:r w:rsidR="00A62634">
        <w:rPr>
          <w:szCs w:val="32"/>
        </w:rPr>
        <w:t>C</w:t>
      </w:r>
      <w:r w:rsidR="00635030">
        <w:rPr>
          <w:szCs w:val="32"/>
        </w:rPr>
        <w:t xml:space="preserve"> (excluding PGKN)</w:t>
      </w:r>
      <w:r w:rsidR="00642523">
        <w:rPr>
          <w:szCs w:val="32"/>
        </w:rPr>
        <w:t xml:space="preserve"> to 17</w:t>
      </w:r>
      <w:r w:rsidR="00635030">
        <w:rPr>
          <w:szCs w:val="32"/>
        </w:rPr>
        <w:t>.1</w:t>
      </w:r>
      <w:r w:rsidR="00642523">
        <w:rPr>
          <w:szCs w:val="32"/>
        </w:rPr>
        <w:t xml:space="preserve"> percent of reference loads for PG</w:t>
      </w:r>
      <w:r w:rsidR="00635030">
        <w:rPr>
          <w:szCs w:val="32"/>
        </w:rPr>
        <w:t>EB</w:t>
      </w:r>
      <w:r w:rsidR="00D64900">
        <w:rPr>
          <w:szCs w:val="32"/>
        </w:rPr>
        <w:t>.</w:t>
      </w:r>
      <w:r w:rsidR="00A62634">
        <w:rPr>
          <w:szCs w:val="32"/>
        </w:rPr>
        <w:t xml:space="preserve"> For PGKN</w:t>
      </w:r>
      <w:r w:rsidR="00F51B69">
        <w:rPr>
          <w:szCs w:val="32"/>
        </w:rPr>
        <w:t>,</w:t>
      </w:r>
      <w:r w:rsidR="00A62634">
        <w:rPr>
          <w:szCs w:val="32"/>
        </w:rPr>
        <w:t xml:space="preserve"> percentage loads impacts are 6 percent on July 23</w:t>
      </w:r>
      <w:r w:rsidR="00A62634" w:rsidRPr="00A62634">
        <w:rPr>
          <w:szCs w:val="32"/>
          <w:vertAlign w:val="superscript"/>
        </w:rPr>
        <w:t>rd</w:t>
      </w:r>
      <w:r w:rsidR="00A62634">
        <w:rPr>
          <w:szCs w:val="32"/>
        </w:rPr>
        <w:t xml:space="preserve"> event, and are close to 1 percent thereafter</w:t>
      </w:r>
      <w:r w:rsidR="00D64900">
        <w:rPr>
          <w:szCs w:val="32"/>
        </w:rPr>
        <w:t>.</w:t>
      </w:r>
    </w:p>
    <w:p w14:paraId="10FB13FC" w14:textId="350E56DF" w:rsidR="00F3243D" w:rsidRDefault="00F3243D" w:rsidP="00627028"/>
    <w:p w14:paraId="2D7FAF2A" w14:textId="1A66B220" w:rsidR="00435BE7" w:rsidRDefault="00435BE7" w:rsidP="00627028"/>
    <w:p w14:paraId="70CC2B7F" w14:textId="77777777" w:rsidR="00EC47E5" w:rsidRDefault="00EC47E5" w:rsidP="00627028"/>
    <w:p w14:paraId="04D4EF00" w14:textId="55407A60" w:rsidR="00E9688B" w:rsidRDefault="00E9688B" w:rsidP="00E9688B"/>
    <w:p w14:paraId="25A39084" w14:textId="77777777" w:rsidR="00A26590" w:rsidRDefault="00A26590" w:rsidP="00E9688B"/>
    <w:p w14:paraId="111388AF" w14:textId="356F6AEE" w:rsidR="00FF5BA6" w:rsidRDefault="00FF5BA6" w:rsidP="00E9688B"/>
    <w:p w14:paraId="0E65FFA2" w14:textId="77777777" w:rsidR="00FF5BA6" w:rsidRDefault="00FF5BA6" w:rsidP="00E9688B"/>
    <w:p w14:paraId="16F74AC3" w14:textId="27FBC8D9" w:rsidR="006E09B1" w:rsidRDefault="006E09B1" w:rsidP="00546AA7"/>
    <w:p w14:paraId="0154F48B" w14:textId="33362574" w:rsidR="006E09B1" w:rsidRDefault="006E09B1" w:rsidP="00546AA7"/>
    <w:p w14:paraId="3F47AC62" w14:textId="77777777" w:rsidR="006E09B1" w:rsidRDefault="006E09B1" w:rsidP="00546AA7"/>
    <w:p w14:paraId="467A4CF7" w14:textId="5DD73AEC" w:rsidR="00025EDD" w:rsidRDefault="00025EDD" w:rsidP="00025EDD">
      <w:pPr>
        <w:pStyle w:val="TableCaption"/>
        <w:rPr>
          <w:i/>
        </w:rPr>
      </w:pPr>
      <w:bookmarkStart w:id="97" w:name="_Ref506897850"/>
      <w:bookmarkStart w:id="98" w:name="_Toc506907159"/>
      <w:bookmarkStart w:id="99" w:name="_Ref702877"/>
      <w:bookmarkStart w:id="100" w:name="_Toc4578178"/>
      <w:r w:rsidRPr="0048349E">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3</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3</w:t>
      </w:r>
      <w:r w:rsidR="005D5F52">
        <w:rPr>
          <w:noProof/>
        </w:rPr>
        <w:fldChar w:fldCharType="end"/>
      </w:r>
      <w:bookmarkEnd w:id="97"/>
      <w:r w:rsidRPr="0048349E">
        <w:t xml:space="preserve">: </w:t>
      </w:r>
      <w:bookmarkEnd w:id="98"/>
      <w:r w:rsidR="006E09B1" w:rsidRPr="0048349E">
        <w:t>Average Event-Hour Load Impacts by Sub-LAP and Event</w:t>
      </w:r>
      <w:bookmarkEnd w:id="99"/>
      <w:bookmarkEnd w:id="100"/>
    </w:p>
    <w:tbl>
      <w:tblPr>
        <w:tblW w:w="9836" w:type="dxa"/>
        <w:jc w:val="center"/>
        <w:tblLook w:val="04A0" w:firstRow="1" w:lastRow="0" w:firstColumn="1" w:lastColumn="0" w:noHBand="0" w:noVBand="1"/>
      </w:tblPr>
      <w:tblGrid>
        <w:gridCol w:w="896"/>
        <w:gridCol w:w="728"/>
        <w:gridCol w:w="1392"/>
        <w:gridCol w:w="1238"/>
        <w:gridCol w:w="851"/>
        <w:gridCol w:w="1067"/>
        <w:gridCol w:w="1067"/>
        <w:gridCol w:w="792"/>
        <w:gridCol w:w="1063"/>
        <w:gridCol w:w="742"/>
      </w:tblGrid>
      <w:tr w:rsidR="00220C8B" w:rsidRPr="00220C8B" w14:paraId="4AA2940A" w14:textId="77777777" w:rsidTr="00F51B69">
        <w:trPr>
          <w:trHeight w:val="300"/>
          <w:jc w:val="center"/>
        </w:trPr>
        <w:tc>
          <w:tcPr>
            <w:tcW w:w="896" w:type="dxa"/>
            <w:vMerge w:val="restart"/>
            <w:tcBorders>
              <w:top w:val="nil"/>
              <w:left w:val="nil"/>
              <w:bottom w:val="nil"/>
              <w:right w:val="nil"/>
            </w:tcBorders>
            <w:shd w:val="clear" w:color="000000" w:fill="0C2577"/>
            <w:vAlign w:val="center"/>
            <w:hideMark/>
          </w:tcPr>
          <w:p w14:paraId="190EC516"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Event Date</w:t>
            </w:r>
          </w:p>
        </w:tc>
        <w:tc>
          <w:tcPr>
            <w:tcW w:w="728" w:type="dxa"/>
            <w:vMerge w:val="restart"/>
            <w:tcBorders>
              <w:top w:val="nil"/>
              <w:left w:val="single" w:sz="4" w:space="0" w:color="FFFFFF"/>
              <w:bottom w:val="nil"/>
              <w:right w:val="single" w:sz="4" w:space="0" w:color="FFFFFF"/>
            </w:tcBorders>
            <w:shd w:val="clear" w:color="000000" w:fill="0C2577"/>
            <w:vAlign w:val="center"/>
            <w:hideMark/>
          </w:tcPr>
          <w:p w14:paraId="66AB921D"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Sub-LAP</w:t>
            </w:r>
          </w:p>
        </w:tc>
        <w:tc>
          <w:tcPr>
            <w:tcW w:w="1392" w:type="dxa"/>
            <w:vMerge w:val="restart"/>
            <w:tcBorders>
              <w:top w:val="nil"/>
              <w:left w:val="single" w:sz="4" w:space="0" w:color="FFFFFF"/>
              <w:bottom w:val="single" w:sz="4" w:space="0" w:color="000000"/>
              <w:right w:val="single" w:sz="4" w:space="0" w:color="FFFFFF"/>
            </w:tcBorders>
            <w:shd w:val="clear" w:color="000000" w:fill="0C2577"/>
            <w:vAlign w:val="center"/>
            <w:hideMark/>
          </w:tcPr>
          <w:p w14:paraId="5F115A6B"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Event Hours</w:t>
            </w:r>
          </w:p>
        </w:tc>
        <w:tc>
          <w:tcPr>
            <w:tcW w:w="1238" w:type="dxa"/>
            <w:vMerge w:val="restart"/>
            <w:tcBorders>
              <w:top w:val="nil"/>
              <w:left w:val="nil"/>
              <w:bottom w:val="nil"/>
              <w:right w:val="nil"/>
            </w:tcBorders>
            <w:shd w:val="clear" w:color="000000" w:fill="0C2577"/>
            <w:vAlign w:val="center"/>
            <w:hideMark/>
          </w:tcPr>
          <w:p w14:paraId="37C6ACB0" w14:textId="08F4DE5A" w:rsidR="00220C8B" w:rsidRPr="00220C8B" w:rsidRDefault="00220C8B" w:rsidP="00220C8B">
            <w:pPr>
              <w:jc w:val="center"/>
              <w:rPr>
                <w:rFonts w:cs="Calibri"/>
                <w:b/>
                <w:bCs/>
                <w:color w:val="FFFFFF"/>
                <w:sz w:val="20"/>
                <w:szCs w:val="20"/>
              </w:rPr>
            </w:pPr>
            <w:r w:rsidRPr="00220C8B">
              <w:rPr>
                <w:rFonts w:cs="Calibri"/>
                <w:b/>
                <w:bCs/>
                <w:color w:val="FFFFFF"/>
                <w:sz w:val="20"/>
                <w:szCs w:val="20"/>
              </w:rPr>
              <w:t>SmartRate</w:t>
            </w:r>
            <w:r>
              <w:rPr>
                <w:rFonts w:cs="Calibri"/>
                <w:b/>
                <w:bCs/>
                <w:color w:val="FFFFFF"/>
                <w:sz w:val="20"/>
                <w:szCs w:val="20"/>
              </w:rPr>
              <w:t>™</w:t>
            </w:r>
            <w:r w:rsidRPr="00220C8B">
              <w:rPr>
                <w:rFonts w:cs="Calibri"/>
                <w:b/>
                <w:bCs/>
                <w:color w:val="FFFFFF"/>
                <w:sz w:val="20"/>
                <w:szCs w:val="20"/>
              </w:rPr>
              <w:t xml:space="preserve"> Event?</w:t>
            </w:r>
          </w:p>
        </w:tc>
        <w:tc>
          <w:tcPr>
            <w:tcW w:w="851" w:type="dxa"/>
            <w:vMerge w:val="restart"/>
            <w:tcBorders>
              <w:top w:val="nil"/>
              <w:left w:val="single" w:sz="4" w:space="0" w:color="FFFFFF"/>
              <w:bottom w:val="nil"/>
              <w:right w:val="single" w:sz="4" w:space="0" w:color="FFFFFF"/>
            </w:tcBorders>
            <w:shd w:val="clear" w:color="000000" w:fill="0C2577"/>
            <w:vAlign w:val="center"/>
            <w:hideMark/>
          </w:tcPr>
          <w:p w14:paraId="5BDBB267"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 Called</w:t>
            </w:r>
          </w:p>
        </w:tc>
        <w:tc>
          <w:tcPr>
            <w:tcW w:w="4731" w:type="dxa"/>
            <w:gridSpan w:val="5"/>
            <w:tcBorders>
              <w:top w:val="nil"/>
              <w:left w:val="nil"/>
              <w:bottom w:val="nil"/>
              <w:right w:val="nil"/>
            </w:tcBorders>
            <w:shd w:val="clear" w:color="000000" w:fill="0C2577"/>
            <w:vAlign w:val="center"/>
            <w:hideMark/>
          </w:tcPr>
          <w:p w14:paraId="16580ACA"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Average Event Hour</w:t>
            </w:r>
          </w:p>
        </w:tc>
      </w:tr>
      <w:tr w:rsidR="00220C8B" w:rsidRPr="00220C8B" w14:paraId="03012148" w14:textId="77777777" w:rsidTr="00F51B69">
        <w:trPr>
          <w:trHeight w:val="765"/>
          <w:jc w:val="center"/>
        </w:trPr>
        <w:tc>
          <w:tcPr>
            <w:tcW w:w="896" w:type="dxa"/>
            <w:vMerge/>
            <w:tcBorders>
              <w:top w:val="nil"/>
              <w:left w:val="nil"/>
              <w:bottom w:val="nil"/>
              <w:right w:val="nil"/>
            </w:tcBorders>
            <w:vAlign w:val="center"/>
            <w:hideMark/>
          </w:tcPr>
          <w:p w14:paraId="5A16275C" w14:textId="77777777" w:rsidR="00220C8B" w:rsidRPr="00220C8B" w:rsidRDefault="00220C8B" w:rsidP="00220C8B">
            <w:pPr>
              <w:rPr>
                <w:rFonts w:cs="Calibri"/>
                <w:b/>
                <w:bCs/>
                <w:color w:val="FFFFFF"/>
                <w:sz w:val="20"/>
                <w:szCs w:val="20"/>
              </w:rPr>
            </w:pPr>
          </w:p>
        </w:tc>
        <w:tc>
          <w:tcPr>
            <w:tcW w:w="728" w:type="dxa"/>
            <w:vMerge/>
            <w:tcBorders>
              <w:top w:val="nil"/>
              <w:left w:val="single" w:sz="4" w:space="0" w:color="FFFFFF"/>
              <w:bottom w:val="nil"/>
              <w:right w:val="single" w:sz="4" w:space="0" w:color="FFFFFF"/>
            </w:tcBorders>
            <w:vAlign w:val="center"/>
            <w:hideMark/>
          </w:tcPr>
          <w:p w14:paraId="1EF0EB8F" w14:textId="77777777" w:rsidR="00220C8B" w:rsidRPr="00220C8B" w:rsidRDefault="00220C8B" w:rsidP="00220C8B">
            <w:pPr>
              <w:rPr>
                <w:rFonts w:cs="Calibri"/>
                <w:b/>
                <w:bCs/>
                <w:color w:val="FFFFFF"/>
                <w:sz w:val="20"/>
                <w:szCs w:val="20"/>
              </w:rPr>
            </w:pPr>
          </w:p>
        </w:tc>
        <w:tc>
          <w:tcPr>
            <w:tcW w:w="1392" w:type="dxa"/>
            <w:vMerge/>
            <w:tcBorders>
              <w:top w:val="nil"/>
              <w:left w:val="single" w:sz="4" w:space="0" w:color="FFFFFF"/>
              <w:bottom w:val="single" w:sz="4" w:space="0" w:color="000000"/>
              <w:right w:val="single" w:sz="4" w:space="0" w:color="FFFFFF"/>
            </w:tcBorders>
            <w:vAlign w:val="center"/>
            <w:hideMark/>
          </w:tcPr>
          <w:p w14:paraId="1B899F73" w14:textId="77777777" w:rsidR="00220C8B" w:rsidRPr="00220C8B" w:rsidRDefault="00220C8B" w:rsidP="00220C8B">
            <w:pPr>
              <w:rPr>
                <w:rFonts w:cs="Calibri"/>
                <w:b/>
                <w:bCs/>
                <w:color w:val="FFFFFF"/>
                <w:sz w:val="20"/>
                <w:szCs w:val="20"/>
              </w:rPr>
            </w:pPr>
          </w:p>
        </w:tc>
        <w:tc>
          <w:tcPr>
            <w:tcW w:w="1238" w:type="dxa"/>
            <w:vMerge/>
            <w:tcBorders>
              <w:top w:val="nil"/>
              <w:left w:val="nil"/>
              <w:bottom w:val="nil"/>
              <w:right w:val="nil"/>
            </w:tcBorders>
            <w:vAlign w:val="center"/>
            <w:hideMark/>
          </w:tcPr>
          <w:p w14:paraId="09B6B1BB" w14:textId="77777777" w:rsidR="00220C8B" w:rsidRPr="00220C8B" w:rsidRDefault="00220C8B" w:rsidP="00220C8B">
            <w:pPr>
              <w:rPr>
                <w:rFonts w:cs="Calibri"/>
                <w:b/>
                <w:bCs/>
                <w:color w:val="FFFFFF"/>
                <w:sz w:val="20"/>
                <w:szCs w:val="20"/>
              </w:rPr>
            </w:pPr>
          </w:p>
        </w:tc>
        <w:tc>
          <w:tcPr>
            <w:tcW w:w="851" w:type="dxa"/>
            <w:vMerge/>
            <w:tcBorders>
              <w:top w:val="nil"/>
              <w:left w:val="single" w:sz="4" w:space="0" w:color="FFFFFF"/>
              <w:bottom w:val="nil"/>
              <w:right w:val="single" w:sz="4" w:space="0" w:color="FFFFFF"/>
            </w:tcBorders>
            <w:vAlign w:val="center"/>
            <w:hideMark/>
          </w:tcPr>
          <w:p w14:paraId="40CD1A31" w14:textId="77777777" w:rsidR="00220C8B" w:rsidRPr="00220C8B" w:rsidRDefault="00220C8B" w:rsidP="00220C8B">
            <w:pPr>
              <w:rPr>
                <w:rFonts w:cs="Calibri"/>
                <w:b/>
                <w:bCs/>
                <w:color w:val="FFFFFF"/>
                <w:sz w:val="20"/>
                <w:szCs w:val="20"/>
              </w:rPr>
            </w:pPr>
          </w:p>
        </w:tc>
        <w:tc>
          <w:tcPr>
            <w:tcW w:w="1067" w:type="dxa"/>
            <w:tcBorders>
              <w:top w:val="single" w:sz="4" w:space="0" w:color="E7E6E6"/>
              <w:left w:val="nil"/>
              <w:bottom w:val="nil"/>
              <w:right w:val="single" w:sz="4" w:space="0" w:color="FFFFFF"/>
            </w:tcBorders>
            <w:shd w:val="clear" w:color="000000" w:fill="0C2577"/>
            <w:vAlign w:val="center"/>
            <w:hideMark/>
          </w:tcPr>
          <w:p w14:paraId="177299AD"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Reference (kW/Cust)</w:t>
            </w:r>
          </w:p>
        </w:tc>
        <w:tc>
          <w:tcPr>
            <w:tcW w:w="1067" w:type="dxa"/>
            <w:tcBorders>
              <w:top w:val="single" w:sz="4" w:space="0" w:color="E7E6E6"/>
              <w:left w:val="nil"/>
              <w:bottom w:val="nil"/>
              <w:right w:val="single" w:sz="4" w:space="0" w:color="FFFFFF"/>
            </w:tcBorders>
            <w:shd w:val="clear" w:color="000000" w:fill="0C2577"/>
            <w:vAlign w:val="center"/>
            <w:hideMark/>
          </w:tcPr>
          <w:p w14:paraId="227E4D74"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Impact (kW/Cust)</w:t>
            </w:r>
          </w:p>
        </w:tc>
        <w:tc>
          <w:tcPr>
            <w:tcW w:w="792" w:type="dxa"/>
            <w:tcBorders>
              <w:top w:val="single" w:sz="4" w:space="0" w:color="E7E6E6"/>
              <w:left w:val="nil"/>
              <w:bottom w:val="nil"/>
              <w:right w:val="single" w:sz="4" w:space="0" w:color="FFFFFF"/>
            </w:tcBorders>
            <w:shd w:val="clear" w:color="000000" w:fill="0C2577"/>
            <w:vAlign w:val="center"/>
            <w:hideMark/>
          </w:tcPr>
          <w:p w14:paraId="626E192E"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 Impact</w:t>
            </w:r>
          </w:p>
        </w:tc>
        <w:tc>
          <w:tcPr>
            <w:tcW w:w="1063" w:type="dxa"/>
            <w:tcBorders>
              <w:top w:val="single" w:sz="4" w:space="0" w:color="E7E6E6"/>
              <w:left w:val="nil"/>
              <w:bottom w:val="nil"/>
              <w:right w:val="single" w:sz="4" w:space="0" w:color="FFFFFF"/>
            </w:tcBorders>
            <w:shd w:val="clear" w:color="000000" w:fill="0C2577"/>
            <w:vAlign w:val="center"/>
            <w:hideMark/>
          </w:tcPr>
          <w:p w14:paraId="34C8E2D6"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Aggregate Impact (MW)</w:t>
            </w:r>
          </w:p>
        </w:tc>
        <w:tc>
          <w:tcPr>
            <w:tcW w:w="742" w:type="dxa"/>
            <w:tcBorders>
              <w:top w:val="single" w:sz="4" w:space="0" w:color="E7E6E6"/>
              <w:left w:val="nil"/>
              <w:bottom w:val="nil"/>
              <w:right w:val="nil"/>
            </w:tcBorders>
            <w:shd w:val="clear" w:color="000000" w:fill="0C2577"/>
            <w:vAlign w:val="center"/>
            <w:hideMark/>
          </w:tcPr>
          <w:p w14:paraId="19B2FF84" w14:textId="77777777" w:rsidR="00220C8B" w:rsidRPr="00220C8B" w:rsidRDefault="00220C8B" w:rsidP="00220C8B">
            <w:pPr>
              <w:jc w:val="center"/>
              <w:rPr>
                <w:rFonts w:cs="Calibri"/>
                <w:b/>
                <w:bCs/>
                <w:color w:val="FFFFFF"/>
                <w:sz w:val="20"/>
                <w:szCs w:val="20"/>
              </w:rPr>
            </w:pPr>
            <w:r w:rsidRPr="00220C8B">
              <w:rPr>
                <w:rFonts w:cs="Calibri"/>
                <w:b/>
                <w:bCs/>
                <w:color w:val="FFFFFF"/>
                <w:sz w:val="20"/>
                <w:szCs w:val="20"/>
              </w:rPr>
              <w:t>Avg. Temp (°F)</w:t>
            </w:r>
          </w:p>
        </w:tc>
      </w:tr>
      <w:tr w:rsidR="00220C8B" w:rsidRPr="00220C8B" w14:paraId="6EC6A93C" w14:textId="77777777" w:rsidTr="00F51B69">
        <w:trPr>
          <w:trHeight w:val="300"/>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666EB8" w14:textId="77777777" w:rsidR="00220C8B" w:rsidRPr="00220C8B" w:rsidRDefault="00220C8B" w:rsidP="00220C8B">
            <w:pPr>
              <w:jc w:val="center"/>
              <w:rPr>
                <w:rFonts w:cs="Calibri"/>
                <w:sz w:val="22"/>
                <w:szCs w:val="22"/>
              </w:rPr>
            </w:pPr>
            <w:r w:rsidRPr="00220C8B">
              <w:rPr>
                <w:rFonts w:cs="Calibri"/>
                <w:sz w:val="22"/>
                <w:szCs w:val="22"/>
              </w:rPr>
              <w:t>23-Jul</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3DB25F17" w14:textId="77777777" w:rsidR="00220C8B" w:rsidRPr="00220C8B" w:rsidRDefault="00220C8B" w:rsidP="00220C8B">
            <w:pPr>
              <w:jc w:val="center"/>
              <w:rPr>
                <w:rFonts w:cs="Calibri"/>
                <w:sz w:val="22"/>
                <w:szCs w:val="22"/>
              </w:rPr>
            </w:pPr>
            <w:r w:rsidRPr="00220C8B">
              <w:rPr>
                <w:rFonts w:cs="Calibri"/>
                <w:sz w:val="22"/>
                <w:szCs w:val="22"/>
              </w:rPr>
              <w:t>PGF1</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F6C274" w14:textId="77777777" w:rsidR="00220C8B" w:rsidRPr="00220C8B" w:rsidRDefault="00220C8B" w:rsidP="00220C8B">
            <w:pPr>
              <w:jc w:val="center"/>
              <w:rPr>
                <w:rFonts w:cs="Calibri"/>
                <w:sz w:val="22"/>
                <w:szCs w:val="22"/>
              </w:rPr>
            </w:pPr>
            <w:r w:rsidRPr="00220C8B">
              <w:rPr>
                <w:rFonts w:cs="Calibri"/>
                <w:sz w:val="22"/>
                <w:szCs w:val="22"/>
              </w:rPr>
              <w:t>4-8 p.m.</w:t>
            </w:r>
          </w:p>
        </w:tc>
        <w:tc>
          <w:tcPr>
            <w:tcW w:w="12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8ED8D2" w14:textId="77777777" w:rsidR="00220C8B" w:rsidRPr="00220C8B" w:rsidRDefault="00220C8B" w:rsidP="00220C8B">
            <w:pPr>
              <w:jc w:val="center"/>
              <w:rPr>
                <w:rFonts w:cs="Calibri"/>
                <w:sz w:val="22"/>
                <w:szCs w:val="22"/>
              </w:rPr>
            </w:pPr>
            <w:r w:rsidRPr="00220C8B">
              <w:rPr>
                <w:rFonts w:cs="Calibri"/>
                <w:sz w:val="22"/>
                <w:szCs w:val="22"/>
              </w:rPr>
              <w:t>No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220D3B9" w14:textId="77777777" w:rsidR="00220C8B" w:rsidRPr="00220C8B" w:rsidRDefault="00220C8B" w:rsidP="00220C8B">
            <w:pPr>
              <w:jc w:val="right"/>
              <w:rPr>
                <w:rFonts w:cs="Calibri"/>
                <w:sz w:val="22"/>
                <w:szCs w:val="22"/>
              </w:rPr>
            </w:pPr>
            <w:r w:rsidRPr="00220C8B">
              <w:rPr>
                <w:rFonts w:cs="Calibri"/>
                <w:sz w:val="22"/>
                <w:szCs w:val="22"/>
              </w:rPr>
              <w:t>17,471</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14:paraId="1067151C" w14:textId="77777777" w:rsidR="00220C8B" w:rsidRPr="00220C8B" w:rsidRDefault="00220C8B" w:rsidP="00220C8B">
            <w:pPr>
              <w:jc w:val="right"/>
              <w:rPr>
                <w:rFonts w:cs="Calibri"/>
                <w:sz w:val="22"/>
                <w:szCs w:val="22"/>
              </w:rPr>
            </w:pPr>
            <w:r w:rsidRPr="00220C8B">
              <w:rPr>
                <w:rFonts w:cs="Calibri"/>
                <w:sz w:val="22"/>
                <w:szCs w:val="22"/>
              </w:rPr>
              <w:t>2.76</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14:paraId="5DA18FCA" w14:textId="77777777" w:rsidR="00220C8B" w:rsidRPr="00220C8B" w:rsidRDefault="00220C8B" w:rsidP="00220C8B">
            <w:pPr>
              <w:jc w:val="right"/>
              <w:rPr>
                <w:rFonts w:cs="Calibri"/>
                <w:sz w:val="22"/>
                <w:szCs w:val="22"/>
              </w:rPr>
            </w:pPr>
            <w:r w:rsidRPr="00220C8B">
              <w:rPr>
                <w:rFonts w:cs="Calibri"/>
                <w:sz w:val="22"/>
                <w:szCs w:val="22"/>
              </w:rPr>
              <w:t>0.32</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1A161034" w14:textId="77777777" w:rsidR="00220C8B" w:rsidRPr="00220C8B" w:rsidRDefault="00220C8B" w:rsidP="00220C8B">
            <w:pPr>
              <w:jc w:val="right"/>
              <w:rPr>
                <w:rFonts w:cs="Calibri"/>
                <w:sz w:val="22"/>
                <w:szCs w:val="22"/>
              </w:rPr>
            </w:pPr>
            <w:r w:rsidRPr="00220C8B">
              <w:rPr>
                <w:rFonts w:cs="Calibri"/>
                <w:sz w:val="22"/>
                <w:szCs w:val="22"/>
              </w:rPr>
              <w:t>11.4%</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5B7849DF" w14:textId="77777777" w:rsidR="00220C8B" w:rsidRPr="00220C8B" w:rsidRDefault="00220C8B" w:rsidP="00220C8B">
            <w:pPr>
              <w:jc w:val="right"/>
              <w:rPr>
                <w:rFonts w:cs="Calibri"/>
                <w:sz w:val="22"/>
                <w:szCs w:val="22"/>
              </w:rPr>
            </w:pPr>
            <w:r w:rsidRPr="00220C8B">
              <w:rPr>
                <w:rFonts w:cs="Calibri"/>
                <w:sz w:val="22"/>
                <w:szCs w:val="22"/>
              </w:rPr>
              <w:t>5.51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30B6C595" w14:textId="77777777" w:rsidR="00220C8B" w:rsidRPr="00220C8B" w:rsidRDefault="00220C8B" w:rsidP="00220C8B">
            <w:pPr>
              <w:jc w:val="right"/>
              <w:rPr>
                <w:rFonts w:cs="Calibri"/>
                <w:sz w:val="22"/>
                <w:szCs w:val="22"/>
              </w:rPr>
            </w:pPr>
            <w:r w:rsidRPr="00220C8B">
              <w:rPr>
                <w:rFonts w:cs="Calibri"/>
                <w:sz w:val="22"/>
                <w:szCs w:val="22"/>
              </w:rPr>
              <w:t>99.1</w:t>
            </w:r>
          </w:p>
        </w:tc>
      </w:tr>
      <w:tr w:rsidR="00220C8B" w:rsidRPr="00220C8B" w14:paraId="40487AEC" w14:textId="77777777" w:rsidTr="00F51B69">
        <w:trPr>
          <w:trHeight w:val="300"/>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14:paraId="56576745"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7221A14C" w14:textId="77777777" w:rsidR="00220C8B" w:rsidRPr="00220C8B" w:rsidRDefault="00220C8B" w:rsidP="00220C8B">
            <w:pPr>
              <w:jc w:val="center"/>
              <w:rPr>
                <w:rFonts w:cs="Calibri"/>
                <w:sz w:val="22"/>
                <w:szCs w:val="22"/>
              </w:rPr>
            </w:pPr>
            <w:r w:rsidRPr="00220C8B">
              <w:rPr>
                <w:rFonts w:cs="Calibri"/>
                <w:sz w:val="22"/>
                <w:szCs w:val="22"/>
              </w:rPr>
              <w:t>PGKN</w:t>
            </w:r>
          </w:p>
        </w:tc>
        <w:tc>
          <w:tcPr>
            <w:tcW w:w="1392" w:type="dxa"/>
            <w:vMerge/>
            <w:tcBorders>
              <w:top w:val="nil"/>
              <w:left w:val="single" w:sz="4" w:space="0" w:color="auto"/>
              <w:bottom w:val="single" w:sz="4" w:space="0" w:color="000000"/>
              <w:right w:val="single" w:sz="4" w:space="0" w:color="auto"/>
            </w:tcBorders>
            <w:vAlign w:val="center"/>
            <w:hideMark/>
          </w:tcPr>
          <w:p w14:paraId="0F35DBA5" w14:textId="77777777" w:rsidR="00220C8B" w:rsidRPr="00220C8B" w:rsidRDefault="00220C8B" w:rsidP="00220C8B">
            <w:pPr>
              <w:rPr>
                <w:rFonts w:cs="Calibri"/>
                <w:sz w:val="22"/>
                <w:szCs w:val="22"/>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14:paraId="2038064F"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2056D579" w14:textId="77777777" w:rsidR="00220C8B" w:rsidRPr="00220C8B" w:rsidRDefault="00220C8B" w:rsidP="00220C8B">
            <w:pPr>
              <w:jc w:val="right"/>
              <w:rPr>
                <w:rFonts w:cs="Calibri"/>
                <w:sz w:val="22"/>
                <w:szCs w:val="22"/>
              </w:rPr>
            </w:pPr>
            <w:r w:rsidRPr="00220C8B">
              <w:rPr>
                <w:rFonts w:cs="Calibri"/>
                <w:sz w:val="22"/>
                <w:szCs w:val="22"/>
              </w:rPr>
              <w:t>5,621</w:t>
            </w:r>
          </w:p>
        </w:tc>
        <w:tc>
          <w:tcPr>
            <w:tcW w:w="1067" w:type="dxa"/>
            <w:tcBorders>
              <w:top w:val="nil"/>
              <w:left w:val="nil"/>
              <w:bottom w:val="single" w:sz="4" w:space="0" w:color="auto"/>
              <w:right w:val="single" w:sz="4" w:space="0" w:color="auto"/>
            </w:tcBorders>
            <w:shd w:val="clear" w:color="auto" w:fill="auto"/>
            <w:noWrap/>
            <w:vAlign w:val="center"/>
            <w:hideMark/>
          </w:tcPr>
          <w:p w14:paraId="3E485574" w14:textId="77777777" w:rsidR="00220C8B" w:rsidRPr="00220C8B" w:rsidRDefault="00220C8B" w:rsidP="00220C8B">
            <w:pPr>
              <w:jc w:val="right"/>
              <w:rPr>
                <w:rFonts w:cs="Calibri"/>
                <w:sz w:val="22"/>
                <w:szCs w:val="22"/>
              </w:rPr>
            </w:pPr>
            <w:r w:rsidRPr="00220C8B">
              <w:rPr>
                <w:rFonts w:cs="Calibri"/>
                <w:sz w:val="22"/>
                <w:szCs w:val="22"/>
              </w:rPr>
              <w:t>2.89</w:t>
            </w:r>
          </w:p>
        </w:tc>
        <w:tc>
          <w:tcPr>
            <w:tcW w:w="1067" w:type="dxa"/>
            <w:tcBorders>
              <w:top w:val="nil"/>
              <w:left w:val="nil"/>
              <w:bottom w:val="single" w:sz="4" w:space="0" w:color="auto"/>
              <w:right w:val="single" w:sz="4" w:space="0" w:color="auto"/>
            </w:tcBorders>
            <w:shd w:val="clear" w:color="auto" w:fill="auto"/>
            <w:noWrap/>
            <w:vAlign w:val="center"/>
            <w:hideMark/>
          </w:tcPr>
          <w:p w14:paraId="78031C74" w14:textId="77777777" w:rsidR="00220C8B" w:rsidRPr="00220C8B" w:rsidRDefault="00220C8B" w:rsidP="00220C8B">
            <w:pPr>
              <w:jc w:val="right"/>
              <w:rPr>
                <w:rFonts w:cs="Calibri"/>
                <w:sz w:val="22"/>
                <w:szCs w:val="22"/>
              </w:rPr>
            </w:pPr>
            <w:r w:rsidRPr="00220C8B">
              <w:rPr>
                <w:rFonts w:cs="Calibri"/>
                <w:sz w:val="22"/>
                <w:szCs w:val="22"/>
              </w:rPr>
              <w:t>0.17</w:t>
            </w:r>
          </w:p>
        </w:tc>
        <w:tc>
          <w:tcPr>
            <w:tcW w:w="792" w:type="dxa"/>
            <w:tcBorders>
              <w:top w:val="nil"/>
              <w:left w:val="nil"/>
              <w:bottom w:val="single" w:sz="4" w:space="0" w:color="auto"/>
              <w:right w:val="single" w:sz="4" w:space="0" w:color="auto"/>
            </w:tcBorders>
            <w:shd w:val="clear" w:color="auto" w:fill="auto"/>
            <w:noWrap/>
            <w:vAlign w:val="center"/>
            <w:hideMark/>
          </w:tcPr>
          <w:p w14:paraId="2A677BC3" w14:textId="77777777" w:rsidR="00220C8B" w:rsidRPr="00220C8B" w:rsidRDefault="00220C8B" w:rsidP="00220C8B">
            <w:pPr>
              <w:jc w:val="right"/>
              <w:rPr>
                <w:rFonts w:cs="Calibri"/>
                <w:sz w:val="22"/>
                <w:szCs w:val="22"/>
              </w:rPr>
            </w:pPr>
            <w:r w:rsidRPr="00220C8B">
              <w:rPr>
                <w:rFonts w:cs="Calibri"/>
                <w:sz w:val="22"/>
                <w:szCs w:val="22"/>
              </w:rPr>
              <w:t>6.0%</w:t>
            </w:r>
          </w:p>
        </w:tc>
        <w:tc>
          <w:tcPr>
            <w:tcW w:w="1063" w:type="dxa"/>
            <w:tcBorders>
              <w:top w:val="nil"/>
              <w:left w:val="nil"/>
              <w:bottom w:val="single" w:sz="4" w:space="0" w:color="auto"/>
              <w:right w:val="single" w:sz="4" w:space="0" w:color="auto"/>
            </w:tcBorders>
            <w:shd w:val="clear" w:color="auto" w:fill="auto"/>
            <w:noWrap/>
            <w:vAlign w:val="center"/>
            <w:hideMark/>
          </w:tcPr>
          <w:p w14:paraId="5F03B7C9" w14:textId="77777777" w:rsidR="00220C8B" w:rsidRPr="00220C8B" w:rsidRDefault="00220C8B" w:rsidP="00220C8B">
            <w:pPr>
              <w:jc w:val="right"/>
              <w:rPr>
                <w:rFonts w:cs="Calibri"/>
                <w:sz w:val="22"/>
                <w:szCs w:val="22"/>
              </w:rPr>
            </w:pPr>
            <w:r w:rsidRPr="00220C8B">
              <w:rPr>
                <w:rFonts w:cs="Calibri"/>
                <w:sz w:val="22"/>
                <w:szCs w:val="22"/>
              </w:rPr>
              <w:t>0.97</w:t>
            </w:r>
          </w:p>
        </w:tc>
        <w:tc>
          <w:tcPr>
            <w:tcW w:w="742" w:type="dxa"/>
            <w:tcBorders>
              <w:top w:val="nil"/>
              <w:left w:val="nil"/>
              <w:bottom w:val="single" w:sz="4" w:space="0" w:color="auto"/>
              <w:right w:val="single" w:sz="4" w:space="0" w:color="auto"/>
            </w:tcBorders>
            <w:shd w:val="clear" w:color="auto" w:fill="auto"/>
            <w:noWrap/>
            <w:vAlign w:val="center"/>
            <w:hideMark/>
          </w:tcPr>
          <w:p w14:paraId="2CAE92F5" w14:textId="77777777" w:rsidR="00220C8B" w:rsidRPr="00220C8B" w:rsidRDefault="00220C8B" w:rsidP="00220C8B">
            <w:pPr>
              <w:jc w:val="right"/>
              <w:rPr>
                <w:rFonts w:cs="Calibri"/>
                <w:sz w:val="22"/>
                <w:szCs w:val="22"/>
              </w:rPr>
            </w:pPr>
            <w:r w:rsidRPr="00220C8B">
              <w:rPr>
                <w:rFonts w:cs="Calibri"/>
                <w:sz w:val="22"/>
                <w:szCs w:val="22"/>
              </w:rPr>
              <w:t>100.0</w:t>
            </w:r>
          </w:p>
        </w:tc>
      </w:tr>
      <w:tr w:rsidR="00220C8B" w:rsidRPr="00220C8B" w14:paraId="5545EB6A" w14:textId="77777777" w:rsidTr="00F51B69">
        <w:trPr>
          <w:trHeight w:val="300"/>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14:paraId="37A0993C"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2723630C" w14:textId="77777777" w:rsidR="00220C8B" w:rsidRPr="00220C8B" w:rsidRDefault="00220C8B" w:rsidP="00220C8B">
            <w:pPr>
              <w:jc w:val="center"/>
              <w:rPr>
                <w:rFonts w:cs="Calibri"/>
                <w:sz w:val="22"/>
                <w:szCs w:val="22"/>
              </w:rPr>
            </w:pPr>
            <w:r w:rsidRPr="00220C8B">
              <w:rPr>
                <w:rFonts w:cs="Calibri"/>
                <w:sz w:val="22"/>
                <w:szCs w:val="22"/>
              </w:rPr>
              <w:t>PGNP</w:t>
            </w:r>
          </w:p>
        </w:tc>
        <w:tc>
          <w:tcPr>
            <w:tcW w:w="1392" w:type="dxa"/>
            <w:vMerge/>
            <w:tcBorders>
              <w:top w:val="nil"/>
              <w:left w:val="single" w:sz="4" w:space="0" w:color="auto"/>
              <w:bottom w:val="single" w:sz="4" w:space="0" w:color="000000"/>
              <w:right w:val="single" w:sz="4" w:space="0" w:color="auto"/>
            </w:tcBorders>
            <w:vAlign w:val="center"/>
            <w:hideMark/>
          </w:tcPr>
          <w:p w14:paraId="139B8B72" w14:textId="77777777" w:rsidR="00220C8B" w:rsidRPr="00220C8B" w:rsidRDefault="00220C8B" w:rsidP="00220C8B">
            <w:pPr>
              <w:rPr>
                <w:rFonts w:cs="Calibri"/>
                <w:sz w:val="22"/>
                <w:szCs w:val="22"/>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14:paraId="51413DD9"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4EEE98D4" w14:textId="77777777" w:rsidR="00220C8B" w:rsidRPr="00220C8B" w:rsidRDefault="00220C8B" w:rsidP="00220C8B">
            <w:pPr>
              <w:jc w:val="right"/>
              <w:rPr>
                <w:rFonts w:cs="Calibri"/>
                <w:sz w:val="22"/>
                <w:szCs w:val="22"/>
              </w:rPr>
            </w:pPr>
            <w:r w:rsidRPr="00220C8B">
              <w:rPr>
                <w:rFonts w:cs="Calibri"/>
                <w:sz w:val="22"/>
                <w:szCs w:val="22"/>
              </w:rPr>
              <w:t>15,195</w:t>
            </w:r>
          </w:p>
        </w:tc>
        <w:tc>
          <w:tcPr>
            <w:tcW w:w="1067" w:type="dxa"/>
            <w:tcBorders>
              <w:top w:val="nil"/>
              <w:left w:val="nil"/>
              <w:bottom w:val="single" w:sz="4" w:space="0" w:color="auto"/>
              <w:right w:val="single" w:sz="4" w:space="0" w:color="auto"/>
            </w:tcBorders>
            <w:shd w:val="clear" w:color="auto" w:fill="auto"/>
            <w:noWrap/>
            <w:vAlign w:val="center"/>
            <w:hideMark/>
          </w:tcPr>
          <w:p w14:paraId="3269E58B" w14:textId="77777777" w:rsidR="00220C8B" w:rsidRPr="00220C8B" w:rsidRDefault="00220C8B" w:rsidP="00220C8B">
            <w:pPr>
              <w:jc w:val="right"/>
              <w:rPr>
                <w:rFonts w:cs="Calibri"/>
                <w:sz w:val="22"/>
                <w:szCs w:val="22"/>
              </w:rPr>
            </w:pPr>
            <w:r w:rsidRPr="00220C8B">
              <w:rPr>
                <w:rFonts w:cs="Calibri"/>
                <w:sz w:val="22"/>
                <w:szCs w:val="22"/>
              </w:rPr>
              <w:t>2.41</w:t>
            </w:r>
          </w:p>
        </w:tc>
        <w:tc>
          <w:tcPr>
            <w:tcW w:w="1067" w:type="dxa"/>
            <w:tcBorders>
              <w:top w:val="nil"/>
              <w:left w:val="nil"/>
              <w:bottom w:val="single" w:sz="4" w:space="0" w:color="auto"/>
              <w:right w:val="single" w:sz="4" w:space="0" w:color="auto"/>
            </w:tcBorders>
            <w:shd w:val="clear" w:color="auto" w:fill="auto"/>
            <w:noWrap/>
            <w:vAlign w:val="center"/>
            <w:hideMark/>
          </w:tcPr>
          <w:p w14:paraId="2397C7E2" w14:textId="77777777" w:rsidR="00220C8B" w:rsidRPr="00220C8B" w:rsidRDefault="00220C8B" w:rsidP="00220C8B">
            <w:pPr>
              <w:jc w:val="right"/>
              <w:rPr>
                <w:rFonts w:cs="Calibri"/>
                <w:sz w:val="22"/>
                <w:szCs w:val="22"/>
              </w:rPr>
            </w:pPr>
            <w:r w:rsidRPr="00220C8B">
              <w:rPr>
                <w:rFonts w:cs="Calibri"/>
                <w:sz w:val="22"/>
                <w:szCs w:val="22"/>
              </w:rPr>
              <w:t>0.20</w:t>
            </w:r>
          </w:p>
        </w:tc>
        <w:tc>
          <w:tcPr>
            <w:tcW w:w="792" w:type="dxa"/>
            <w:tcBorders>
              <w:top w:val="nil"/>
              <w:left w:val="nil"/>
              <w:bottom w:val="single" w:sz="4" w:space="0" w:color="auto"/>
              <w:right w:val="single" w:sz="4" w:space="0" w:color="auto"/>
            </w:tcBorders>
            <w:shd w:val="clear" w:color="auto" w:fill="auto"/>
            <w:noWrap/>
            <w:vAlign w:val="center"/>
            <w:hideMark/>
          </w:tcPr>
          <w:p w14:paraId="10DC0065" w14:textId="77777777" w:rsidR="00220C8B" w:rsidRPr="00220C8B" w:rsidRDefault="00220C8B" w:rsidP="00220C8B">
            <w:pPr>
              <w:jc w:val="right"/>
              <w:rPr>
                <w:rFonts w:cs="Calibri"/>
                <w:sz w:val="22"/>
                <w:szCs w:val="22"/>
              </w:rPr>
            </w:pPr>
            <w:r w:rsidRPr="00220C8B">
              <w:rPr>
                <w:rFonts w:cs="Calibri"/>
                <w:sz w:val="22"/>
                <w:szCs w:val="22"/>
              </w:rPr>
              <w:t>8.2%</w:t>
            </w:r>
          </w:p>
        </w:tc>
        <w:tc>
          <w:tcPr>
            <w:tcW w:w="1063" w:type="dxa"/>
            <w:tcBorders>
              <w:top w:val="nil"/>
              <w:left w:val="nil"/>
              <w:bottom w:val="single" w:sz="4" w:space="0" w:color="auto"/>
              <w:right w:val="single" w:sz="4" w:space="0" w:color="auto"/>
            </w:tcBorders>
            <w:shd w:val="clear" w:color="auto" w:fill="auto"/>
            <w:noWrap/>
            <w:vAlign w:val="center"/>
            <w:hideMark/>
          </w:tcPr>
          <w:p w14:paraId="6307ED9E" w14:textId="77777777" w:rsidR="00220C8B" w:rsidRPr="00220C8B" w:rsidRDefault="00220C8B" w:rsidP="00220C8B">
            <w:pPr>
              <w:jc w:val="right"/>
              <w:rPr>
                <w:rFonts w:cs="Calibri"/>
                <w:sz w:val="22"/>
                <w:szCs w:val="22"/>
              </w:rPr>
            </w:pPr>
            <w:r w:rsidRPr="00220C8B">
              <w:rPr>
                <w:rFonts w:cs="Calibri"/>
                <w:sz w:val="22"/>
                <w:szCs w:val="22"/>
              </w:rPr>
              <w:t>3.01</w:t>
            </w:r>
          </w:p>
        </w:tc>
        <w:tc>
          <w:tcPr>
            <w:tcW w:w="742" w:type="dxa"/>
            <w:tcBorders>
              <w:top w:val="nil"/>
              <w:left w:val="nil"/>
              <w:bottom w:val="single" w:sz="4" w:space="0" w:color="auto"/>
              <w:right w:val="single" w:sz="4" w:space="0" w:color="auto"/>
            </w:tcBorders>
            <w:shd w:val="clear" w:color="auto" w:fill="auto"/>
            <w:noWrap/>
            <w:vAlign w:val="center"/>
            <w:hideMark/>
          </w:tcPr>
          <w:p w14:paraId="4233B8D0" w14:textId="77777777" w:rsidR="00220C8B" w:rsidRPr="00220C8B" w:rsidRDefault="00220C8B" w:rsidP="00220C8B">
            <w:pPr>
              <w:jc w:val="right"/>
              <w:rPr>
                <w:rFonts w:cs="Calibri"/>
                <w:sz w:val="22"/>
                <w:szCs w:val="22"/>
              </w:rPr>
            </w:pPr>
            <w:r w:rsidRPr="00220C8B">
              <w:rPr>
                <w:rFonts w:cs="Calibri"/>
                <w:sz w:val="22"/>
                <w:szCs w:val="22"/>
              </w:rPr>
              <w:t>97.0</w:t>
            </w:r>
          </w:p>
        </w:tc>
      </w:tr>
      <w:tr w:rsidR="00220C8B" w:rsidRPr="00220C8B" w14:paraId="5230027F" w14:textId="77777777" w:rsidTr="00F51B69">
        <w:trPr>
          <w:trHeight w:val="300"/>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14:paraId="766511E7"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1E6CC74D" w14:textId="77777777" w:rsidR="00220C8B" w:rsidRPr="00220C8B" w:rsidRDefault="00220C8B" w:rsidP="00220C8B">
            <w:pPr>
              <w:jc w:val="center"/>
              <w:rPr>
                <w:rFonts w:cs="Calibri"/>
                <w:sz w:val="22"/>
                <w:szCs w:val="22"/>
              </w:rPr>
            </w:pPr>
            <w:r w:rsidRPr="00220C8B">
              <w:rPr>
                <w:rFonts w:cs="Calibri"/>
                <w:sz w:val="22"/>
                <w:szCs w:val="22"/>
              </w:rPr>
              <w:t>PGSI</w:t>
            </w:r>
          </w:p>
        </w:tc>
        <w:tc>
          <w:tcPr>
            <w:tcW w:w="1392" w:type="dxa"/>
            <w:vMerge/>
            <w:tcBorders>
              <w:top w:val="nil"/>
              <w:left w:val="single" w:sz="4" w:space="0" w:color="auto"/>
              <w:bottom w:val="single" w:sz="4" w:space="0" w:color="000000"/>
              <w:right w:val="single" w:sz="4" w:space="0" w:color="auto"/>
            </w:tcBorders>
            <w:vAlign w:val="center"/>
            <w:hideMark/>
          </w:tcPr>
          <w:p w14:paraId="4E269C87" w14:textId="77777777" w:rsidR="00220C8B" w:rsidRPr="00220C8B" w:rsidRDefault="00220C8B" w:rsidP="00220C8B">
            <w:pPr>
              <w:rPr>
                <w:rFonts w:cs="Calibri"/>
                <w:sz w:val="22"/>
                <w:szCs w:val="22"/>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14:paraId="3A4FD2CA"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235670DE" w14:textId="77777777" w:rsidR="00220C8B" w:rsidRPr="00220C8B" w:rsidRDefault="00220C8B" w:rsidP="00220C8B">
            <w:pPr>
              <w:jc w:val="right"/>
              <w:rPr>
                <w:rFonts w:cs="Calibri"/>
                <w:sz w:val="22"/>
                <w:szCs w:val="22"/>
              </w:rPr>
            </w:pPr>
            <w:r w:rsidRPr="00220C8B">
              <w:rPr>
                <w:rFonts w:cs="Calibri"/>
                <w:sz w:val="22"/>
                <w:szCs w:val="22"/>
              </w:rPr>
              <w:t>16,716</w:t>
            </w:r>
          </w:p>
        </w:tc>
        <w:tc>
          <w:tcPr>
            <w:tcW w:w="1067" w:type="dxa"/>
            <w:tcBorders>
              <w:top w:val="nil"/>
              <w:left w:val="nil"/>
              <w:bottom w:val="single" w:sz="4" w:space="0" w:color="auto"/>
              <w:right w:val="single" w:sz="4" w:space="0" w:color="auto"/>
            </w:tcBorders>
            <w:shd w:val="clear" w:color="auto" w:fill="auto"/>
            <w:noWrap/>
            <w:vAlign w:val="center"/>
            <w:hideMark/>
          </w:tcPr>
          <w:p w14:paraId="4634B430" w14:textId="77777777" w:rsidR="00220C8B" w:rsidRPr="00220C8B" w:rsidRDefault="00220C8B" w:rsidP="00220C8B">
            <w:pPr>
              <w:jc w:val="right"/>
              <w:rPr>
                <w:rFonts w:cs="Calibri"/>
                <w:sz w:val="22"/>
                <w:szCs w:val="22"/>
              </w:rPr>
            </w:pPr>
            <w:r w:rsidRPr="00220C8B">
              <w:rPr>
                <w:rFonts w:cs="Calibri"/>
                <w:sz w:val="22"/>
                <w:szCs w:val="22"/>
              </w:rPr>
              <w:t>2.64</w:t>
            </w:r>
          </w:p>
        </w:tc>
        <w:tc>
          <w:tcPr>
            <w:tcW w:w="1067" w:type="dxa"/>
            <w:tcBorders>
              <w:top w:val="nil"/>
              <w:left w:val="nil"/>
              <w:bottom w:val="single" w:sz="4" w:space="0" w:color="auto"/>
              <w:right w:val="single" w:sz="4" w:space="0" w:color="auto"/>
            </w:tcBorders>
            <w:shd w:val="clear" w:color="auto" w:fill="auto"/>
            <w:noWrap/>
            <w:vAlign w:val="center"/>
            <w:hideMark/>
          </w:tcPr>
          <w:p w14:paraId="6EF17079" w14:textId="77777777" w:rsidR="00220C8B" w:rsidRPr="00220C8B" w:rsidRDefault="00220C8B" w:rsidP="00220C8B">
            <w:pPr>
              <w:jc w:val="right"/>
              <w:rPr>
                <w:rFonts w:cs="Calibri"/>
                <w:sz w:val="22"/>
                <w:szCs w:val="22"/>
              </w:rPr>
            </w:pPr>
            <w:r w:rsidRPr="00220C8B">
              <w:rPr>
                <w:rFonts w:cs="Calibri"/>
                <w:sz w:val="22"/>
                <w:szCs w:val="22"/>
              </w:rPr>
              <w:t>0.34</w:t>
            </w:r>
          </w:p>
        </w:tc>
        <w:tc>
          <w:tcPr>
            <w:tcW w:w="792" w:type="dxa"/>
            <w:tcBorders>
              <w:top w:val="nil"/>
              <w:left w:val="nil"/>
              <w:bottom w:val="single" w:sz="4" w:space="0" w:color="auto"/>
              <w:right w:val="single" w:sz="4" w:space="0" w:color="auto"/>
            </w:tcBorders>
            <w:shd w:val="clear" w:color="auto" w:fill="auto"/>
            <w:noWrap/>
            <w:vAlign w:val="center"/>
            <w:hideMark/>
          </w:tcPr>
          <w:p w14:paraId="3F74C665" w14:textId="77777777" w:rsidR="00220C8B" w:rsidRPr="00220C8B" w:rsidRDefault="00220C8B" w:rsidP="00220C8B">
            <w:pPr>
              <w:jc w:val="right"/>
              <w:rPr>
                <w:rFonts w:cs="Calibri"/>
                <w:sz w:val="22"/>
                <w:szCs w:val="22"/>
              </w:rPr>
            </w:pPr>
            <w:r w:rsidRPr="00220C8B">
              <w:rPr>
                <w:rFonts w:cs="Calibri"/>
                <w:sz w:val="22"/>
                <w:szCs w:val="22"/>
              </w:rPr>
              <w:t>13.0%</w:t>
            </w:r>
          </w:p>
        </w:tc>
        <w:tc>
          <w:tcPr>
            <w:tcW w:w="1063" w:type="dxa"/>
            <w:tcBorders>
              <w:top w:val="nil"/>
              <w:left w:val="nil"/>
              <w:bottom w:val="single" w:sz="4" w:space="0" w:color="auto"/>
              <w:right w:val="single" w:sz="4" w:space="0" w:color="auto"/>
            </w:tcBorders>
            <w:shd w:val="clear" w:color="auto" w:fill="auto"/>
            <w:noWrap/>
            <w:vAlign w:val="center"/>
            <w:hideMark/>
          </w:tcPr>
          <w:p w14:paraId="7DEBF504" w14:textId="77777777" w:rsidR="00220C8B" w:rsidRPr="00220C8B" w:rsidRDefault="00220C8B" w:rsidP="00220C8B">
            <w:pPr>
              <w:jc w:val="right"/>
              <w:rPr>
                <w:rFonts w:cs="Calibri"/>
                <w:sz w:val="22"/>
                <w:szCs w:val="22"/>
              </w:rPr>
            </w:pPr>
            <w:r w:rsidRPr="00220C8B">
              <w:rPr>
                <w:rFonts w:cs="Calibri"/>
                <w:sz w:val="22"/>
                <w:szCs w:val="22"/>
              </w:rPr>
              <w:t>5.76</w:t>
            </w:r>
          </w:p>
        </w:tc>
        <w:tc>
          <w:tcPr>
            <w:tcW w:w="742" w:type="dxa"/>
            <w:tcBorders>
              <w:top w:val="nil"/>
              <w:left w:val="nil"/>
              <w:bottom w:val="single" w:sz="4" w:space="0" w:color="auto"/>
              <w:right w:val="single" w:sz="4" w:space="0" w:color="auto"/>
            </w:tcBorders>
            <w:shd w:val="clear" w:color="auto" w:fill="auto"/>
            <w:noWrap/>
            <w:vAlign w:val="center"/>
            <w:hideMark/>
          </w:tcPr>
          <w:p w14:paraId="6023A2F9" w14:textId="77777777" w:rsidR="00220C8B" w:rsidRPr="00220C8B" w:rsidRDefault="00220C8B" w:rsidP="00220C8B">
            <w:pPr>
              <w:jc w:val="right"/>
              <w:rPr>
                <w:rFonts w:cs="Calibri"/>
                <w:sz w:val="22"/>
                <w:szCs w:val="22"/>
              </w:rPr>
            </w:pPr>
            <w:r w:rsidRPr="00220C8B">
              <w:rPr>
                <w:rFonts w:cs="Calibri"/>
                <w:sz w:val="22"/>
                <w:szCs w:val="22"/>
              </w:rPr>
              <w:t>97.7</w:t>
            </w:r>
          </w:p>
        </w:tc>
      </w:tr>
      <w:tr w:rsidR="00220C8B" w:rsidRPr="00220C8B" w14:paraId="008AB6BA" w14:textId="77777777" w:rsidTr="00F51B69">
        <w:trPr>
          <w:trHeight w:val="300"/>
          <w:jc w:val="center"/>
        </w:trPr>
        <w:tc>
          <w:tcPr>
            <w:tcW w:w="8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DCAC63" w14:textId="77777777" w:rsidR="00220C8B" w:rsidRPr="00220C8B" w:rsidRDefault="00220C8B" w:rsidP="00220C8B">
            <w:pPr>
              <w:jc w:val="center"/>
              <w:rPr>
                <w:rFonts w:cs="Calibri"/>
                <w:sz w:val="22"/>
                <w:szCs w:val="22"/>
              </w:rPr>
            </w:pPr>
            <w:r w:rsidRPr="00220C8B">
              <w:rPr>
                <w:rFonts w:cs="Calibri"/>
                <w:sz w:val="22"/>
                <w:szCs w:val="22"/>
              </w:rPr>
              <w:t>24-Jul</w:t>
            </w:r>
          </w:p>
        </w:tc>
        <w:tc>
          <w:tcPr>
            <w:tcW w:w="728" w:type="dxa"/>
            <w:tcBorders>
              <w:top w:val="nil"/>
              <w:left w:val="nil"/>
              <w:bottom w:val="single" w:sz="4" w:space="0" w:color="auto"/>
              <w:right w:val="single" w:sz="4" w:space="0" w:color="auto"/>
            </w:tcBorders>
            <w:shd w:val="clear" w:color="auto" w:fill="auto"/>
            <w:noWrap/>
            <w:vAlign w:val="center"/>
            <w:hideMark/>
          </w:tcPr>
          <w:p w14:paraId="2ACE1B2C" w14:textId="77777777" w:rsidR="00220C8B" w:rsidRPr="00220C8B" w:rsidRDefault="00220C8B" w:rsidP="00220C8B">
            <w:pPr>
              <w:jc w:val="center"/>
              <w:rPr>
                <w:rFonts w:cs="Calibri"/>
                <w:sz w:val="22"/>
                <w:szCs w:val="22"/>
              </w:rPr>
            </w:pPr>
            <w:r w:rsidRPr="00220C8B">
              <w:rPr>
                <w:rFonts w:cs="Calibri"/>
                <w:sz w:val="22"/>
                <w:szCs w:val="22"/>
              </w:rPr>
              <w:t>PGF1</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F52C38" w14:textId="77777777" w:rsidR="00220C8B" w:rsidRPr="00220C8B" w:rsidRDefault="00220C8B" w:rsidP="00220C8B">
            <w:pPr>
              <w:jc w:val="center"/>
              <w:rPr>
                <w:rFonts w:cs="Calibri"/>
                <w:sz w:val="22"/>
                <w:szCs w:val="22"/>
              </w:rPr>
            </w:pPr>
            <w:r w:rsidRPr="00220C8B">
              <w:rPr>
                <w:rFonts w:cs="Calibri"/>
                <w:sz w:val="22"/>
                <w:szCs w:val="22"/>
              </w:rPr>
              <w:t>4-8 p.m.</w:t>
            </w:r>
          </w:p>
        </w:tc>
        <w:tc>
          <w:tcPr>
            <w:tcW w:w="12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AE33E4" w14:textId="77777777" w:rsidR="00220C8B" w:rsidRPr="00220C8B" w:rsidRDefault="00220C8B" w:rsidP="00220C8B">
            <w:pPr>
              <w:jc w:val="center"/>
              <w:rPr>
                <w:rFonts w:cs="Calibri"/>
                <w:sz w:val="22"/>
                <w:szCs w:val="22"/>
              </w:rPr>
            </w:pPr>
            <w:r w:rsidRPr="00220C8B">
              <w:rPr>
                <w:rFonts w:cs="Calibri"/>
                <w:sz w:val="22"/>
                <w:szCs w:val="22"/>
              </w:rPr>
              <w:t>No</w:t>
            </w:r>
          </w:p>
        </w:tc>
        <w:tc>
          <w:tcPr>
            <w:tcW w:w="851" w:type="dxa"/>
            <w:tcBorders>
              <w:top w:val="nil"/>
              <w:left w:val="nil"/>
              <w:bottom w:val="single" w:sz="4" w:space="0" w:color="auto"/>
              <w:right w:val="single" w:sz="4" w:space="0" w:color="auto"/>
            </w:tcBorders>
            <w:shd w:val="clear" w:color="auto" w:fill="auto"/>
            <w:noWrap/>
            <w:vAlign w:val="center"/>
            <w:hideMark/>
          </w:tcPr>
          <w:p w14:paraId="2509799D" w14:textId="77777777" w:rsidR="00220C8B" w:rsidRPr="00220C8B" w:rsidRDefault="00220C8B" w:rsidP="00220C8B">
            <w:pPr>
              <w:jc w:val="right"/>
              <w:rPr>
                <w:rFonts w:cs="Calibri"/>
                <w:sz w:val="22"/>
                <w:szCs w:val="22"/>
              </w:rPr>
            </w:pPr>
            <w:r w:rsidRPr="00220C8B">
              <w:rPr>
                <w:rFonts w:cs="Calibri"/>
                <w:sz w:val="22"/>
                <w:szCs w:val="22"/>
              </w:rPr>
              <w:t>17,442</w:t>
            </w:r>
          </w:p>
        </w:tc>
        <w:tc>
          <w:tcPr>
            <w:tcW w:w="1067" w:type="dxa"/>
            <w:tcBorders>
              <w:top w:val="nil"/>
              <w:left w:val="nil"/>
              <w:bottom w:val="single" w:sz="4" w:space="0" w:color="auto"/>
              <w:right w:val="single" w:sz="4" w:space="0" w:color="auto"/>
            </w:tcBorders>
            <w:shd w:val="clear" w:color="auto" w:fill="auto"/>
            <w:noWrap/>
            <w:vAlign w:val="center"/>
            <w:hideMark/>
          </w:tcPr>
          <w:p w14:paraId="778B2FF5" w14:textId="77777777" w:rsidR="00220C8B" w:rsidRPr="00220C8B" w:rsidRDefault="00220C8B" w:rsidP="00220C8B">
            <w:pPr>
              <w:jc w:val="right"/>
              <w:rPr>
                <w:rFonts w:cs="Calibri"/>
                <w:sz w:val="22"/>
                <w:szCs w:val="22"/>
              </w:rPr>
            </w:pPr>
            <w:r w:rsidRPr="00220C8B">
              <w:rPr>
                <w:rFonts w:cs="Calibri"/>
                <w:sz w:val="22"/>
                <w:szCs w:val="22"/>
              </w:rPr>
              <w:t>2.90</w:t>
            </w:r>
          </w:p>
        </w:tc>
        <w:tc>
          <w:tcPr>
            <w:tcW w:w="1067" w:type="dxa"/>
            <w:tcBorders>
              <w:top w:val="nil"/>
              <w:left w:val="nil"/>
              <w:bottom w:val="single" w:sz="4" w:space="0" w:color="auto"/>
              <w:right w:val="single" w:sz="4" w:space="0" w:color="auto"/>
            </w:tcBorders>
            <w:shd w:val="clear" w:color="auto" w:fill="auto"/>
            <w:noWrap/>
            <w:vAlign w:val="center"/>
            <w:hideMark/>
          </w:tcPr>
          <w:p w14:paraId="31BBC57D" w14:textId="77777777" w:rsidR="00220C8B" w:rsidRPr="00220C8B" w:rsidRDefault="00220C8B" w:rsidP="00220C8B">
            <w:pPr>
              <w:jc w:val="right"/>
              <w:rPr>
                <w:rFonts w:cs="Calibri"/>
                <w:sz w:val="22"/>
                <w:szCs w:val="22"/>
              </w:rPr>
            </w:pPr>
            <w:r w:rsidRPr="00220C8B">
              <w:rPr>
                <w:rFonts w:cs="Calibri"/>
                <w:sz w:val="22"/>
                <w:szCs w:val="22"/>
              </w:rPr>
              <w:t>0.37</w:t>
            </w:r>
          </w:p>
        </w:tc>
        <w:tc>
          <w:tcPr>
            <w:tcW w:w="792" w:type="dxa"/>
            <w:tcBorders>
              <w:top w:val="nil"/>
              <w:left w:val="nil"/>
              <w:bottom w:val="single" w:sz="4" w:space="0" w:color="auto"/>
              <w:right w:val="single" w:sz="4" w:space="0" w:color="auto"/>
            </w:tcBorders>
            <w:shd w:val="clear" w:color="auto" w:fill="auto"/>
            <w:noWrap/>
            <w:vAlign w:val="center"/>
            <w:hideMark/>
          </w:tcPr>
          <w:p w14:paraId="0B940D14" w14:textId="77777777" w:rsidR="00220C8B" w:rsidRPr="00220C8B" w:rsidRDefault="00220C8B" w:rsidP="00220C8B">
            <w:pPr>
              <w:jc w:val="right"/>
              <w:rPr>
                <w:rFonts w:cs="Calibri"/>
                <w:sz w:val="22"/>
                <w:szCs w:val="22"/>
              </w:rPr>
            </w:pPr>
            <w:r w:rsidRPr="00220C8B">
              <w:rPr>
                <w:rFonts w:cs="Calibri"/>
                <w:sz w:val="22"/>
                <w:szCs w:val="22"/>
              </w:rPr>
              <w:t>12.8%</w:t>
            </w:r>
          </w:p>
        </w:tc>
        <w:tc>
          <w:tcPr>
            <w:tcW w:w="1063" w:type="dxa"/>
            <w:tcBorders>
              <w:top w:val="nil"/>
              <w:left w:val="nil"/>
              <w:bottom w:val="single" w:sz="4" w:space="0" w:color="auto"/>
              <w:right w:val="single" w:sz="4" w:space="0" w:color="auto"/>
            </w:tcBorders>
            <w:shd w:val="clear" w:color="auto" w:fill="auto"/>
            <w:noWrap/>
            <w:vAlign w:val="center"/>
            <w:hideMark/>
          </w:tcPr>
          <w:p w14:paraId="49C66260" w14:textId="77777777" w:rsidR="00220C8B" w:rsidRPr="00220C8B" w:rsidRDefault="00220C8B" w:rsidP="00220C8B">
            <w:pPr>
              <w:jc w:val="right"/>
              <w:rPr>
                <w:rFonts w:cs="Calibri"/>
                <w:sz w:val="22"/>
                <w:szCs w:val="22"/>
              </w:rPr>
            </w:pPr>
            <w:r w:rsidRPr="00220C8B">
              <w:rPr>
                <w:rFonts w:cs="Calibri"/>
                <w:sz w:val="22"/>
                <w:szCs w:val="22"/>
              </w:rPr>
              <w:t>6.50</w:t>
            </w:r>
          </w:p>
        </w:tc>
        <w:tc>
          <w:tcPr>
            <w:tcW w:w="742" w:type="dxa"/>
            <w:tcBorders>
              <w:top w:val="nil"/>
              <w:left w:val="nil"/>
              <w:bottom w:val="single" w:sz="4" w:space="0" w:color="auto"/>
              <w:right w:val="single" w:sz="4" w:space="0" w:color="auto"/>
            </w:tcBorders>
            <w:shd w:val="clear" w:color="auto" w:fill="auto"/>
            <w:noWrap/>
            <w:vAlign w:val="center"/>
            <w:hideMark/>
          </w:tcPr>
          <w:p w14:paraId="5AB8D9DC" w14:textId="77777777" w:rsidR="00220C8B" w:rsidRPr="00220C8B" w:rsidRDefault="00220C8B" w:rsidP="00220C8B">
            <w:pPr>
              <w:jc w:val="right"/>
              <w:rPr>
                <w:rFonts w:cs="Calibri"/>
                <w:sz w:val="22"/>
                <w:szCs w:val="22"/>
              </w:rPr>
            </w:pPr>
            <w:r w:rsidRPr="00220C8B">
              <w:rPr>
                <w:rFonts w:cs="Calibri"/>
                <w:sz w:val="22"/>
                <w:szCs w:val="22"/>
              </w:rPr>
              <w:t>103.3</w:t>
            </w:r>
          </w:p>
        </w:tc>
      </w:tr>
      <w:tr w:rsidR="00220C8B" w:rsidRPr="00220C8B" w14:paraId="79A0A437"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64909CF7"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1AE28DB2" w14:textId="77777777" w:rsidR="00220C8B" w:rsidRPr="00220C8B" w:rsidRDefault="00220C8B" w:rsidP="00220C8B">
            <w:pPr>
              <w:jc w:val="center"/>
              <w:rPr>
                <w:rFonts w:cs="Calibri"/>
                <w:sz w:val="22"/>
                <w:szCs w:val="22"/>
              </w:rPr>
            </w:pPr>
            <w:r w:rsidRPr="00220C8B">
              <w:rPr>
                <w:rFonts w:cs="Calibri"/>
                <w:sz w:val="22"/>
                <w:szCs w:val="22"/>
              </w:rPr>
              <w:t>PGKN</w:t>
            </w:r>
          </w:p>
        </w:tc>
        <w:tc>
          <w:tcPr>
            <w:tcW w:w="1392" w:type="dxa"/>
            <w:vMerge/>
            <w:tcBorders>
              <w:top w:val="nil"/>
              <w:left w:val="single" w:sz="4" w:space="0" w:color="auto"/>
              <w:bottom w:val="single" w:sz="4" w:space="0" w:color="000000"/>
              <w:right w:val="single" w:sz="4" w:space="0" w:color="auto"/>
            </w:tcBorders>
            <w:vAlign w:val="center"/>
            <w:hideMark/>
          </w:tcPr>
          <w:p w14:paraId="00629C11"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6209E6B4"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30E47FE1" w14:textId="77777777" w:rsidR="00220C8B" w:rsidRPr="00220C8B" w:rsidRDefault="00220C8B" w:rsidP="00220C8B">
            <w:pPr>
              <w:jc w:val="right"/>
              <w:rPr>
                <w:rFonts w:cs="Calibri"/>
                <w:sz w:val="22"/>
                <w:szCs w:val="22"/>
              </w:rPr>
            </w:pPr>
            <w:r w:rsidRPr="00220C8B">
              <w:rPr>
                <w:rFonts w:cs="Calibri"/>
                <w:sz w:val="22"/>
                <w:szCs w:val="22"/>
              </w:rPr>
              <w:t>5,618</w:t>
            </w:r>
          </w:p>
        </w:tc>
        <w:tc>
          <w:tcPr>
            <w:tcW w:w="1067" w:type="dxa"/>
            <w:tcBorders>
              <w:top w:val="nil"/>
              <w:left w:val="nil"/>
              <w:bottom w:val="single" w:sz="4" w:space="0" w:color="auto"/>
              <w:right w:val="single" w:sz="4" w:space="0" w:color="auto"/>
            </w:tcBorders>
            <w:shd w:val="clear" w:color="auto" w:fill="auto"/>
            <w:noWrap/>
            <w:vAlign w:val="center"/>
            <w:hideMark/>
          </w:tcPr>
          <w:p w14:paraId="490A9F99" w14:textId="77777777" w:rsidR="00220C8B" w:rsidRPr="00220C8B" w:rsidRDefault="00220C8B" w:rsidP="00220C8B">
            <w:pPr>
              <w:jc w:val="right"/>
              <w:rPr>
                <w:rFonts w:cs="Calibri"/>
                <w:sz w:val="22"/>
                <w:szCs w:val="22"/>
              </w:rPr>
            </w:pPr>
            <w:r w:rsidRPr="00220C8B">
              <w:rPr>
                <w:rFonts w:cs="Calibri"/>
                <w:sz w:val="22"/>
                <w:szCs w:val="22"/>
              </w:rPr>
              <w:t>2.96</w:t>
            </w:r>
          </w:p>
        </w:tc>
        <w:tc>
          <w:tcPr>
            <w:tcW w:w="1067" w:type="dxa"/>
            <w:tcBorders>
              <w:top w:val="nil"/>
              <w:left w:val="nil"/>
              <w:bottom w:val="single" w:sz="4" w:space="0" w:color="auto"/>
              <w:right w:val="single" w:sz="4" w:space="0" w:color="auto"/>
            </w:tcBorders>
            <w:shd w:val="clear" w:color="auto" w:fill="auto"/>
            <w:noWrap/>
            <w:vAlign w:val="center"/>
            <w:hideMark/>
          </w:tcPr>
          <w:p w14:paraId="379987A6" w14:textId="77777777" w:rsidR="00220C8B" w:rsidRPr="00220C8B" w:rsidRDefault="00220C8B" w:rsidP="00220C8B">
            <w:pPr>
              <w:jc w:val="right"/>
              <w:rPr>
                <w:rFonts w:cs="Calibri"/>
                <w:sz w:val="22"/>
                <w:szCs w:val="22"/>
              </w:rPr>
            </w:pPr>
            <w:r w:rsidRPr="00220C8B">
              <w:rPr>
                <w:rFonts w:cs="Calibri"/>
                <w:sz w:val="22"/>
                <w:szCs w:val="22"/>
              </w:rPr>
              <w:t>0.04</w:t>
            </w:r>
          </w:p>
        </w:tc>
        <w:tc>
          <w:tcPr>
            <w:tcW w:w="792" w:type="dxa"/>
            <w:tcBorders>
              <w:top w:val="nil"/>
              <w:left w:val="nil"/>
              <w:bottom w:val="single" w:sz="4" w:space="0" w:color="auto"/>
              <w:right w:val="single" w:sz="4" w:space="0" w:color="auto"/>
            </w:tcBorders>
            <w:shd w:val="clear" w:color="auto" w:fill="auto"/>
            <w:noWrap/>
            <w:vAlign w:val="center"/>
            <w:hideMark/>
          </w:tcPr>
          <w:p w14:paraId="17F5C7B2" w14:textId="77777777" w:rsidR="00220C8B" w:rsidRPr="00220C8B" w:rsidRDefault="00220C8B" w:rsidP="00220C8B">
            <w:pPr>
              <w:jc w:val="right"/>
              <w:rPr>
                <w:rFonts w:cs="Calibri"/>
                <w:sz w:val="22"/>
                <w:szCs w:val="22"/>
              </w:rPr>
            </w:pPr>
            <w:r w:rsidRPr="00220C8B">
              <w:rPr>
                <w:rFonts w:cs="Calibri"/>
                <w:sz w:val="22"/>
                <w:szCs w:val="22"/>
              </w:rPr>
              <w:t>1.3%</w:t>
            </w:r>
          </w:p>
        </w:tc>
        <w:tc>
          <w:tcPr>
            <w:tcW w:w="1063" w:type="dxa"/>
            <w:tcBorders>
              <w:top w:val="nil"/>
              <w:left w:val="nil"/>
              <w:bottom w:val="single" w:sz="4" w:space="0" w:color="auto"/>
              <w:right w:val="single" w:sz="4" w:space="0" w:color="auto"/>
            </w:tcBorders>
            <w:shd w:val="clear" w:color="auto" w:fill="auto"/>
            <w:noWrap/>
            <w:vAlign w:val="center"/>
            <w:hideMark/>
          </w:tcPr>
          <w:p w14:paraId="4AFAA9B7" w14:textId="77777777" w:rsidR="00220C8B" w:rsidRPr="00220C8B" w:rsidRDefault="00220C8B" w:rsidP="00220C8B">
            <w:pPr>
              <w:jc w:val="right"/>
              <w:rPr>
                <w:rFonts w:cs="Calibri"/>
                <w:sz w:val="22"/>
                <w:szCs w:val="22"/>
              </w:rPr>
            </w:pPr>
            <w:r w:rsidRPr="00220C8B">
              <w:rPr>
                <w:rFonts w:cs="Calibri"/>
                <w:sz w:val="22"/>
                <w:szCs w:val="22"/>
              </w:rPr>
              <w:t>0.22</w:t>
            </w:r>
          </w:p>
        </w:tc>
        <w:tc>
          <w:tcPr>
            <w:tcW w:w="742" w:type="dxa"/>
            <w:tcBorders>
              <w:top w:val="nil"/>
              <w:left w:val="nil"/>
              <w:bottom w:val="single" w:sz="4" w:space="0" w:color="auto"/>
              <w:right w:val="single" w:sz="4" w:space="0" w:color="auto"/>
            </w:tcBorders>
            <w:shd w:val="clear" w:color="auto" w:fill="auto"/>
            <w:noWrap/>
            <w:vAlign w:val="center"/>
            <w:hideMark/>
          </w:tcPr>
          <w:p w14:paraId="0D4DB836" w14:textId="77777777" w:rsidR="00220C8B" w:rsidRPr="00220C8B" w:rsidRDefault="00220C8B" w:rsidP="00220C8B">
            <w:pPr>
              <w:jc w:val="right"/>
              <w:rPr>
                <w:rFonts w:cs="Calibri"/>
                <w:sz w:val="22"/>
                <w:szCs w:val="22"/>
              </w:rPr>
            </w:pPr>
            <w:r w:rsidRPr="00220C8B">
              <w:rPr>
                <w:rFonts w:cs="Calibri"/>
                <w:sz w:val="22"/>
                <w:szCs w:val="22"/>
              </w:rPr>
              <w:t>102.8</w:t>
            </w:r>
          </w:p>
        </w:tc>
      </w:tr>
      <w:tr w:rsidR="00220C8B" w:rsidRPr="00220C8B" w14:paraId="7C3A9E13"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22C8BF74"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0A658728" w14:textId="77777777" w:rsidR="00220C8B" w:rsidRPr="00220C8B" w:rsidRDefault="00220C8B" w:rsidP="00220C8B">
            <w:pPr>
              <w:jc w:val="center"/>
              <w:rPr>
                <w:rFonts w:cs="Calibri"/>
                <w:sz w:val="22"/>
                <w:szCs w:val="22"/>
              </w:rPr>
            </w:pPr>
            <w:r w:rsidRPr="00220C8B">
              <w:rPr>
                <w:rFonts w:cs="Calibri"/>
                <w:sz w:val="22"/>
                <w:szCs w:val="22"/>
              </w:rPr>
              <w:t>PGNC</w:t>
            </w:r>
          </w:p>
        </w:tc>
        <w:tc>
          <w:tcPr>
            <w:tcW w:w="1392" w:type="dxa"/>
            <w:tcBorders>
              <w:top w:val="nil"/>
              <w:left w:val="nil"/>
              <w:bottom w:val="single" w:sz="4" w:space="0" w:color="auto"/>
              <w:right w:val="single" w:sz="4" w:space="0" w:color="auto"/>
            </w:tcBorders>
            <w:shd w:val="clear" w:color="auto" w:fill="auto"/>
            <w:noWrap/>
            <w:vAlign w:val="center"/>
            <w:hideMark/>
          </w:tcPr>
          <w:p w14:paraId="73FEBDFA" w14:textId="77777777" w:rsidR="00220C8B" w:rsidRPr="00220C8B" w:rsidRDefault="00220C8B" w:rsidP="00220C8B">
            <w:pPr>
              <w:jc w:val="center"/>
              <w:rPr>
                <w:rFonts w:cs="Calibri"/>
                <w:sz w:val="22"/>
                <w:szCs w:val="22"/>
              </w:rPr>
            </w:pPr>
            <w:r w:rsidRPr="00220C8B">
              <w:rPr>
                <w:rFonts w:cs="Calibri"/>
                <w:sz w:val="22"/>
                <w:szCs w:val="22"/>
              </w:rPr>
              <w:t>3-7 p.m.</w:t>
            </w:r>
          </w:p>
        </w:tc>
        <w:tc>
          <w:tcPr>
            <w:tcW w:w="1238" w:type="dxa"/>
            <w:vMerge/>
            <w:tcBorders>
              <w:top w:val="nil"/>
              <w:left w:val="single" w:sz="4" w:space="0" w:color="auto"/>
              <w:bottom w:val="single" w:sz="4" w:space="0" w:color="000000"/>
              <w:right w:val="single" w:sz="4" w:space="0" w:color="auto"/>
            </w:tcBorders>
            <w:vAlign w:val="center"/>
            <w:hideMark/>
          </w:tcPr>
          <w:p w14:paraId="0ECB25B8"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2272CE1A" w14:textId="77777777" w:rsidR="00220C8B" w:rsidRPr="00220C8B" w:rsidRDefault="00220C8B" w:rsidP="00220C8B">
            <w:pPr>
              <w:jc w:val="right"/>
              <w:rPr>
                <w:rFonts w:cs="Calibri"/>
                <w:sz w:val="22"/>
                <w:szCs w:val="22"/>
              </w:rPr>
            </w:pPr>
            <w:r w:rsidRPr="00220C8B">
              <w:rPr>
                <w:rFonts w:cs="Calibri"/>
                <w:sz w:val="22"/>
                <w:szCs w:val="22"/>
              </w:rPr>
              <w:t>734</w:t>
            </w:r>
          </w:p>
        </w:tc>
        <w:tc>
          <w:tcPr>
            <w:tcW w:w="1067" w:type="dxa"/>
            <w:tcBorders>
              <w:top w:val="nil"/>
              <w:left w:val="nil"/>
              <w:bottom w:val="single" w:sz="4" w:space="0" w:color="auto"/>
              <w:right w:val="single" w:sz="4" w:space="0" w:color="auto"/>
            </w:tcBorders>
            <w:shd w:val="clear" w:color="auto" w:fill="auto"/>
            <w:noWrap/>
            <w:vAlign w:val="center"/>
            <w:hideMark/>
          </w:tcPr>
          <w:p w14:paraId="29596F26" w14:textId="77777777" w:rsidR="00220C8B" w:rsidRPr="00220C8B" w:rsidRDefault="00220C8B" w:rsidP="00220C8B">
            <w:pPr>
              <w:jc w:val="right"/>
              <w:rPr>
                <w:rFonts w:cs="Calibri"/>
                <w:sz w:val="22"/>
                <w:szCs w:val="22"/>
              </w:rPr>
            </w:pPr>
            <w:r w:rsidRPr="00220C8B">
              <w:rPr>
                <w:rFonts w:cs="Calibri"/>
                <w:sz w:val="22"/>
                <w:szCs w:val="22"/>
              </w:rPr>
              <w:t>2.46</w:t>
            </w:r>
          </w:p>
        </w:tc>
        <w:tc>
          <w:tcPr>
            <w:tcW w:w="1067" w:type="dxa"/>
            <w:tcBorders>
              <w:top w:val="nil"/>
              <w:left w:val="nil"/>
              <w:bottom w:val="single" w:sz="4" w:space="0" w:color="auto"/>
              <w:right w:val="single" w:sz="4" w:space="0" w:color="auto"/>
            </w:tcBorders>
            <w:shd w:val="clear" w:color="auto" w:fill="auto"/>
            <w:noWrap/>
            <w:vAlign w:val="center"/>
            <w:hideMark/>
          </w:tcPr>
          <w:p w14:paraId="6709C504" w14:textId="77777777" w:rsidR="00220C8B" w:rsidRPr="00220C8B" w:rsidRDefault="00220C8B" w:rsidP="00220C8B">
            <w:pPr>
              <w:jc w:val="right"/>
              <w:rPr>
                <w:rFonts w:cs="Calibri"/>
                <w:sz w:val="22"/>
                <w:szCs w:val="22"/>
              </w:rPr>
            </w:pPr>
            <w:r w:rsidRPr="00220C8B">
              <w:rPr>
                <w:rFonts w:cs="Calibri"/>
                <w:sz w:val="22"/>
                <w:szCs w:val="22"/>
              </w:rPr>
              <w:t>0.28</w:t>
            </w:r>
          </w:p>
        </w:tc>
        <w:tc>
          <w:tcPr>
            <w:tcW w:w="792" w:type="dxa"/>
            <w:tcBorders>
              <w:top w:val="nil"/>
              <w:left w:val="nil"/>
              <w:bottom w:val="single" w:sz="4" w:space="0" w:color="auto"/>
              <w:right w:val="single" w:sz="4" w:space="0" w:color="auto"/>
            </w:tcBorders>
            <w:shd w:val="clear" w:color="auto" w:fill="auto"/>
            <w:noWrap/>
            <w:vAlign w:val="center"/>
            <w:hideMark/>
          </w:tcPr>
          <w:p w14:paraId="7CD81DD7" w14:textId="77777777" w:rsidR="00220C8B" w:rsidRPr="00220C8B" w:rsidRDefault="00220C8B" w:rsidP="00220C8B">
            <w:pPr>
              <w:jc w:val="right"/>
              <w:rPr>
                <w:rFonts w:cs="Calibri"/>
                <w:sz w:val="22"/>
                <w:szCs w:val="22"/>
              </w:rPr>
            </w:pPr>
            <w:r w:rsidRPr="00220C8B">
              <w:rPr>
                <w:rFonts w:cs="Calibri"/>
                <w:sz w:val="22"/>
                <w:szCs w:val="22"/>
              </w:rPr>
              <w:t>11.5%</w:t>
            </w:r>
          </w:p>
        </w:tc>
        <w:tc>
          <w:tcPr>
            <w:tcW w:w="1063" w:type="dxa"/>
            <w:tcBorders>
              <w:top w:val="nil"/>
              <w:left w:val="nil"/>
              <w:bottom w:val="single" w:sz="4" w:space="0" w:color="auto"/>
              <w:right w:val="single" w:sz="4" w:space="0" w:color="auto"/>
            </w:tcBorders>
            <w:shd w:val="clear" w:color="auto" w:fill="auto"/>
            <w:noWrap/>
            <w:vAlign w:val="center"/>
            <w:hideMark/>
          </w:tcPr>
          <w:p w14:paraId="09FDB6D2" w14:textId="77777777" w:rsidR="00220C8B" w:rsidRPr="00220C8B" w:rsidRDefault="00220C8B" w:rsidP="00220C8B">
            <w:pPr>
              <w:jc w:val="right"/>
              <w:rPr>
                <w:rFonts w:cs="Calibri"/>
                <w:sz w:val="22"/>
                <w:szCs w:val="22"/>
              </w:rPr>
            </w:pPr>
            <w:r w:rsidRPr="00220C8B">
              <w:rPr>
                <w:rFonts w:cs="Calibri"/>
                <w:sz w:val="22"/>
                <w:szCs w:val="22"/>
              </w:rPr>
              <w:t>0.21</w:t>
            </w:r>
          </w:p>
        </w:tc>
        <w:tc>
          <w:tcPr>
            <w:tcW w:w="742" w:type="dxa"/>
            <w:tcBorders>
              <w:top w:val="nil"/>
              <w:left w:val="nil"/>
              <w:bottom w:val="single" w:sz="4" w:space="0" w:color="auto"/>
              <w:right w:val="single" w:sz="4" w:space="0" w:color="auto"/>
            </w:tcBorders>
            <w:shd w:val="clear" w:color="auto" w:fill="auto"/>
            <w:noWrap/>
            <w:vAlign w:val="center"/>
            <w:hideMark/>
          </w:tcPr>
          <w:p w14:paraId="655B578D" w14:textId="77777777" w:rsidR="00220C8B" w:rsidRPr="00220C8B" w:rsidRDefault="00220C8B" w:rsidP="00220C8B">
            <w:pPr>
              <w:jc w:val="right"/>
              <w:rPr>
                <w:rFonts w:cs="Calibri"/>
                <w:sz w:val="22"/>
                <w:szCs w:val="22"/>
              </w:rPr>
            </w:pPr>
            <w:r w:rsidRPr="00220C8B">
              <w:rPr>
                <w:rFonts w:cs="Calibri"/>
                <w:sz w:val="22"/>
                <w:szCs w:val="22"/>
              </w:rPr>
              <w:t>94.5</w:t>
            </w:r>
          </w:p>
        </w:tc>
      </w:tr>
      <w:tr w:rsidR="00220C8B" w:rsidRPr="00220C8B" w14:paraId="32B8CFCF"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6FCF47A5"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7DFC71CF" w14:textId="77777777" w:rsidR="00220C8B" w:rsidRPr="00220C8B" w:rsidRDefault="00220C8B" w:rsidP="00220C8B">
            <w:pPr>
              <w:jc w:val="center"/>
              <w:rPr>
                <w:rFonts w:cs="Calibri"/>
                <w:sz w:val="22"/>
                <w:szCs w:val="22"/>
              </w:rPr>
            </w:pPr>
            <w:r w:rsidRPr="00220C8B">
              <w:rPr>
                <w:rFonts w:cs="Calibri"/>
                <w:sz w:val="22"/>
                <w:szCs w:val="22"/>
              </w:rPr>
              <w:t>PGNP</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A70F8E" w14:textId="77777777" w:rsidR="00220C8B" w:rsidRPr="00220C8B" w:rsidRDefault="00220C8B" w:rsidP="00220C8B">
            <w:pPr>
              <w:jc w:val="center"/>
              <w:rPr>
                <w:rFonts w:cs="Calibri"/>
                <w:sz w:val="22"/>
                <w:szCs w:val="22"/>
              </w:rPr>
            </w:pPr>
            <w:r w:rsidRPr="00220C8B">
              <w:rPr>
                <w:rFonts w:cs="Calibri"/>
                <w:sz w:val="22"/>
                <w:szCs w:val="22"/>
              </w:rPr>
              <w:t>4-8 p.m.</w:t>
            </w:r>
          </w:p>
        </w:tc>
        <w:tc>
          <w:tcPr>
            <w:tcW w:w="1238" w:type="dxa"/>
            <w:vMerge/>
            <w:tcBorders>
              <w:top w:val="nil"/>
              <w:left w:val="single" w:sz="4" w:space="0" w:color="auto"/>
              <w:bottom w:val="single" w:sz="4" w:space="0" w:color="000000"/>
              <w:right w:val="single" w:sz="4" w:space="0" w:color="auto"/>
            </w:tcBorders>
            <w:vAlign w:val="center"/>
            <w:hideMark/>
          </w:tcPr>
          <w:p w14:paraId="1C0C9015"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290032C6" w14:textId="77777777" w:rsidR="00220C8B" w:rsidRPr="00220C8B" w:rsidRDefault="00220C8B" w:rsidP="00220C8B">
            <w:pPr>
              <w:jc w:val="right"/>
              <w:rPr>
                <w:rFonts w:cs="Calibri"/>
                <w:sz w:val="22"/>
                <w:szCs w:val="22"/>
              </w:rPr>
            </w:pPr>
            <w:r w:rsidRPr="00220C8B">
              <w:rPr>
                <w:rFonts w:cs="Calibri"/>
                <w:sz w:val="22"/>
                <w:szCs w:val="22"/>
              </w:rPr>
              <w:t>15,170</w:t>
            </w:r>
          </w:p>
        </w:tc>
        <w:tc>
          <w:tcPr>
            <w:tcW w:w="1067" w:type="dxa"/>
            <w:tcBorders>
              <w:top w:val="nil"/>
              <w:left w:val="nil"/>
              <w:bottom w:val="single" w:sz="4" w:space="0" w:color="auto"/>
              <w:right w:val="single" w:sz="4" w:space="0" w:color="auto"/>
            </w:tcBorders>
            <w:shd w:val="clear" w:color="auto" w:fill="auto"/>
            <w:noWrap/>
            <w:vAlign w:val="center"/>
            <w:hideMark/>
          </w:tcPr>
          <w:p w14:paraId="07A891CD" w14:textId="77777777" w:rsidR="00220C8B" w:rsidRPr="00220C8B" w:rsidRDefault="00220C8B" w:rsidP="00220C8B">
            <w:pPr>
              <w:jc w:val="right"/>
              <w:rPr>
                <w:rFonts w:cs="Calibri"/>
                <w:sz w:val="22"/>
                <w:szCs w:val="22"/>
              </w:rPr>
            </w:pPr>
            <w:r w:rsidRPr="00220C8B">
              <w:rPr>
                <w:rFonts w:cs="Calibri"/>
                <w:sz w:val="22"/>
                <w:szCs w:val="22"/>
              </w:rPr>
              <w:t>2.47</w:t>
            </w:r>
          </w:p>
        </w:tc>
        <w:tc>
          <w:tcPr>
            <w:tcW w:w="1067" w:type="dxa"/>
            <w:tcBorders>
              <w:top w:val="nil"/>
              <w:left w:val="nil"/>
              <w:bottom w:val="single" w:sz="4" w:space="0" w:color="auto"/>
              <w:right w:val="single" w:sz="4" w:space="0" w:color="auto"/>
            </w:tcBorders>
            <w:shd w:val="clear" w:color="auto" w:fill="auto"/>
            <w:noWrap/>
            <w:vAlign w:val="center"/>
            <w:hideMark/>
          </w:tcPr>
          <w:p w14:paraId="68EE1DF7" w14:textId="77777777" w:rsidR="00220C8B" w:rsidRPr="00220C8B" w:rsidRDefault="00220C8B" w:rsidP="00220C8B">
            <w:pPr>
              <w:jc w:val="right"/>
              <w:rPr>
                <w:rFonts w:cs="Calibri"/>
                <w:sz w:val="22"/>
                <w:szCs w:val="22"/>
              </w:rPr>
            </w:pPr>
            <w:r w:rsidRPr="00220C8B">
              <w:rPr>
                <w:rFonts w:cs="Calibri"/>
                <w:sz w:val="22"/>
                <w:szCs w:val="22"/>
              </w:rPr>
              <w:t>0.21</w:t>
            </w:r>
          </w:p>
        </w:tc>
        <w:tc>
          <w:tcPr>
            <w:tcW w:w="792" w:type="dxa"/>
            <w:tcBorders>
              <w:top w:val="nil"/>
              <w:left w:val="nil"/>
              <w:bottom w:val="single" w:sz="4" w:space="0" w:color="auto"/>
              <w:right w:val="single" w:sz="4" w:space="0" w:color="auto"/>
            </w:tcBorders>
            <w:shd w:val="clear" w:color="auto" w:fill="auto"/>
            <w:noWrap/>
            <w:vAlign w:val="center"/>
            <w:hideMark/>
          </w:tcPr>
          <w:p w14:paraId="12008B4A" w14:textId="77777777" w:rsidR="00220C8B" w:rsidRPr="00220C8B" w:rsidRDefault="00220C8B" w:rsidP="00220C8B">
            <w:pPr>
              <w:jc w:val="right"/>
              <w:rPr>
                <w:rFonts w:cs="Calibri"/>
                <w:sz w:val="22"/>
                <w:szCs w:val="22"/>
              </w:rPr>
            </w:pPr>
            <w:r w:rsidRPr="00220C8B">
              <w:rPr>
                <w:rFonts w:cs="Calibri"/>
                <w:sz w:val="22"/>
                <w:szCs w:val="22"/>
              </w:rPr>
              <w:t>8.6%</w:t>
            </w:r>
          </w:p>
        </w:tc>
        <w:tc>
          <w:tcPr>
            <w:tcW w:w="1063" w:type="dxa"/>
            <w:tcBorders>
              <w:top w:val="nil"/>
              <w:left w:val="nil"/>
              <w:bottom w:val="single" w:sz="4" w:space="0" w:color="auto"/>
              <w:right w:val="single" w:sz="4" w:space="0" w:color="auto"/>
            </w:tcBorders>
            <w:shd w:val="clear" w:color="auto" w:fill="auto"/>
            <w:noWrap/>
            <w:vAlign w:val="center"/>
            <w:hideMark/>
          </w:tcPr>
          <w:p w14:paraId="39EC4158" w14:textId="77777777" w:rsidR="00220C8B" w:rsidRPr="00220C8B" w:rsidRDefault="00220C8B" w:rsidP="00220C8B">
            <w:pPr>
              <w:jc w:val="right"/>
              <w:rPr>
                <w:rFonts w:cs="Calibri"/>
                <w:sz w:val="22"/>
                <w:szCs w:val="22"/>
              </w:rPr>
            </w:pPr>
            <w:r w:rsidRPr="00220C8B">
              <w:rPr>
                <w:rFonts w:cs="Calibri"/>
                <w:sz w:val="22"/>
                <w:szCs w:val="22"/>
              </w:rPr>
              <w:t>3.23</w:t>
            </w:r>
          </w:p>
        </w:tc>
        <w:tc>
          <w:tcPr>
            <w:tcW w:w="742" w:type="dxa"/>
            <w:tcBorders>
              <w:top w:val="nil"/>
              <w:left w:val="nil"/>
              <w:bottom w:val="single" w:sz="4" w:space="0" w:color="auto"/>
              <w:right w:val="single" w:sz="4" w:space="0" w:color="auto"/>
            </w:tcBorders>
            <w:shd w:val="clear" w:color="auto" w:fill="auto"/>
            <w:noWrap/>
            <w:vAlign w:val="center"/>
            <w:hideMark/>
          </w:tcPr>
          <w:p w14:paraId="37938DEF" w14:textId="77777777" w:rsidR="00220C8B" w:rsidRPr="00220C8B" w:rsidRDefault="00220C8B" w:rsidP="00220C8B">
            <w:pPr>
              <w:jc w:val="right"/>
              <w:rPr>
                <w:rFonts w:cs="Calibri"/>
                <w:sz w:val="22"/>
                <w:szCs w:val="22"/>
              </w:rPr>
            </w:pPr>
            <w:r w:rsidRPr="00220C8B">
              <w:rPr>
                <w:rFonts w:cs="Calibri"/>
                <w:sz w:val="22"/>
                <w:szCs w:val="22"/>
              </w:rPr>
              <w:t>98.5</w:t>
            </w:r>
          </w:p>
        </w:tc>
      </w:tr>
      <w:tr w:rsidR="00220C8B" w:rsidRPr="00220C8B" w14:paraId="5BE0CC27"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770904B3"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30063253" w14:textId="77777777" w:rsidR="00220C8B" w:rsidRPr="00220C8B" w:rsidRDefault="00220C8B" w:rsidP="00220C8B">
            <w:pPr>
              <w:jc w:val="center"/>
              <w:rPr>
                <w:rFonts w:cs="Calibri"/>
                <w:sz w:val="22"/>
                <w:szCs w:val="22"/>
              </w:rPr>
            </w:pPr>
            <w:r w:rsidRPr="00220C8B">
              <w:rPr>
                <w:rFonts w:cs="Calibri"/>
                <w:sz w:val="22"/>
                <w:szCs w:val="22"/>
              </w:rPr>
              <w:t>PGSI</w:t>
            </w:r>
          </w:p>
        </w:tc>
        <w:tc>
          <w:tcPr>
            <w:tcW w:w="1392" w:type="dxa"/>
            <w:vMerge/>
            <w:tcBorders>
              <w:top w:val="nil"/>
              <w:left w:val="single" w:sz="4" w:space="0" w:color="auto"/>
              <w:bottom w:val="single" w:sz="4" w:space="0" w:color="000000"/>
              <w:right w:val="single" w:sz="4" w:space="0" w:color="auto"/>
            </w:tcBorders>
            <w:vAlign w:val="center"/>
            <w:hideMark/>
          </w:tcPr>
          <w:p w14:paraId="78C5782F"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4AA0A1B4"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0F684F55" w14:textId="77777777" w:rsidR="00220C8B" w:rsidRPr="00220C8B" w:rsidRDefault="00220C8B" w:rsidP="00220C8B">
            <w:pPr>
              <w:jc w:val="right"/>
              <w:rPr>
                <w:rFonts w:cs="Calibri"/>
                <w:sz w:val="22"/>
                <w:szCs w:val="22"/>
              </w:rPr>
            </w:pPr>
            <w:r w:rsidRPr="00220C8B">
              <w:rPr>
                <w:rFonts w:cs="Calibri"/>
                <w:sz w:val="22"/>
                <w:szCs w:val="22"/>
              </w:rPr>
              <w:t>16,652</w:t>
            </w:r>
          </w:p>
        </w:tc>
        <w:tc>
          <w:tcPr>
            <w:tcW w:w="1067" w:type="dxa"/>
            <w:tcBorders>
              <w:top w:val="nil"/>
              <w:left w:val="nil"/>
              <w:bottom w:val="single" w:sz="4" w:space="0" w:color="auto"/>
              <w:right w:val="single" w:sz="4" w:space="0" w:color="auto"/>
            </w:tcBorders>
            <w:shd w:val="clear" w:color="auto" w:fill="auto"/>
            <w:noWrap/>
            <w:vAlign w:val="center"/>
            <w:hideMark/>
          </w:tcPr>
          <w:p w14:paraId="2FB83AA9" w14:textId="77777777" w:rsidR="00220C8B" w:rsidRPr="00220C8B" w:rsidRDefault="00220C8B" w:rsidP="00220C8B">
            <w:pPr>
              <w:jc w:val="right"/>
              <w:rPr>
                <w:rFonts w:cs="Calibri"/>
                <w:sz w:val="22"/>
                <w:szCs w:val="22"/>
              </w:rPr>
            </w:pPr>
            <w:r w:rsidRPr="00220C8B">
              <w:rPr>
                <w:rFonts w:cs="Calibri"/>
                <w:sz w:val="22"/>
                <w:szCs w:val="22"/>
              </w:rPr>
              <w:t>2.70</w:t>
            </w:r>
          </w:p>
        </w:tc>
        <w:tc>
          <w:tcPr>
            <w:tcW w:w="1067" w:type="dxa"/>
            <w:tcBorders>
              <w:top w:val="nil"/>
              <w:left w:val="nil"/>
              <w:bottom w:val="single" w:sz="4" w:space="0" w:color="auto"/>
              <w:right w:val="single" w:sz="4" w:space="0" w:color="auto"/>
            </w:tcBorders>
            <w:shd w:val="clear" w:color="auto" w:fill="auto"/>
            <w:noWrap/>
            <w:vAlign w:val="center"/>
            <w:hideMark/>
          </w:tcPr>
          <w:p w14:paraId="49AF2383" w14:textId="77777777" w:rsidR="00220C8B" w:rsidRPr="00220C8B" w:rsidRDefault="00220C8B" w:rsidP="00220C8B">
            <w:pPr>
              <w:jc w:val="right"/>
              <w:rPr>
                <w:rFonts w:cs="Calibri"/>
                <w:sz w:val="22"/>
                <w:szCs w:val="22"/>
              </w:rPr>
            </w:pPr>
            <w:r w:rsidRPr="00220C8B">
              <w:rPr>
                <w:rFonts w:cs="Calibri"/>
                <w:sz w:val="22"/>
                <w:szCs w:val="22"/>
              </w:rPr>
              <w:t>0.37</w:t>
            </w:r>
          </w:p>
        </w:tc>
        <w:tc>
          <w:tcPr>
            <w:tcW w:w="792" w:type="dxa"/>
            <w:tcBorders>
              <w:top w:val="nil"/>
              <w:left w:val="nil"/>
              <w:bottom w:val="single" w:sz="4" w:space="0" w:color="auto"/>
              <w:right w:val="single" w:sz="4" w:space="0" w:color="auto"/>
            </w:tcBorders>
            <w:shd w:val="clear" w:color="auto" w:fill="auto"/>
            <w:noWrap/>
            <w:vAlign w:val="center"/>
            <w:hideMark/>
          </w:tcPr>
          <w:p w14:paraId="5EF22251" w14:textId="77777777" w:rsidR="00220C8B" w:rsidRPr="00220C8B" w:rsidRDefault="00220C8B" w:rsidP="00220C8B">
            <w:pPr>
              <w:jc w:val="right"/>
              <w:rPr>
                <w:rFonts w:cs="Calibri"/>
                <w:sz w:val="22"/>
                <w:szCs w:val="22"/>
              </w:rPr>
            </w:pPr>
            <w:r w:rsidRPr="00220C8B">
              <w:rPr>
                <w:rFonts w:cs="Calibri"/>
                <w:sz w:val="22"/>
                <w:szCs w:val="22"/>
              </w:rPr>
              <w:t>13.6%</w:t>
            </w:r>
          </w:p>
        </w:tc>
        <w:tc>
          <w:tcPr>
            <w:tcW w:w="1063" w:type="dxa"/>
            <w:tcBorders>
              <w:top w:val="nil"/>
              <w:left w:val="nil"/>
              <w:bottom w:val="single" w:sz="4" w:space="0" w:color="auto"/>
              <w:right w:val="single" w:sz="4" w:space="0" w:color="auto"/>
            </w:tcBorders>
            <w:shd w:val="clear" w:color="auto" w:fill="auto"/>
            <w:noWrap/>
            <w:vAlign w:val="center"/>
            <w:hideMark/>
          </w:tcPr>
          <w:p w14:paraId="0A1B7371" w14:textId="77777777" w:rsidR="00220C8B" w:rsidRPr="00220C8B" w:rsidRDefault="00220C8B" w:rsidP="00220C8B">
            <w:pPr>
              <w:jc w:val="right"/>
              <w:rPr>
                <w:rFonts w:cs="Calibri"/>
                <w:sz w:val="22"/>
                <w:szCs w:val="22"/>
              </w:rPr>
            </w:pPr>
            <w:r w:rsidRPr="00220C8B">
              <w:rPr>
                <w:rFonts w:cs="Calibri"/>
                <w:sz w:val="22"/>
                <w:szCs w:val="22"/>
              </w:rPr>
              <w:t>6.15</w:t>
            </w:r>
          </w:p>
        </w:tc>
        <w:tc>
          <w:tcPr>
            <w:tcW w:w="742" w:type="dxa"/>
            <w:tcBorders>
              <w:top w:val="nil"/>
              <w:left w:val="nil"/>
              <w:bottom w:val="single" w:sz="4" w:space="0" w:color="auto"/>
              <w:right w:val="single" w:sz="4" w:space="0" w:color="auto"/>
            </w:tcBorders>
            <w:shd w:val="clear" w:color="auto" w:fill="auto"/>
            <w:noWrap/>
            <w:vAlign w:val="center"/>
            <w:hideMark/>
          </w:tcPr>
          <w:p w14:paraId="5A286CBF" w14:textId="77777777" w:rsidR="00220C8B" w:rsidRPr="00220C8B" w:rsidRDefault="00220C8B" w:rsidP="00220C8B">
            <w:pPr>
              <w:jc w:val="right"/>
              <w:rPr>
                <w:rFonts w:cs="Calibri"/>
                <w:sz w:val="22"/>
                <w:szCs w:val="22"/>
              </w:rPr>
            </w:pPr>
            <w:r w:rsidRPr="00220C8B">
              <w:rPr>
                <w:rFonts w:cs="Calibri"/>
                <w:sz w:val="22"/>
                <w:szCs w:val="22"/>
              </w:rPr>
              <w:t>99.8</w:t>
            </w:r>
          </w:p>
        </w:tc>
      </w:tr>
      <w:tr w:rsidR="00220C8B" w:rsidRPr="00220C8B" w14:paraId="084065E5"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5A04DC2B"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077F3BF6" w14:textId="77777777" w:rsidR="00220C8B" w:rsidRPr="00220C8B" w:rsidRDefault="00220C8B" w:rsidP="00220C8B">
            <w:pPr>
              <w:jc w:val="center"/>
              <w:rPr>
                <w:rFonts w:cs="Calibri"/>
                <w:sz w:val="22"/>
                <w:szCs w:val="22"/>
              </w:rPr>
            </w:pPr>
            <w:r w:rsidRPr="00220C8B">
              <w:rPr>
                <w:rFonts w:cs="Calibri"/>
                <w:sz w:val="22"/>
                <w:szCs w:val="22"/>
              </w:rPr>
              <w:t>PGZP</w:t>
            </w:r>
          </w:p>
        </w:tc>
        <w:tc>
          <w:tcPr>
            <w:tcW w:w="1392" w:type="dxa"/>
            <w:vMerge/>
            <w:tcBorders>
              <w:top w:val="nil"/>
              <w:left w:val="single" w:sz="4" w:space="0" w:color="auto"/>
              <w:bottom w:val="single" w:sz="4" w:space="0" w:color="000000"/>
              <w:right w:val="single" w:sz="4" w:space="0" w:color="auto"/>
            </w:tcBorders>
            <w:vAlign w:val="center"/>
            <w:hideMark/>
          </w:tcPr>
          <w:p w14:paraId="372BF3C8"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2C3407F7"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63224D12" w14:textId="77777777" w:rsidR="00220C8B" w:rsidRPr="00220C8B" w:rsidRDefault="00220C8B" w:rsidP="00220C8B">
            <w:pPr>
              <w:jc w:val="right"/>
              <w:rPr>
                <w:rFonts w:cs="Calibri"/>
                <w:sz w:val="22"/>
                <w:szCs w:val="22"/>
              </w:rPr>
            </w:pPr>
            <w:r w:rsidRPr="00220C8B">
              <w:rPr>
                <w:rFonts w:cs="Calibri"/>
                <w:sz w:val="22"/>
                <w:szCs w:val="22"/>
              </w:rPr>
              <w:t>2,281</w:t>
            </w:r>
          </w:p>
        </w:tc>
        <w:tc>
          <w:tcPr>
            <w:tcW w:w="1067" w:type="dxa"/>
            <w:tcBorders>
              <w:top w:val="nil"/>
              <w:left w:val="nil"/>
              <w:bottom w:val="single" w:sz="4" w:space="0" w:color="auto"/>
              <w:right w:val="single" w:sz="4" w:space="0" w:color="auto"/>
            </w:tcBorders>
            <w:shd w:val="clear" w:color="auto" w:fill="auto"/>
            <w:noWrap/>
            <w:vAlign w:val="center"/>
            <w:hideMark/>
          </w:tcPr>
          <w:p w14:paraId="35F38A2D" w14:textId="77777777" w:rsidR="00220C8B" w:rsidRPr="00220C8B" w:rsidRDefault="00220C8B" w:rsidP="00220C8B">
            <w:pPr>
              <w:jc w:val="right"/>
              <w:rPr>
                <w:rFonts w:cs="Calibri"/>
                <w:sz w:val="22"/>
                <w:szCs w:val="22"/>
              </w:rPr>
            </w:pPr>
            <w:r w:rsidRPr="00220C8B">
              <w:rPr>
                <w:rFonts w:cs="Calibri"/>
                <w:sz w:val="22"/>
                <w:szCs w:val="22"/>
              </w:rPr>
              <w:t>2.77</w:t>
            </w:r>
          </w:p>
        </w:tc>
        <w:tc>
          <w:tcPr>
            <w:tcW w:w="1067" w:type="dxa"/>
            <w:tcBorders>
              <w:top w:val="nil"/>
              <w:left w:val="nil"/>
              <w:bottom w:val="single" w:sz="4" w:space="0" w:color="auto"/>
              <w:right w:val="single" w:sz="4" w:space="0" w:color="auto"/>
            </w:tcBorders>
            <w:shd w:val="clear" w:color="auto" w:fill="auto"/>
            <w:noWrap/>
            <w:vAlign w:val="center"/>
            <w:hideMark/>
          </w:tcPr>
          <w:p w14:paraId="5B08A3A2" w14:textId="77777777" w:rsidR="00220C8B" w:rsidRPr="00220C8B" w:rsidRDefault="00220C8B" w:rsidP="00220C8B">
            <w:pPr>
              <w:jc w:val="right"/>
              <w:rPr>
                <w:rFonts w:cs="Calibri"/>
                <w:sz w:val="22"/>
                <w:szCs w:val="22"/>
              </w:rPr>
            </w:pPr>
            <w:r w:rsidRPr="00220C8B">
              <w:rPr>
                <w:rFonts w:cs="Calibri"/>
                <w:sz w:val="22"/>
                <w:szCs w:val="22"/>
              </w:rPr>
              <w:t>0.30</w:t>
            </w:r>
          </w:p>
        </w:tc>
        <w:tc>
          <w:tcPr>
            <w:tcW w:w="792" w:type="dxa"/>
            <w:tcBorders>
              <w:top w:val="nil"/>
              <w:left w:val="nil"/>
              <w:bottom w:val="single" w:sz="4" w:space="0" w:color="auto"/>
              <w:right w:val="single" w:sz="4" w:space="0" w:color="auto"/>
            </w:tcBorders>
            <w:shd w:val="clear" w:color="auto" w:fill="auto"/>
            <w:noWrap/>
            <w:vAlign w:val="center"/>
            <w:hideMark/>
          </w:tcPr>
          <w:p w14:paraId="757A5C09" w14:textId="77777777" w:rsidR="00220C8B" w:rsidRPr="00220C8B" w:rsidRDefault="00220C8B" w:rsidP="00220C8B">
            <w:pPr>
              <w:jc w:val="right"/>
              <w:rPr>
                <w:rFonts w:cs="Calibri"/>
                <w:sz w:val="22"/>
                <w:szCs w:val="22"/>
              </w:rPr>
            </w:pPr>
            <w:r w:rsidRPr="00220C8B">
              <w:rPr>
                <w:rFonts w:cs="Calibri"/>
                <w:sz w:val="22"/>
                <w:szCs w:val="22"/>
              </w:rPr>
              <w:t>10.7%</w:t>
            </w:r>
          </w:p>
        </w:tc>
        <w:tc>
          <w:tcPr>
            <w:tcW w:w="1063" w:type="dxa"/>
            <w:tcBorders>
              <w:top w:val="nil"/>
              <w:left w:val="nil"/>
              <w:bottom w:val="single" w:sz="4" w:space="0" w:color="auto"/>
              <w:right w:val="single" w:sz="4" w:space="0" w:color="auto"/>
            </w:tcBorders>
            <w:shd w:val="clear" w:color="auto" w:fill="auto"/>
            <w:noWrap/>
            <w:vAlign w:val="center"/>
            <w:hideMark/>
          </w:tcPr>
          <w:p w14:paraId="7229AB78" w14:textId="77777777" w:rsidR="00220C8B" w:rsidRPr="00220C8B" w:rsidRDefault="00220C8B" w:rsidP="00220C8B">
            <w:pPr>
              <w:jc w:val="right"/>
              <w:rPr>
                <w:rFonts w:cs="Calibri"/>
                <w:sz w:val="22"/>
                <w:szCs w:val="22"/>
              </w:rPr>
            </w:pPr>
            <w:r w:rsidRPr="00220C8B">
              <w:rPr>
                <w:rFonts w:cs="Calibri"/>
                <w:sz w:val="22"/>
                <w:szCs w:val="22"/>
              </w:rPr>
              <w:t>0.68</w:t>
            </w:r>
          </w:p>
        </w:tc>
        <w:tc>
          <w:tcPr>
            <w:tcW w:w="742" w:type="dxa"/>
            <w:tcBorders>
              <w:top w:val="nil"/>
              <w:left w:val="nil"/>
              <w:bottom w:val="single" w:sz="4" w:space="0" w:color="auto"/>
              <w:right w:val="single" w:sz="4" w:space="0" w:color="auto"/>
            </w:tcBorders>
            <w:shd w:val="clear" w:color="auto" w:fill="auto"/>
            <w:noWrap/>
            <w:vAlign w:val="center"/>
            <w:hideMark/>
          </w:tcPr>
          <w:p w14:paraId="43A41181" w14:textId="77777777" w:rsidR="00220C8B" w:rsidRPr="00220C8B" w:rsidRDefault="00220C8B" w:rsidP="00220C8B">
            <w:pPr>
              <w:jc w:val="right"/>
              <w:rPr>
                <w:rFonts w:cs="Calibri"/>
                <w:sz w:val="22"/>
                <w:szCs w:val="22"/>
              </w:rPr>
            </w:pPr>
            <w:r w:rsidRPr="00220C8B">
              <w:rPr>
                <w:rFonts w:cs="Calibri"/>
                <w:sz w:val="22"/>
                <w:szCs w:val="22"/>
              </w:rPr>
              <w:t>102.2</w:t>
            </w:r>
          </w:p>
        </w:tc>
      </w:tr>
      <w:tr w:rsidR="00220C8B" w:rsidRPr="00220C8B" w14:paraId="41CB5338" w14:textId="77777777" w:rsidTr="00F51B69">
        <w:trPr>
          <w:trHeight w:val="300"/>
          <w:jc w:val="center"/>
        </w:trPr>
        <w:tc>
          <w:tcPr>
            <w:tcW w:w="8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91C87A" w14:textId="77777777" w:rsidR="00220C8B" w:rsidRPr="00220C8B" w:rsidRDefault="00220C8B" w:rsidP="00220C8B">
            <w:pPr>
              <w:jc w:val="center"/>
              <w:rPr>
                <w:rFonts w:cs="Calibri"/>
                <w:sz w:val="22"/>
                <w:szCs w:val="22"/>
              </w:rPr>
            </w:pPr>
            <w:r w:rsidRPr="00220C8B">
              <w:rPr>
                <w:rFonts w:cs="Calibri"/>
                <w:sz w:val="22"/>
                <w:szCs w:val="22"/>
              </w:rPr>
              <w:t>25-Jul</w:t>
            </w:r>
          </w:p>
        </w:tc>
        <w:tc>
          <w:tcPr>
            <w:tcW w:w="728" w:type="dxa"/>
            <w:tcBorders>
              <w:top w:val="nil"/>
              <w:left w:val="nil"/>
              <w:bottom w:val="single" w:sz="4" w:space="0" w:color="auto"/>
              <w:right w:val="single" w:sz="4" w:space="0" w:color="auto"/>
            </w:tcBorders>
            <w:shd w:val="clear" w:color="auto" w:fill="auto"/>
            <w:noWrap/>
            <w:vAlign w:val="center"/>
            <w:hideMark/>
          </w:tcPr>
          <w:p w14:paraId="58C4B255" w14:textId="77777777" w:rsidR="00220C8B" w:rsidRPr="00220C8B" w:rsidRDefault="00220C8B" w:rsidP="00220C8B">
            <w:pPr>
              <w:jc w:val="center"/>
              <w:rPr>
                <w:rFonts w:cs="Calibri"/>
                <w:sz w:val="22"/>
                <w:szCs w:val="22"/>
              </w:rPr>
            </w:pPr>
            <w:r w:rsidRPr="00220C8B">
              <w:rPr>
                <w:rFonts w:cs="Calibri"/>
                <w:sz w:val="22"/>
                <w:szCs w:val="22"/>
              </w:rPr>
              <w:t>PGSI</w:t>
            </w:r>
          </w:p>
        </w:tc>
        <w:tc>
          <w:tcPr>
            <w:tcW w:w="1392" w:type="dxa"/>
            <w:tcBorders>
              <w:top w:val="nil"/>
              <w:left w:val="nil"/>
              <w:bottom w:val="single" w:sz="4" w:space="0" w:color="auto"/>
              <w:right w:val="single" w:sz="4" w:space="0" w:color="auto"/>
            </w:tcBorders>
            <w:shd w:val="clear" w:color="auto" w:fill="auto"/>
            <w:noWrap/>
            <w:vAlign w:val="center"/>
            <w:hideMark/>
          </w:tcPr>
          <w:p w14:paraId="0CFA41B2" w14:textId="77777777" w:rsidR="00220C8B" w:rsidRPr="00220C8B" w:rsidRDefault="00220C8B" w:rsidP="00220C8B">
            <w:pPr>
              <w:jc w:val="center"/>
              <w:rPr>
                <w:rFonts w:cs="Calibri"/>
                <w:sz w:val="22"/>
                <w:szCs w:val="22"/>
              </w:rPr>
            </w:pPr>
            <w:r w:rsidRPr="00220C8B">
              <w:rPr>
                <w:rFonts w:cs="Calibri"/>
                <w:sz w:val="22"/>
                <w:szCs w:val="22"/>
              </w:rPr>
              <w:t>6-7 p.m.</w:t>
            </w:r>
          </w:p>
        </w:tc>
        <w:tc>
          <w:tcPr>
            <w:tcW w:w="12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B702D5" w14:textId="77777777" w:rsidR="00220C8B" w:rsidRPr="00220C8B" w:rsidRDefault="00220C8B" w:rsidP="00220C8B">
            <w:pPr>
              <w:jc w:val="center"/>
              <w:rPr>
                <w:rFonts w:cs="Calibri"/>
                <w:sz w:val="22"/>
                <w:szCs w:val="22"/>
              </w:rPr>
            </w:pPr>
            <w:r w:rsidRPr="00220C8B">
              <w:rPr>
                <w:rFonts w:cs="Calibri"/>
                <w:sz w:val="22"/>
                <w:szCs w:val="22"/>
              </w:rPr>
              <w:t>Yes</w:t>
            </w:r>
          </w:p>
        </w:tc>
        <w:tc>
          <w:tcPr>
            <w:tcW w:w="851" w:type="dxa"/>
            <w:tcBorders>
              <w:top w:val="nil"/>
              <w:left w:val="nil"/>
              <w:bottom w:val="single" w:sz="4" w:space="0" w:color="auto"/>
              <w:right w:val="single" w:sz="4" w:space="0" w:color="auto"/>
            </w:tcBorders>
            <w:shd w:val="clear" w:color="auto" w:fill="auto"/>
            <w:noWrap/>
            <w:vAlign w:val="center"/>
            <w:hideMark/>
          </w:tcPr>
          <w:p w14:paraId="42F495EC" w14:textId="77777777" w:rsidR="00220C8B" w:rsidRPr="00220C8B" w:rsidRDefault="00220C8B" w:rsidP="00220C8B">
            <w:pPr>
              <w:jc w:val="right"/>
              <w:rPr>
                <w:rFonts w:cs="Calibri"/>
                <w:sz w:val="22"/>
                <w:szCs w:val="22"/>
              </w:rPr>
            </w:pPr>
            <w:r w:rsidRPr="00220C8B">
              <w:rPr>
                <w:rFonts w:cs="Calibri"/>
                <w:sz w:val="22"/>
                <w:szCs w:val="22"/>
              </w:rPr>
              <w:t>14,478</w:t>
            </w:r>
          </w:p>
        </w:tc>
        <w:tc>
          <w:tcPr>
            <w:tcW w:w="1067" w:type="dxa"/>
            <w:tcBorders>
              <w:top w:val="nil"/>
              <w:left w:val="nil"/>
              <w:bottom w:val="single" w:sz="4" w:space="0" w:color="auto"/>
              <w:right w:val="single" w:sz="4" w:space="0" w:color="auto"/>
            </w:tcBorders>
            <w:shd w:val="clear" w:color="auto" w:fill="auto"/>
            <w:noWrap/>
            <w:vAlign w:val="center"/>
            <w:hideMark/>
          </w:tcPr>
          <w:p w14:paraId="3C2851FB" w14:textId="77777777" w:rsidR="00220C8B" w:rsidRPr="00220C8B" w:rsidRDefault="00220C8B" w:rsidP="00220C8B">
            <w:pPr>
              <w:jc w:val="right"/>
              <w:rPr>
                <w:rFonts w:cs="Calibri"/>
                <w:sz w:val="22"/>
                <w:szCs w:val="22"/>
              </w:rPr>
            </w:pPr>
            <w:r w:rsidRPr="00220C8B">
              <w:rPr>
                <w:rFonts w:cs="Calibri"/>
                <w:sz w:val="22"/>
                <w:szCs w:val="22"/>
              </w:rPr>
              <w:t>2.97</w:t>
            </w:r>
          </w:p>
        </w:tc>
        <w:tc>
          <w:tcPr>
            <w:tcW w:w="1067" w:type="dxa"/>
            <w:tcBorders>
              <w:top w:val="nil"/>
              <w:left w:val="nil"/>
              <w:bottom w:val="single" w:sz="4" w:space="0" w:color="auto"/>
              <w:right w:val="single" w:sz="4" w:space="0" w:color="auto"/>
            </w:tcBorders>
            <w:shd w:val="clear" w:color="auto" w:fill="auto"/>
            <w:noWrap/>
            <w:vAlign w:val="center"/>
            <w:hideMark/>
          </w:tcPr>
          <w:p w14:paraId="71DDDC74" w14:textId="77777777" w:rsidR="00220C8B" w:rsidRPr="00220C8B" w:rsidRDefault="00220C8B" w:rsidP="00220C8B">
            <w:pPr>
              <w:jc w:val="right"/>
              <w:rPr>
                <w:rFonts w:cs="Calibri"/>
                <w:sz w:val="22"/>
                <w:szCs w:val="22"/>
              </w:rPr>
            </w:pPr>
            <w:r w:rsidRPr="00220C8B">
              <w:rPr>
                <w:rFonts w:cs="Calibri"/>
                <w:sz w:val="22"/>
                <w:szCs w:val="22"/>
              </w:rPr>
              <w:t>0.40</w:t>
            </w:r>
          </w:p>
        </w:tc>
        <w:tc>
          <w:tcPr>
            <w:tcW w:w="792" w:type="dxa"/>
            <w:tcBorders>
              <w:top w:val="nil"/>
              <w:left w:val="nil"/>
              <w:bottom w:val="single" w:sz="4" w:space="0" w:color="auto"/>
              <w:right w:val="single" w:sz="4" w:space="0" w:color="auto"/>
            </w:tcBorders>
            <w:shd w:val="clear" w:color="auto" w:fill="auto"/>
            <w:noWrap/>
            <w:vAlign w:val="center"/>
            <w:hideMark/>
          </w:tcPr>
          <w:p w14:paraId="675F38E9" w14:textId="77777777" w:rsidR="00220C8B" w:rsidRPr="00220C8B" w:rsidRDefault="00220C8B" w:rsidP="00220C8B">
            <w:pPr>
              <w:jc w:val="right"/>
              <w:rPr>
                <w:rFonts w:cs="Calibri"/>
                <w:sz w:val="22"/>
                <w:szCs w:val="22"/>
              </w:rPr>
            </w:pPr>
            <w:r w:rsidRPr="00220C8B">
              <w:rPr>
                <w:rFonts w:cs="Calibri"/>
                <w:sz w:val="22"/>
                <w:szCs w:val="22"/>
              </w:rPr>
              <w:t>13.4%</w:t>
            </w:r>
          </w:p>
        </w:tc>
        <w:tc>
          <w:tcPr>
            <w:tcW w:w="1063" w:type="dxa"/>
            <w:tcBorders>
              <w:top w:val="nil"/>
              <w:left w:val="nil"/>
              <w:bottom w:val="single" w:sz="4" w:space="0" w:color="auto"/>
              <w:right w:val="single" w:sz="4" w:space="0" w:color="auto"/>
            </w:tcBorders>
            <w:shd w:val="clear" w:color="auto" w:fill="auto"/>
            <w:noWrap/>
            <w:vAlign w:val="center"/>
            <w:hideMark/>
          </w:tcPr>
          <w:p w14:paraId="4B173CB4" w14:textId="77777777" w:rsidR="00220C8B" w:rsidRPr="00220C8B" w:rsidRDefault="00220C8B" w:rsidP="00220C8B">
            <w:pPr>
              <w:jc w:val="right"/>
              <w:rPr>
                <w:rFonts w:cs="Calibri"/>
                <w:sz w:val="22"/>
                <w:szCs w:val="22"/>
              </w:rPr>
            </w:pPr>
            <w:r w:rsidRPr="00220C8B">
              <w:rPr>
                <w:rFonts w:cs="Calibri"/>
                <w:sz w:val="22"/>
                <w:szCs w:val="22"/>
              </w:rPr>
              <w:t>5.77</w:t>
            </w:r>
          </w:p>
        </w:tc>
        <w:tc>
          <w:tcPr>
            <w:tcW w:w="742" w:type="dxa"/>
            <w:tcBorders>
              <w:top w:val="nil"/>
              <w:left w:val="nil"/>
              <w:bottom w:val="single" w:sz="4" w:space="0" w:color="auto"/>
              <w:right w:val="single" w:sz="4" w:space="0" w:color="auto"/>
            </w:tcBorders>
            <w:shd w:val="clear" w:color="auto" w:fill="auto"/>
            <w:noWrap/>
            <w:vAlign w:val="center"/>
            <w:hideMark/>
          </w:tcPr>
          <w:p w14:paraId="55809B1C" w14:textId="77777777" w:rsidR="00220C8B" w:rsidRPr="00220C8B" w:rsidRDefault="00220C8B" w:rsidP="00220C8B">
            <w:pPr>
              <w:jc w:val="right"/>
              <w:rPr>
                <w:rFonts w:cs="Calibri"/>
                <w:sz w:val="22"/>
                <w:szCs w:val="22"/>
              </w:rPr>
            </w:pPr>
            <w:r w:rsidRPr="00220C8B">
              <w:rPr>
                <w:rFonts w:cs="Calibri"/>
                <w:sz w:val="22"/>
                <w:szCs w:val="22"/>
              </w:rPr>
              <w:t>102.7</w:t>
            </w:r>
          </w:p>
        </w:tc>
      </w:tr>
      <w:tr w:rsidR="00220C8B" w:rsidRPr="00220C8B" w14:paraId="124C448E"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30446136"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4A52349A" w14:textId="77777777" w:rsidR="00220C8B" w:rsidRPr="00220C8B" w:rsidRDefault="00220C8B" w:rsidP="00220C8B">
            <w:pPr>
              <w:jc w:val="center"/>
              <w:rPr>
                <w:rFonts w:cs="Calibri"/>
                <w:sz w:val="22"/>
                <w:szCs w:val="22"/>
              </w:rPr>
            </w:pPr>
            <w:r w:rsidRPr="00220C8B">
              <w:rPr>
                <w:rFonts w:cs="Calibri"/>
                <w:sz w:val="22"/>
                <w:szCs w:val="22"/>
              </w:rPr>
              <w:t>PGST</w:t>
            </w:r>
          </w:p>
        </w:tc>
        <w:tc>
          <w:tcPr>
            <w:tcW w:w="1392" w:type="dxa"/>
            <w:tcBorders>
              <w:top w:val="nil"/>
              <w:left w:val="nil"/>
              <w:bottom w:val="single" w:sz="4" w:space="0" w:color="auto"/>
              <w:right w:val="single" w:sz="4" w:space="0" w:color="auto"/>
            </w:tcBorders>
            <w:shd w:val="clear" w:color="auto" w:fill="auto"/>
            <w:noWrap/>
            <w:vAlign w:val="center"/>
            <w:hideMark/>
          </w:tcPr>
          <w:p w14:paraId="4EB8C592" w14:textId="77777777" w:rsidR="00220C8B" w:rsidRPr="00220C8B" w:rsidRDefault="00220C8B" w:rsidP="00220C8B">
            <w:pPr>
              <w:jc w:val="center"/>
              <w:rPr>
                <w:rFonts w:cs="Calibri"/>
                <w:sz w:val="22"/>
                <w:szCs w:val="22"/>
              </w:rPr>
            </w:pPr>
            <w:r w:rsidRPr="00220C8B">
              <w:rPr>
                <w:rFonts w:cs="Calibri"/>
                <w:sz w:val="22"/>
                <w:szCs w:val="22"/>
              </w:rPr>
              <w:t>4-7 p.m.</w:t>
            </w:r>
          </w:p>
        </w:tc>
        <w:tc>
          <w:tcPr>
            <w:tcW w:w="1238" w:type="dxa"/>
            <w:vMerge/>
            <w:tcBorders>
              <w:top w:val="nil"/>
              <w:left w:val="single" w:sz="4" w:space="0" w:color="auto"/>
              <w:bottom w:val="single" w:sz="4" w:space="0" w:color="000000"/>
              <w:right w:val="single" w:sz="4" w:space="0" w:color="auto"/>
            </w:tcBorders>
            <w:vAlign w:val="center"/>
            <w:hideMark/>
          </w:tcPr>
          <w:p w14:paraId="218052C6"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52F43C83" w14:textId="77777777" w:rsidR="00220C8B" w:rsidRPr="00220C8B" w:rsidRDefault="00220C8B" w:rsidP="00220C8B">
            <w:pPr>
              <w:jc w:val="right"/>
              <w:rPr>
                <w:rFonts w:cs="Calibri"/>
                <w:sz w:val="22"/>
                <w:szCs w:val="22"/>
              </w:rPr>
            </w:pPr>
            <w:r w:rsidRPr="00220C8B">
              <w:rPr>
                <w:rFonts w:cs="Calibri"/>
                <w:sz w:val="22"/>
                <w:szCs w:val="22"/>
              </w:rPr>
              <w:t>5,791</w:t>
            </w:r>
          </w:p>
        </w:tc>
        <w:tc>
          <w:tcPr>
            <w:tcW w:w="1067" w:type="dxa"/>
            <w:tcBorders>
              <w:top w:val="nil"/>
              <w:left w:val="nil"/>
              <w:bottom w:val="single" w:sz="4" w:space="0" w:color="auto"/>
              <w:right w:val="single" w:sz="4" w:space="0" w:color="auto"/>
            </w:tcBorders>
            <w:shd w:val="clear" w:color="auto" w:fill="auto"/>
            <w:noWrap/>
            <w:vAlign w:val="center"/>
            <w:hideMark/>
          </w:tcPr>
          <w:p w14:paraId="7EC24B79" w14:textId="77777777" w:rsidR="00220C8B" w:rsidRPr="00220C8B" w:rsidRDefault="00220C8B" w:rsidP="00220C8B">
            <w:pPr>
              <w:jc w:val="right"/>
              <w:rPr>
                <w:rFonts w:cs="Calibri"/>
                <w:sz w:val="22"/>
                <w:szCs w:val="22"/>
              </w:rPr>
            </w:pPr>
            <w:r w:rsidRPr="00220C8B">
              <w:rPr>
                <w:rFonts w:cs="Calibri"/>
                <w:sz w:val="22"/>
                <w:szCs w:val="22"/>
              </w:rPr>
              <w:t>2.77</w:t>
            </w:r>
          </w:p>
        </w:tc>
        <w:tc>
          <w:tcPr>
            <w:tcW w:w="1067" w:type="dxa"/>
            <w:tcBorders>
              <w:top w:val="nil"/>
              <w:left w:val="nil"/>
              <w:bottom w:val="single" w:sz="4" w:space="0" w:color="auto"/>
              <w:right w:val="single" w:sz="4" w:space="0" w:color="auto"/>
            </w:tcBorders>
            <w:shd w:val="clear" w:color="auto" w:fill="auto"/>
            <w:noWrap/>
            <w:vAlign w:val="center"/>
            <w:hideMark/>
          </w:tcPr>
          <w:p w14:paraId="7ED651A5" w14:textId="77777777" w:rsidR="00220C8B" w:rsidRPr="00220C8B" w:rsidRDefault="00220C8B" w:rsidP="00220C8B">
            <w:pPr>
              <w:jc w:val="right"/>
              <w:rPr>
                <w:rFonts w:cs="Calibri"/>
                <w:sz w:val="22"/>
                <w:szCs w:val="22"/>
              </w:rPr>
            </w:pPr>
            <w:r w:rsidRPr="00220C8B">
              <w:rPr>
                <w:rFonts w:cs="Calibri"/>
                <w:sz w:val="22"/>
                <w:szCs w:val="22"/>
              </w:rPr>
              <w:t>0.46</w:t>
            </w:r>
          </w:p>
        </w:tc>
        <w:tc>
          <w:tcPr>
            <w:tcW w:w="792" w:type="dxa"/>
            <w:tcBorders>
              <w:top w:val="nil"/>
              <w:left w:val="nil"/>
              <w:bottom w:val="single" w:sz="4" w:space="0" w:color="auto"/>
              <w:right w:val="single" w:sz="4" w:space="0" w:color="auto"/>
            </w:tcBorders>
            <w:shd w:val="clear" w:color="auto" w:fill="auto"/>
            <w:noWrap/>
            <w:vAlign w:val="center"/>
            <w:hideMark/>
          </w:tcPr>
          <w:p w14:paraId="7F072E55" w14:textId="77777777" w:rsidR="00220C8B" w:rsidRPr="00220C8B" w:rsidRDefault="00220C8B" w:rsidP="00220C8B">
            <w:pPr>
              <w:jc w:val="right"/>
              <w:rPr>
                <w:rFonts w:cs="Calibri"/>
                <w:sz w:val="22"/>
                <w:szCs w:val="22"/>
              </w:rPr>
            </w:pPr>
            <w:r w:rsidRPr="00220C8B">
              <w:rPr>
                <w:rFonts w:cs="Calibri"/>
                <w:sz w:val="22"/>
                <w:szCs w:val="22"/>
              </w:rPr>
              <w:t>16.7%</w:t>
            </w:r>
          </w:p>
        </w:tc>
        <w:tc>
          <w:tcPr>
            <w:tcW w:w="1063" w:type="dxa"/>
            <w:tcBorders>
              <w:top w:val="nil"/>
              <w:left w:val="nil"/>
              <w:bottom w:val="single" w:sz="4" w:space="0" w:color="auto"/>
              <w:right w:val="single" w:sz="4" w:space="0" w:color="auto"/>
            </w:tcBorders>
            <w:shd w:val="clear" w:color="auto" w:fill="auto"/>
            <w:noWrap/>
            <w:vAlign w:val="center"/>
            <w:hideMark/>
          </w:tcPr>
          <w:p w14:paraId="51897BC6" w14:textId="77777777" w:rsidR="00220C8B" w:rsidRPr="00220C8B" w:rsidRDefault="00220C8B" w:rsidP="00220C8B">
            <w:pPr>
              <w:jc w:val="right"/>
              <w:rPr>
                <w:rFonts w:cs="Calibri"/>
                <w:sz w:val="22"/>
                <w:szCs w:val="22"/>
              </w:rPr>
            </w:pPr>
            <w:r w:rsidRPr="00220C8B">
              <w:rPr>
                <w:rFonts w:cs="Calibri"/>
                <w:sz w:val="22"/>
                <w:szCs w:val="22"/>
              </w:rPr>
              <w:t>2.68</w:t>
            </w:r>
          </w:p>
        </w:tc>
        <w:tc>
          <w:tcPr>
            <w:tcW w:w="742" w:type="dxa"/>
            <w:tcBorders>
              <w:top w:val="nil"/>
              <w:left w:val="nil"/>
              <w:bottom w:val="single" w:sz="4" w:space="0" w:color="auto"/>
              <w:right w:val="single" w:sz="4" w:space="0" w:color="auto"/>
            </w:tcBorders>
            <w:shd w:val="clear" w:color="auto" w:fill="auto"/>
            <w:noWrap/>
            <w:vAlign w:val="center"/>
            <w:hideMark/>
          </w:tcPr>
          <w:p w14:paraId="225E2F60" w14:textId="77777777" w:rsidR="00220C8B" w:rsidRPr="00220C8B" w:rsidRDefault="00220C8B" w:rsidP="00220C8B">
            <w:pPr>
              <w:jc w:val="right"/>
              <w:rPr>
                <w:rFonts w:cs="Calibri"/>
                <w:sz w:val="22"/>
                <w:szCs w:val="22"/>
              </w:rPr>
            </w:pPr>
            <w:r w:rsidRPr="00220C8B">
              <w:rPr>
                <w:rFonts w:cs="Calibri"/>
                <w:sz w:val="22"/>
                <w:szCs w:val="22"/>
              </w:rPr>
              <w:t>99.3</w:t>
            </w:r>
          </w:p>
        </w:tc>
      </w:tr>
      <w:tr w:rsidR="00220C8B" w:rsidRPr="00220C8B" w14:paraId="53B9E987" w14:textId="77777777" w:rsidTr="00F51B69">
        <w:trPr>
          <w:trHeight w:val="300"/>
          <w:jc w:val="center"/>
        </w:trPr>
        <w:tc>
          <w:tcPr>
            <w:tcW w:w="8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EEA46D" w14:textId="77777777" w:rsidR="00220C8B" w:rsidRPr="00220C8B" w:rsidRDefault="00220C8B" w:rsidP="00220C8B">
            <w:pPr>
              <w:jc w:val="center"/>
              <w:rPr>
                <w:rFonts w:cs="Calibri"/>
                <w:sz w:val="22"/>
                <w:szCs w:val="22"/>
              </w:rPr>
            </w:pPr>
            <w:r w:rsidRPr="00220C8B">
              <w:rPr>
                <w:rFonts w:cs="Calibri"/>
                <w:sz w:val="22"/>
                <w:szCs w:val="22"/>
              </w:rPr>
              <w:t>26-Jul</w:t>
            </w:r>
          </w:p>
        </w:tc>
        <w:tc>
          <w:tcPr>
            <w:tcW w:w="728" w:type="dxa"/>
            <w:tcBorders>
              <w:top w:val="nil"/>
              <w:left w:val="nil"/>
              <w:bottom w:val="single" w:sz="4" w:space="0" w:color="auto"/>
              <w:right w:val="single" w:sz="4" w:space="0" w:color="auto"/>
            </w:tcBorders>
            <w:shd w:val="clear" w:color="auto" w:fill="auto"/>
            <w:noWrap/>
            <w:vAlign w:val="center"/>
            <w:hideMark/>
          </w:tcPr>
          <w:p w14:paraId="68269CD9" w14:textId="77777777" w:rsidR="00220C8B" w:rsidRPr="00220C8B" w:rsidRDefault="00220C8B" w:rsidP="00220C8B">
            <w:pPr>
              <w:jc w:val="center"/>
              <w:rPr>
                <w:rFonts w:cs="Calibri"/>
                <w:sz w:val="22"/>
                <w:szCs w:val="22"/>
              </w:rPr>
            </w:pPr>
            <w:r w:rsidRPr="00220C8B">
              <w:rPr>
                <w:rFonts w:cs="Calibri"/>
                <w:sz w:val="22"/>
                <w:szCs w:val="22"/>
              </w:rPr>
              <w:t>PGEB</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5C13F7" w14:textId="77777777" w:rsidR="00220C8B" w:rsidRPr="00220C8B" w:rsidRDefault="00220C8B" w:rsidP="00220C8B">
            <w:pPr>
              <w:jc w:val="center"/>
              <w:rPr>
                <w:rFonts w:cs="Calibri"/>
                <w:sz w:val="22"/>
                <w:szCs w:val="22"/>
              </w:rPr>
            </w:pPr>
            <w:r w:rsidRPr="00220C8B">
              <w:rPr>
                <w:rFonts w:cs="Calibri"/>
                <w:sz w:val="22"/>
                <w:szCs w:val="22"/>
              </w:rPr>
              <w:t>4-7 p.m.</w:t>
            </w:r>
          </w:p>
        </w:tc>
        <w:tc>
          <w:tcPr>
            <w:tcW w:w="12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76AA1E" w14:textId="77777777" w:rsidR="00220C8B" w:rsidRPr="00220C8B" w:rsidRDefault="00220C8B" w:rsidP="00220C8B">
            <w:pPr>
              <w:jc w:val="center"/>
              <w:rPr>
                <w:rFonts w:cs="Calibri"/>
                <w:sz w:val="22"/>
                <w:szCs w:val="22"/>
              </w:rPr>
            </w:pPr>
            <w:r w:rsidRPr="00220C8B">
              <w:rPr>
                <w:rFonts w:cs="Calibri"/>
                <w:sz w:val="22"/>
                <w:szCs w:val="22"/>
              </w:rPr>
              <w:t>Yes</w:t>
            </w:r>
          </w:p>
        </w:tc>
        <w:tc>
          <w:tcPr>
            <w:tcW w:w="851" w:type="dxa"/>
            <w:tcBorders>
              <w:top w:val="nil"/>
              <w:left w:val="nil"/>
              <w:bottom w:val="single" w:sz="4" w:space="0" w:color="auto"/>
              <w:right w:val="single" w:sz="4" w:space="0" w:color="auto"/>
            </w:tcBorders>
            <w:shd w:val="clear" w:color="auto" w:fill="auto"/>
            <w:noWrap/>
            <w:vAlign w:val="center"/>
            <w:hideMark/>
          </w:tcPr>
          <w:p w14:paraId="5A69345D" w14:textId="77777777" w:rsidR="00220C8B" w:rsidRPr="00220C8B" w:rsidRDefault="00220C8B" w:rsidP="00220C8B">
            <w:pPr>
              <w:jc w:val="right"/>
              <w:rPr>
                <w:rFonts w:cs="Calibri"/>
                <w:sz w:val="22"/>
                <w:szCs w:val="22"/>
              </w:rPr>
            </w:pPr>
            <w:r w:rsidRPr="00220C8B">
              <w:rPr>
                <w:rFonts w:cs="Calibri"/>
                <w:sz w:val="22"/>
                <w:szCs w:val="22"/>
              </w:rPr>
              <w:t>17,866</w:t>
            </w:r>
          </w:p>
        </w:tc>
        <w:tc>
          <w:tcPr>
            <w:tcW w:w="1067" w:type="dxa"/>
            <w:tcBorders>
              <w:top w:val="nil"/>
              <w:left w:val="nil"/>
              <w:bottom w:val="single" w:sz="4" w:space="0" w:color="auto"/>
              <w:right w:val="single" w:sz="4" w:space="0" w:color="auto"/>
            </w:tcBorders>
            <w:shd w:val="clear" w:color="auto" w:fill="auto"/>
            <w:noWrap/>
            <w:vAlign w:val="center"/>
            <w:hideMark/>
          </w:tcPr>
          <w:p w14:paraId="110AAA1B" w14:textId="77777777" w:rsidR="00220C8B" w:rsidRPr="00220C8B" w:rsidRDefault="00220C8B" w:rsidP="00220C8B">
            <w:pPr>
              <w:jc w:val="right"/>
              <w:rPr>
                <w:rFonts w:cs="Calibri"/>
                <w:sz w:val="22"/>
                <w:szCs w:val="22"/>
              </w:rPr>
            </w:pPr>
            <w:r w:rsidRPr="00220C8B">
              <w:rPr>
                <w:rFonts w:cs="Calibri"/>
                <w:sz w:val="22"/>
                <w:szCs w:val="22"/>
              </w:rPr>
              <w:t>1.97</w:t>
            </w:r>
          </w:p>
        </w:tc>
        <w:tc>
          <w:tcPr>
            <w:tcW w:w="1067" w:type="dxa"/>
            <w:tcBorders>
              <w:top w:val="nil"/>
              <w:left w:val="nil"/>
              <w:bottom w:val="single" w:sz="4" w:space="0" w:color="auto"/>
              <w:right w:val="single" w:sz="4" w:space="0" w:color="auto"/>
            </w:tcBorders>
            <w:shd w:val="clear" w:color="auto" w:fill="auto"/>
            <w:noWrap/>
            <w:vAlign w:val="center"/>
            <w:hideMark/>
          </w:tcPr>
          <w:p w14:paraId="612C8AE0" w14:textId="77777777" w:rsidR="00220C8B" w:rsidRPr="00220C8B" w:rsidRDefault="00220C8B" w:rsidP="00220C8B">
            <w:pPr>
              <w:jc w:val="right"/>
              <w:rPr>
                <w:rFonts w:cs="Calibri"/>
                <w:sz w:val="22"/>
                <w:szCs w:val="22"/>
              </w:rPr>
            </w:pPr>
            <w:r w:rsidRPr="00220C8B">
              <w:rPr>
                <w:rFonts w:cs="Calibri"/>
                <w:sz w:val="22"/>
                <w:szCs w:val="22"/>
              </w:rPr>
              <w:t>0.30</w:t>
            </w:r>
          </w:p>
        </w:tc>
        <w:tc>
          <w:tcPr>
            <w:tcW w:w="792" w:type="dxa"/>
            <w:tcBorders>
              <w:top w:val="nil"/>
              <w:left w:val="nil"/>
              <w:bottom w:val="single" w:sz="4" w:space="0" w:color="auto"/>
              <w:right w:val="single" w:sz="4" w:space="0" w:color="auto"/>
            </w:tcBorders>
            <w:shd w:val="clear" w:color="auto" w:fill="auto"/>
            <w:noWrap/>
            <w:vAlign w:val="center"/>
            <w:hideMark/>
          </w:tcPr>
          <w:p w14:paraId="04D88EA4" w14:textId="77777777" w:rsidR="00220C8B" w:rsidRPr="00220C8B" w:rsidRDefault="00220C8B" w:rsidP="00220C8B">
            <w:pPr>
              <w:jc w:val="right"/>
              <w:rPr>
                <w:rFonts w:cs="Calibri"/>
                <w:sz w:val="22"/>
                <w:szCs w:val="22"/>
              </w:rPr>
            </w:pPr>
            <w:r w:rsidRPr="00220C8B">
              <w:rPr>
                <w:rFonts w:cs="Calibri"/>
                <w:sz w:val="22"/>
                <w:szCs w:val="22"/>
              </w:rPr>
              <w:t>15.4%</w:t>
            </w:r>
          </w:p>
        </w:tc>
        <w:tc>
          <w:tcPr>
            <w:tcW w:w="1063" w:type="dxa"/>
            <w:tcBorders>
              <w:top w:val="nil"/>
              <w:left w:val="nil"/>
              <w:bottom w:val="single" w:sz="4" w:space="0" w:color="auto"/>
              <w:right w:val="single" w:sz="4" w:space="0" w:color="auto"/>
            </w:tcBorders>
            <w:shd w:val="clear" w:color="auto" w:fill="auto"/>
            <w:noWrap/>
            <w:vAlign w:val="center"/>
            <w:hideMark/>
          </w:tcPr>
          <w:p w14:paraId="02E4E633" w14:textId="77777777" w:rsidR="00220C8B" w:rsidRPr="00220C8B" w:rsidRDefault="00220C8B" w:rsidP="00220C8B">
            <w:pPr>
              <w:jc w:val="right"/>
              <w:rPr>
                <w:rFonts w:cs="Calibri"/>
                <w:sz w:val="22"/>
                <w:szCs w:val="22"/>
              </w:rPr>
            </w:pPr>
            <w:r w:rsidRPr="00220C8B">
              <w:rPr>
                <w:rFonts w:cs="Calibri"/>
                <w:sz w:val="22"/>
                <w:szCs w:val="22"/>
              </w:rPr>
              <w:t>5.41</w:t>
            </w:r>
          </w:p>
        </w:tc>
        <w:tc>
          <w:tcPr>
            <w:tcW w:w="742" w:type="dxa"/>
            <w:tcBorders>
              <w:top w:val="nil"/>
              <w:left w:val="nil"/>
              <w:bottom w:val="single" w:sz="4" w:space="0" w:color="auto"/>
              <w:right w:val="single" w:sz="4" w:space="0" w:color="auto"/>
            </w:tcBorders>
            <w:shd w:val="clear" w:color="auto" w:fill="auto"/>
            <w:noWrap/>
            <w:vAlign w:val="center"/>
            <w:hideMark/>
          </w:tcPr>
          <w:p w14:paraId="225FE3FB" w14:textId="77777777" w:rsidR="00220C8B" w:rsidRPr="00220C8B" w:rsidRDefault="00220C8B" w:rsidP="00220C8B">
            <w:pPr>
              <w:jc w:val="right"/>
              <w:rPr>
                <w:rFonts w:cs="Calibri"/>
                <w:sz w:val="22"/>
                <w:szCs w:val="22"/>
              </w:rPr>
            </w:pPr>
            <w:r w:rsidRPr="00220C8B">
              <w:rPr>
                <w:rFonts w:cs="Calibri"/>
                <w:sz w:val="22"/>
                <w:szCs w:val="22"/>
              </w:rPr>
              <w:t>88.4</w:t>
            </w:r>
          </w:p>
        </w:tc>
      </w:tr>
      <w:tr w:rsidR="00220C8B" w:rsidRPr="00220C8B" w14:paraId="69F5FA11"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1E40CC9E"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36F68471" w14:textId="77777777" w:rsidR="00220C8B" w:rsidRPr="00220C8B" w:rsidRDefault="00220C8B" w:rsidP="00220C8B">
            <w:pPr>
              <w:jc w:val="center"/>
              <w:rPr>
                <w:rFonts w:cs="Calibri"/>
                <w:sz w:val="22"/>
                <w:szCs w:val="22"/>
              </w:rPr>
            </w:pPr>
            <w:r w:rsidRPr="00220C8B">
              <w:rPr>
                <w:rFonts w:cs="Calibri"/>
                <w:sz w:val="22"/>
                <w:szCs w:val="22"/>
              </w:rPr>
              <w:t>PGFG</w:t>
            </w:r>
          </w:p>
        </w:tc>
        <w:tc>
          <w:tcPr>
            <w:tcW w:w="1392" w:type="dxa"/>
            <w:vMerge/>
            <w:tcBorders>
              <w:top w:val="nil"/>
              <w:left w:val="single" w:sz="4" w:space="0" w:color="auto"/>
              <w:bottom w:val="single" w:sz="4" w:space="0" w:color="000000"/>
              <w:right w:val="single" w:sz="4" w:space="0" w:color="auto"/>
            </w:tcBorders>
            <w:vAlign w:val="center"/>
            <w:hideMark/>
          </w:tcPr>
          <w:p w14:paraId="2A43C1FD"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0475BFB6"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34485075" w14:textId="77777777" w:rsidR="00220C8B" w:rsidRPr="00220C8B" w:rsidRDefault="00220C8B" w:rsidP="00220C8B">
            <w:pPr>
              <w:jc w:val="right"/>
              <w:rPr>
                <w:rFonts w:cs="Calibri"/>
                <w:sz w:val="22"/>
                <w:szCs w:val="22"/>
              </w:rPr>
            </w:pPr>
            <w:r w:rsidRPr="00220C8B">
              <w:rPr>
                <w:rFonts w:cs="Calibri"/>
                <w:sz w:val="22"/>
                <w:szCs w:val="22"/>
              </w:rPr>
              <w:t>2,078</w:t>
            </w:r>
          </w:p>
        </w:tc>
        <w:tc>
          <w:tcPr>
            <w:tcW w:w="1067" w:type="dxa"/>
            <w:tcBorders>
              <w:top w:val="nil"/>
              <w:left w:val="nil"/>
              <w:bottom w:val="single" w:sz="4" w:space="0" w:color="auto"/>
              <w:right w:val="single" w:sz="4" w:space="0" w:color="auto"/>
            </w:tcBorders>
            <w:shd w:val="clear" w:color="auto" w:fill="auto"/>
            <w:noWrap/>
            <w:vAlign w:val="center"/>
            <w:hideMark/>
          </w:tcPr>
          <w:p w14:paraId="554359D7" w14:textId="77777777" w:rsidR="00220C8B" w:rsidRPr="00220C8B" w:rsidRDefault="00220C8B" w:rsidP="00220C8B">
            <w:pPr>
              <w:jc w:val="right"/>
              <w:rPr>
                <w:rFonts w:cs="Calibri"/>
                <w:sz w:val="22"/>
                <w:szCs w:val="22"/>
              </w:rPr>
            </w:pPr>
            <w:r w:rsidRPr="00220C8B">
              <w:rPr>
                <w:rFonts w:cs="Calibri"/>
                <w:sz w:val="22"/>
                <w:szCs w:val="22"/>
              </w:rPr>
              <w:t>1.20</w:t>
            </w:r>
          </w:p>
        </w:tc>
        <w:tc>
          <w:tcPr>
            <w:tcW w:w="1067" w:type="dxa"/>
            <w:tcBorders>
              <w:top w:val="nil"/>
              <w:left w:val="nil"/>
              <w:bottom w:val="single" w:sz="4" w:space="0" w:color="auto"/>
              <w:right w:val="single" w:sz="4" w:space="0" w:color="auto"/>
            </w:tcBorders>
            <w:shd w:val="clear" w:color="auto" w:fill="auto"/>
            <w:noWrap/>
            <w:vAlign w:val="center"/>
            <w:hideMark/>
          </w:tcPr>
          <w:p w14:paraId="13DA75EF" w14:textId="77777777" w:rsidR="00220C8B" w:rsidRPr="00220C8B" w:rsidRDefault="00220C8B" w:rsidP="00220C8B">
            <w:pPr>
              <w:jc w:val="right"/>
              <w:rPr>
                <w:rFonts w:cs="Calibri"/>
                <w:sz w:val="22"/>
                <w:szCs w:val="22"/>
              </w:rPr>
            </w:pPr>
            <w:r w:rsidRPr="00220C8B">
              <w:rPr>
                <w:rFonts w:cs="Calibri"/>
                <w:sz w:val="22"/>
                <w:szCs w:val="22"/>
              </w:rPr>
              <w:t>0.11</w:t>
            </w:r>
          </w:p>
        </w:tc>
        <w:tc>
          <w:tcPr>
            <w:tcW w:w="792" w:type="dxa"/>
            <w:tcBorders>
              <w:top w:val="nil"/>
              <w:left w:val="nil"/>
              <w:bottom w:val="single" w:sz="4" w:space="0" w:color="auto"/>
              <w:right w:val="single" w:sz="4" w:space="0" w:color="auto"/>
            </w:tcBorders>
            <w:shd w:val="clear" w:color="auto" w:fill="auto"/>
            <w:noWrap/>
            <w:vAlign w:val="center"/>
            <w:hideMark/>
          </w:tcPr>
          <w:p w14:paraId="3EEB09B9" w14:textId="77777777" w:rsidR="00220C8B" w:rsidRPr="00220C8B" w:rsidRDefault="00220C8B" w:rsidP="00220C8B">
            <w:pPr>
              <w:jc w:val="right"/>
              <w:rPr>
                <w:rFonts w:cs="Calibri"/>
                <w:sz w:val="22"/>
                <w:szCs w:val="22"/>
              </w:rPr>
            </w:pPr>
            <w:r w:rsidRPr="00220C8B">
              <w:rPr>
                <w:rFonts w:cs="Calibri"/>
                <w:sz w:val="22"/>
                <w:szCs w:val="22"/>
              </w:rPr>
              <w:t>8.8%</w:t>
            </w:r>
          </w:p>
        </w:tc>
        <w:tc>
          <w:tcPr>
            <w:tcW w:w="1063" w:type="dxa"/>
            <w:tcBorders>
              <w:top w:val="nil"/>
              <w:left w:val="nil"/>
              <w:bottom w:val="single" w:sz="4" w:space="0" w:color="auto"/>
              <w:right w:val="single" w:sz="4" w:space="0" w:color="auto"/>
            </w:tcBorders>
            <w:shd w:val="clear" w:color="auto" w:fill="auto"/>
            <w:noWrap/>
            <w:vAlign w:val="center"/>
            <w:hideMark/>
          </w:tcPr>
          <w:p w14:paraId="59E0C503" w14:textId="77777777" w:rsidR="00220C8B" w:rsidRPr="00220C8B" w:rsidRDefault="00220C8B" w:rsidP="00220C8B">
            <w:pPr>
              <w:jc w:val="right"/>
              <w:rPr>
                <w:rFonts w:cs="Calibri"/>
                <w:sz w:val="22"/>
                <w:szCs w:val="22"/>
              </w:rPr>
            </w:pPr>
            <w:r w:rsidRPr="00220C8B">
              <w:rPr>
                <w:rFonts w:cs="Calibri"/>
                <w:sz w:val="22"/>
                <w:szCs w:val="22"/>
              </w:rPr>
              <w:t>0.22</w:t>
            </w:r>
          </w:p>
        </w:tc>
        <w:tc>
          <w:tcPr>
            <w:tcW w:w="742" w:type="dxa"/>
            <w:tcBorders>
              <w:top w:val="nil"/>
              <w:left w:val="nil"/>
              <w:bottom w:val="single" w:sz="4" w:space="0" w:color="auto"/>
              <w:right w:val="single" w:sz="4" w:space="0" w:color="auto"/>
            </w:tcBorders>
            <w:shd w:val="clear" w:color="auto" w:fill="auto"/>
            <w:noWrap/>
            <w:vAlign w:val="center"/>
            <w:hideMark/>
          </w:tcPr>
          <w:p w14:paraId="1EF2F6E2" w14:textId="77777777" w:rsidR="00220C8B" w:rsidRPr="00220C8B" w:rsidRDefault="00220C8B" w:rsidP="00220C8B">
            <w:pPr>
              <w:jc w:val="right"/>
              <w:rPr>
                <w:rFonts w:cs="Calibri"/>
                <w:sz w:val="22"/>
                <w:szCs w:val="22"/>
              </w:rPr>
            </w:pPr>
            <w:r w:rsidRPr="00220C8B">
              <w:rPr>
                <w:rFonts w:cs="Calibri"/>
                <w:sz w:val="22"/>
                <w:szCs w:val="22"/>
              </w:rPr>
              <w:t>77.0</w:t>
            </w:r>
          </w:p>
        </w:tc>
      </w:tr>
      <w:tr w:rsidR="00220C8B" w:rsidRPr="00220C8B" w14:paraId="762F1232"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1C874056"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0BBBD4C6" w14:textId="77777777" w:rsidR="00220C8B" w:rsidRPr="00220C8B" w:rsidRDefault="00220C8B" w:rsidP="00220C8B">
            <w:pPr>
              <w:jc w:val="center"/>
              <w:rPr>
                <w:rFonts w:cs="Calibri"/>
                <w:sz w:val="22"/>
                <w:szCs w:val="22"/>
              </w:rPr>
            </w:pPr>
            <w:r w:rsidRPr="00220C8B">
              <w:rPr>
                <w:rFonts w:cs="Calibri"/>
                <w:sz w:val="22"/>
                <w:szCs w:val="22"/>
              </w:rPr>
              <w:t>PGNC</w:t>
            </w:r>
          </w:p>
        </w:tc>
        <w:tc>
          <w:tcPr>
            <w:tcW w:w="1392" w:type="dxa"/>
            <w:tcBorders>
              <w:top w:val="nil"/>
              <w:left w:val="nil"/>
              <w:bottom w:val="nil"/>
              <w:right w:val="single" w:sz="4" w:space="0" w:color="auto"/>
            </w:tcBorders>
            <w:shd w:val="clear" w:color="auto" w:fill="auto"/>
            <w:noWrap/>
            <w:vAlign w:val="center"/>
            <w:hideMark/>
          </w:tcPr>
          <w:p w14:paraId="3FDE65E1" w14:textId="77777777" w:rsidR="00220C8B" w:rsidRPr="00220C8B" w:rsidRDefault="00220C8B" w:rsidP="00220C8B">
            <w:pPr>
              <w:jc w:val="center"/>
              <w:rPr>
                <w:rFonts w:cs="Calibri"/>
                <w:sz w:val="22"/>
                <w:szCs w:val="22"/>
              </w:rPr>
            </w:pPr>
            <w:r w:rsidRPr="00220C8B">
              <w:rPr>
                <w:rFonts w:cs="Calibri"/>
                <w:sz w:val="22"/>
                <w:szCs w:val="22"/>
              </w:rPr>
              <w:t>3-6 p.m.</w:t>
            </w:r>
          </w:p>
        </w:tc>
        <w:tc>
          <w:tcPr>
            <w:tcW w:w="1238" w:type="dxa"/>
            <w:vMerge/>
            <w:tcBorders>
              <w:top w:val="nil"/>
              <w:left w:val="single" w:sz="4" w:space="0" w:color="auto"/>
              <w:bottom w:val="single" w:sz="4" w:space="0" w:color="000000"/>
              <w:right w:val="single" w:sz="4" w:space="0" w:color="auto"/>
            </w:tcBorders>
            <w:vAlign w:val="center"/>
            <w:hideMark/>
          </w:tcPr>
          <w:p w14:paraId="51F73A2F"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148007ED" w14:textId="77777777" w:rsidR="00220C8B" w:rsidRPr="00220C8B" w:rsidRDefault="00220C8B" w:rsidP="00220C8B">
            <w:pPr>
              <w:jc w:val="right"/>
              <w:rPr>
                <w:rFonts w:cs="Calibri"/>
                <w:sz w:val="22"/>
                <w:szCs w:val="22"/>
              </w:rPr>
            </w:pPr>
            <w:r w:rsidRPr="00220C8B">
              <w:rPr>
                <w:rFonts w:cs="Calibri"/>
                <w:sz w:val="22"/>
                <w:szCs w:val="22"/>
              </w:rPr>
              <w:t>624</w:t>
            </w:r>
          </w:p>
        </w:tc>
        <w:tc>
          <w:tcPr>
            <w:tcW w:w="1067" w:type="dxa"/>
            <w:tcBorders>
              <w:top w:val="nil"/>
              <w:left w:val="nil"/>
              <w:bottom w:val="single" w:sz="4" w:space="0" w:color="auto"/>
              <w:right w:val="single" w:sz="4" w:space="0" w:color="auto"/>
            </w:tcBorders>
            <w:shd w:val="clear" w:color="auto" w:fill="auto"/>
            <w:noWrap/>
            <w:vAlign w:val="center"/>
            <w:hideMark/>
          </w:tcPr>
          <w:p w14:paraId="0EBCC353" w14:textId="77777777" w:rsidR="00220C8B" w:rsidRPr="00220C8B" w:rsidRDefault="00220C8B" w:rsidP="00220C8B">
            <w:pPr>
              <w:jc w:val="right"/>
              <w:rPr>
                <w:rFonts w:cs="Calibri"/>
                <w:sz w:val="22"/>
                <w:szCs w:val="22"/>
              </w:rPr>
            </w:pPr>
            <w:r w:rsidRPr="00220C8B">
              <w:rPr>
                <w:rFonts w:cs="Calibri"/>
                <w:sz w:val="22"/>
                <w:szCs w:val="22"/>
              </w:rPr>
              <w:t>2.42</w:t>
            </w:r>
          </w:p>
        </w:tc>
        <w:tc>
          <w:tcPr>
            <w:tcW w:w="1067" w:type="dxa"/>
            <w:tcBorders>
              <w:top w:val="nil"/>
              <w:left w:val="nil"/>
              <w:bottom w:val="single" w:sz="4" w:space="0" w:color="auto"/>
              <w:right w:val="single" w:sz="4" w:space="0" w:color="auto"/>
            </w:tcBorders>
            <w:shd w:val="clear" w:color="auto" w:fill="auto"/>
            <w:noWrap/>
            <w:vAlign w:val="center"/>
            <w:hideMark/>
          </w:tcPr>
          <w:p w14:paraId="7A9E11C7" w14:textId="77777777" w:rsidR="00220C8B" w:rsidRPr="00220C8B" w:rsidRDefault="00220C8B" w:rsidP="00220C8B">
            <w:pPr>
              <w:jc w:val="right"/>
              <w:rPr>
                <w:rFonts w:cs="Calibri"/>
                <w:sz w:val="22"/>
                <w:szCs w:val="22"/>
              </w:rPr>
            </w:pPr>
            <w:r w:rsidRPr="00220C8B">
              <w:rPr>
                <w:rFonts w:cs="Calibri"/>
                <w:sz w:val="22"/>
                <w:szCs w:val="22"/>
              </w:rPr>
              <w:t>0.24</w:t>
            </w:r>
          </w:p>
        </w:tc>
        <w:tc>
          <w:tcPr>
            <w:tcW w:w="792" w:type="dxa"/>
            <w:tcBorders>
              <w:top w:val="nil"/>
              <w:left w:val="nil"/>
              <w:bottom w:val="single" w:sz="4" w:space="0" w:color="auto"/>
              <w:right w:val="single" w:sz="4" w:space="0" w:color="auto"/>
            </w:tcBorders>
            <w:shd w:val="clear" w:color="auto" w:fill="auto"/>
            <w:noWrap/>
            <w:vAlign w:val="center"/>
            <w:hideMark/>
          </w:tcPr>
          <w:p w14:paraId="1D1CFC33" w14:textId="77777777" w:rsidR="00220C8B" w:rsidRPr="00220C8B" w:rsidRDefault="00220C8B" w:rsidP="00220C8B">
            <w:pPr>
              <w:jc w:val="right"/>
              <w:rPr>
                <w:rFonts w:cs="Calibri"/>
                <w:sz w:val="22"/>
                <w:szCs w:val="22"/>
              </w:rPr>
            </w:pPr>
            <w:r w:rsidRPr="00220C8B">
              <w:rPr>
                <w:rFonts w:cs="Calibri"/>
                <w:sz w:val="22"/>
                <w:szCs w:val="22"/>
              </w:rPr>
              <w:t>9.9%</w:t>
            </w:r>
          </w:p>
        </w:tc>
        <w:tc>
          <w:tcPr>
            <w:tcW w:w="1063" w:type="dxa"/>
            <w:tcBorders>
              <w:top w:val="nil"/>
              <w:left w:val="nil"/>
              <w:bottom w:val="single" w:sz="4" w:space="0" w:color="auto"/>
              <w:right w:val="single" w:sz="4" w:space="0" w:color="auto"/>
            </w:tcBorders>
            <w:shd w:val="clear" w:color="auto" w:fill="auto"/>
            <w:noWrap/>
            <w:vAlign w:val="center"/>
            <w:hideMark/>
          </w:tcPr>
          <w:p w14:paraId="7C040292" w14:textId="77777777" w:rsidR="00220C8B" w:rsidRPr="00220C8B" w:rsidRDefault="00220C8B" w:rsidP="00220C8B">
            <w:pPr>
              <w:jc w:val="right"/>
              <w:rPr>
                <w:rFonts w:cs="Calibri"/>
                <w:sz w:val="22"/>
                <w:szCs w:val="22"/>
              </w:rPr>
            </w:pPr>
            <w:r w:rsidRPr="00220C8B">
              <w:rPr>
                <w:rFonts w:cs="Calibri"/>
                <w:sz w:val="22"/>
                <w:szCs w:val="22"/>
              </w:rPr>
              <w:t>0.15</w:t>
            </w:r>
          </w:p>
        </w:tc>
        <w:tc>
          <w:tcPr>
            <w:tcW w:w="742" w:type="dxa"/>
            <w:tcBorders>
              <w:top w:val="nil"/>
              <w:left w:val="nil"/>
              <w:bottom w:val="single" w:sz="4" w:space="0" w:color="auto"/>
              <w:right w:val="single" w:sz="4" w:space="0" w:color="auto"/>
            </w:tcBorders>
            <w:shd w:val="clear" w:color="auto" w:fill="auto"/>
            <w:noWrap/>
            <w:vAlign w:val="center"/>
            <w:hideMark/>
          </w:tcPr>
          <w:p w14:paraId="40E39745" w14:textId="77777777" w:rsidR="00220C8B" w:rsidRPr="00220C8B" w:rsidRDefault="00220C8B" w:rsidP="00220C8B">
            <w:pPr>
              <w:jc w:val="right"/>
              <w:rPr>
                <w:rFonts w:cs="Calibri"/>
                <w:sz w:val="22"/>
                <w:szCs w:val="22"/>
              </w:rPr>
            </w:pPr>
            <w:r w:rsidRPr="00220C8B">
              <w:rPr>
                <w:rFonts w:cs="Calibri"/>
                <w:sz w:val="22"/>
                <w:szCs w:val="22"/>
              </w:rPr>
              <w:t>95.5</w:t>
            </w:r>
          </w:p>
        </w:tc>
      </w:tr>
      <w:tr w:rsidR="00220C8B" w:rsidRPr="00220C8B" w14:paraId="2F45E555"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06DA0A18"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75C1ECFE" w14:textId="77777777" w:rsidR="00220C8B" w:rsidRPr="00220C8B" w:rsidRDefault="00220C8B" w:rsidP="00220C8B">
            <w:pPr>
              <w:jc w:val="center"/>
              <w:rPr>
                <w:rFonts w:cs="Calibri"/>
                <w:sz w:val="22"/>
                <w:szCs w:val="22"/>
              </w:rPr>
            </w:pPr>
            <w:r w:rsidRPr="00220C8B">
              <w:rPr>
                <w:rFonts w:cs="Calibri"/>
                <w:sz w:val="22"/>
                <w:szCs w:val="22"/>
              </w:rPr>
              <w:t>PGST</w:t>
            </w:r>
          </w:p>
        </w:tc>
        <w:tc>
          <w:tcPr>
            <w:tcW w:w="13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BADC7E8" w14:textId="77777777" w:rsidR="00220C8B" w:rsidRPr="00220C8B" w:rsidRDefault="00220C8B" w:rsidP="00220C8B">
            <w:pPr>
              <w:jc w:val="center"/>
              <w:rPr>
                <w:rFonts w:cs="Calibri"/>
                <w:sz w:val="22"/>
                <w:szCs w:val="22"/>
              </w:rPr>
            </w:pPr>
            <w:r w:rsidRPr="00220C8B">
              <w:rPr>
                <w:rFonts w:cs="Calibri"/>
                <w:sz w:val="22"/>
                <w:szCs w:val="22"/>
              </w:rPr>
              <w:t>4-7 p.m.</w:t>
            </w:r>
          </w:p>
        </w:tc>
        <w:tc>
          <w:tcPr>
            <w:tcW w:w="1238" w:type="dxa"/>
            <w:vMerge/>
            <w:tcBorders>
              <w:top w:val="nil"/>
              <w:left w:val="single" w:sz="4" w:space="0" w:color="auto"/>
              <w:bottom w:val="single" w:sz="4" w:space="0" w:color="000000"/>
              <w:right w:val="single" w:sz="4" w:space="0" w:color="auto"/>
            </w:tcBorders>
            <w:vAlign w:val="center"/>
            <w:hideMark/>
          </w:tcPr>
          <w:p w14:paraId="44DADE08"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1B84AF14" w14:textId="77777777" w:rsidR="00220C8B" w:rsidRPr="00220C8B" w:rsidRDefault="00220C8B" w:rsidP="00220C8B">
            <w:pPr>
              <w:jc w:val="right"/>
              <w:rPr>
                <w:rFonts w:cs="Calibri"/>
                <w:sz w:val="22"/>
                <w:szCs w:val="22"/>
              </w:rPr>
            </w:pPr>
            <w:r w:rsidRPr="00220C8B">
              <w:rPr>
                <w:rFonts w:cs="Calibri"/>
                <w:sz w:val="22"/>
                <w:szCs w:val="22"/>
              </w:rPr>
              <w:t>5,787</w:t>
            </w:r>
          </w:p>
        </w:tc>
        <w:tc>
          <w:tcPr>
            <w:tcW w:w="1067" w:type="dxa"/>
            <w:tcBorders>
              <w:top w:val="nil"/>
              <w:left w:val="nil"/>
              <w:bottom w:val="single" w:sz="4" w:space="0" w:color="auto"/>
              <w:right w:val="single" w:sz="4" w:space="0" w:color="auto"/>
            </w:tcBorders>
            <w:shd w:val="clear" w:color="auto" w:fill="auto"/>
            <w:noWrap/>
            <w:vAlign w:val="center"/>
            <w:hideMark/>
          </w:tcPr>
          <w:p w14:paraId="4C3D4165" w14:textId="77777777" w:rsidR="00220C8B" w:rsidRPr="00220C8B" w:rsidRDefault="00220C8B" w:rsidP="00220C8B">
            <w:pPr>
              <w:jc w:val="right"/>
              <w:rPr>
                <w:rFonts w:cs="Calibri"/>
                <w:sz w:val="22"/>
                <w:szCs w:val="22"/>
              </w:rPr>
            </w:pPr>
            <w:r w:rsidRPr="00220C8B">
              <w:rPr>
                <w:rFonts w:cs="Calibri"/>
                <w:sz w:val="22"/>
                <w:szCs w:val="22"/>
              </w:rPr>
              <w:t>2.78</w:t>
            </w:r>
          </w:p>
        </w:tc>
        <w:tc>
          <w:tcPr>
            <w:tcW w:w="1067" w:type="dxa"/>
            <w:tcBorders>
              <w:top w:val="nil"/>
              <w:left w:val="nil"/>
              <w:bottom w:val="single" w:sz="4" w:space="0" w:color="auto"/>
              <w:right w:val="single" w:sz="4" w:space="0" w:color="auto"/>
            </w:tcBorders>
            <w:shd w:val="clear" w:color="auto" w:fill="auto"/>
            <w:noWrap/>
            <w:vAlign w:val="center"/>
            <w:hideMark/>
          </w:tcPr>
          <w:p w14:paraId="6502A332" w14:textId="77777777" w:rsidR="00220C8B" w:rsidRPr="00220C8B" w:rsidRDefault="00220C8B" w:rsidP="00220C8B">
            <w:pPr>
              <w:jc w:val="right"/>
              <w:rPr>
                <w:rFonts w:cs="Calibri"/>
                <w:sz w:val="22"/>
                <w:szCs w:val="22"/>
              </w:rPr>
            </w:pPr>
            <w:r w:rsidRPr="00220C8B">
              <w:rPr>
                <w:rFonts w:cs="Calibri"/>
                <w:sz w:val="22"/>
                <w:szCs w:val="22"/>
              </w:rPr>
              <w:t>0.46</w:t>
            </w:r>
          </w:p>
        </w:tc>
        <w:tc>
          <w:tcPr>
            <w:tcW w:w="792" w:type="dxa"/>
            <w:tcBorders>
              <w:top w:val="nil"/>
              <w:left w:val="nil"/>
              <w:bottom w:val="single" w:sz="4" w:space="0" w:color="auto"/>
              <w:right w:val="single" w:sz="4" w:space="0" w:color="auto"/>
            </w:tcBorders>
            <w:shd w:val="clear" w:color="auto" w:fill="auto"/>
            <w:noWrap/>
            <w:vAlign w:val="center"/>
            <w:hideMark/>
          </w:tcPr>
          <w:p w14:paraId="313B9765" w14:textId="77777777" w:rsidR="00220C8B" w:rsidRPr="00220C8B" w:rsidRDefault="00220C8B" w:rsidP="00220C8B">
            <w:pPr>
              <w:jc w:val="right"/>
              <w:rPr>
                <w:rFonts w:cs="Calibri"/>
                <w:sz w:val="22"/>
                <w:szCs w:val="22"/>
              </w:rPr>
            </w:pPr>
            <w:r w:rsidRPr="00220C8B">
              <w:rPr>
                <w:rFonts w:cs="Calibri"/>
                <w:sz w:val="22"/>
                <w:szCs w:val="22"/>
              </w:rPr>
              <w:t>16.4%</w:t>
            </w:r>
          </w:p>
        </w:tc>
        <w:tc>
          <w:tcPr>
            <w:tcW w:w="1063" w:type="dxa"/>
            <w:tcBorders>
              <w:top w:val="nil"/>
              <w:left w:val="nil"/>
              <w:bottom w:val="single" w:sz="4" w:space="0" w:color="auto"/>
              <w:right w:val="single" w:sz="4" w:space="0" w:color="auto"/>
            </w:tcBorders>
            <w:shd w:val="clear" w:color="auto" w:fill="auto"/>
            <w:noWrap/>
            <w:vAlign w:val="center"/>
            <w:hideMark/>
          </w:tcPr>
          <w:p w14:paraId="562BDC8D" w14:textId="77777777" w:rsidR="00220C8B" w:rsidRPr="00220C8B" w:rsidRDefault="00220C8B" w:rsidP="00220C8B">
            <w:pPr>
              <w:jc w:val="right"/>
              <w:rPr>
                <w:rFonts w:cs="Calibri"/>
                <w:sz w:val="22"/>
                <w:szCs w:val="22"/>
              </w:rPr>
            </w:pPr>
            <w:r w:rsidRPr="00220C8B">
              <w:rPr>
                <w:rFonts w:cs="Calibri"/>
                <w:sz w:val="22"/>
                <w:szCs w:val="22"/>
              </w:rPr>
              <w:t>2.64</w:t>
            </w:r>
          </w:p>
        </w:tc>
        <w:tc>
          <w:tcPr>
            <w:tcW w:w="742" w:type="dxa"/>
            <w:tcBorders>
              <w:top w:val="nil"/>
              <w:left w:val="nil"/>
              <w:bottom w:val="single" w:sz="4" w:space="0" w:color="auto"/>
              <w:right w:val="single" w:sz="4" w:space="0" w:color="auto"/>
            </w:tcBorders>
            <w:shd w:val="clear" w:color="auto" w:fill="auto"/>
            <w:noWrap/>
            <w:vAlign w:val="center"/>
            <w:hideMark/>
          </w:tcPr>
          <w:p w14:paraId="6BB8E569" w14:textId="77777777" w:rsidR="00220C8B" w:rsidRPr="00220C8B" w:rsidRDefault="00220C8B" w:rsidP="00220C8B">
            <w:pPr>
              <w:jc w:val="right"/>
              <w:rPr>
                <w:rFonts w:cs="Calibri"/>
                <w:sz w:val="22"/>
                <w:szCs w:val="22"/>
              </w:rPr>
            </w:pPr>
            <w:r w:rsidRPr="00220C8B">
              <w:rPr>
                <w:rFonts w:cs="Calibri"/>
                <w:sz w:val="22"/>
                <w:szCs w:val="22"/>
              </w:rPr>
              <w:t>99.0</w:t>
            </w:r>
          </w:p>
        </w:tc>
      </w:tr>
      <w:tr w:rsidR="00220C8B" w:rsidRPr="00220C8B" w14:paraId="53A46F44"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277BAED8"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4EEF5A74" w14:textId="77777777" w:rsidR="00220C8B" w:rsidRPr="00220C8B" w:rsidRDefault="00220C8B" w:rsidP="00220C8B">
            <w:pPr>
              <w:jc w:val="center"/>
              <w:rPr>
                <w:rFonts w:cs="Calibri"/>
                <w:sz w:val="22"/>
                <w:szCs w:val="22"/>
              </w:rPr>
            </w:pPr>
            <w:r w:rsidRPr="00220C8B">
              <w:rPr>
                <w:rFonts w:cs="Calibri"/>
                <w:sz w:val="22"/>
                <w:szCs w:val="22"/>
              </w:rPr>
              <w:t>PGZP</w:t>
            </w:r>
          </w:p>
        </w:tc>
        <w:tc>
          <w:tcPr>
            <w:tcW w:w="1392" w:type="dxa"/>
            <w:vMerge/>
            <w:tcBorders>
              <w:top w:val="single" w:sz="4" w:space="0" w:color="auto"/>
              <w:left w:val="single" w:sz="4" w:space="0" w:color="auto"/>
              <w:bottom w:val="single" w:sz="4" w:space="0" w:color="000000"/>
              <w:right w:val="single" w:sz="4" w:space="0" w:color="auto"/>
            </w:tcBorders>
            <w:vAlign w:val="center"/>
            <w:hideMark/>
          </w:tcPr>
          <w:p w14:paraId="4F6DE0A4"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454FDEE0"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24261569" w14:textId="77777777" w:rsidR="00220C8B" w:rsidRPr="00220C8B" w:rsidRDefault="00220C8B" w:rsidP="00220C8B">
            <w:pPr>
              <w:jc w:val="right"/>
              <w:rPr>
                <w:rFonts w:cs="Calibri"/>
                <w:sz w:val="22"/>
                <w:szCs w:val="22"/>
              </w:rPr>
            </w:pPr>
            <w:r w:rsidRPr="00220C8B">
              <w:rPr>
                <w:rFonts w:cs="Calibri"/>
                <w:sz w:val="22"/>
                <w:szCs w:val="22"/>
              </w:rPr>
              <w:t>1,733</w:t>
            </w:r>
          </w:p>
        </w:tc>
        <w:tc>
          <w:tcPr>
            <w:tcW w:w="1067" w:type="dxa"/>
            <w:tcBorders>
              <w:top w:val="nil"/>
              <w:left w:val="nil"/>
              <w:bottom w:val="single" w:sz="4" w:space="0" w:color="auto"/>
              <w:right w:val="single" w:sz="4" w:space="0" w:color="auto"/>
            </w:tcBorders>
            <w:shd w:val="clear" w:color="auto" w:fill="auto"/>
            <w:noWrap/>
            <w:vAlign w:val="center"/>
            <w:hideMark/>
          </w:tcPr>
          <w:p w14:paraId="64103568" w14:textId="77777777" w:rsidR="00220C8B" w:rsidRPr="00220C8B" w:rsidRDefault="00220C8B" w:rsidP="00220C8B">
            <w:pPr>
              <w:jc w:val="right"/>
              <w:rPr>
                <w:rFonts w:cs="Calibri"/>
                <w:sz w:val="22"/>
                <w:szCs w:val="22"/>
              </w:rPr>
            </w:pPr>
            <w:r w:rsidRPr="00220C8B">
              <w:rPr>
                <w:rFonts w:cs="Calibri"/>
                <w:sz w:val="22"/>
                <w:szCs w:val="22"/>
              </w:rPr>
              <w:t>2.77</w:t>
            </w:r>
          </w:p>
        </w:tc>
        <w:tc>
          <w:tcPr>
            <w:tcW w:w="1067" w:type="dxa"/>
            <w:tcBorders>
              <w:top w:val="nil"/>
              <w:left w:val="nil"/>
              <w:bottom w:val="single" w:sz="4" w:space="0" w:color="auto"/>
              <w:right w:val="single" w:sz="4" w:space="0" w:color="auto"/>
            </w:tcBorders>
            <w:shd w:val="clear" w:color="auto" w:fill="auto"/>
            <w:noWrap/>
            <w:vAlign w:val="center"/>
            <w:hideMark/>
          </w:tcPr>
          <w:p w14:paraId="5CDDD5EF" w14:textId="77777777" w:rsidR="00220C8B" w:rsidRPr="00220C8B" w:rsidRDefault="00220C8B" w:rsidP="00220C8B">
            <w:pPr>
              <w:jc w:val="right"/>
              <w:rPr>
                <w:rFonts w:cs="Calibri"/>
                <w:sz w:val="22"/>
                <w:szCs w:val="22"/>
              </w:rPr>
            </w:pPr>
            <w:r w:rsidRPr="00220C8B">
              <w:rPr>
                <w:rFonts w:cs="Calibri"/>
                <w:sz w:val="22"/>
                <w:szCs w:val="22"/>
              </w:rPr>
              <w:t>0.28</w:t>
            </w:r>
          </w:p>
        </w:tc>
        <w:tc>
          <w:tcPr>
            <w:tcW w:w="792" w:type="dxa"/>
            <w:tcBorders>
              <w:top w:val="nil"/>
              <w:left w:val="nil"/>
              <w:bottom w:val="single" w:sz="4" w:space="0" w:color="auto"/>
              <w:right w:val="single" w:sz="4" w:space="0" w:color="auto"/>
            </w:tcBorders>
            <w:shd w:val="clear" w:color="auto" w:fill="auto"/>
            <w:noWrap/>
            <w:vAlign w:val="center"/>
            <w:hideMark/>
          </w:tcPr>
          <w:p w14:paraId="45651507" w14:textId="77777777" w:rsidR="00220C8B" w:rsidRPr="00220C8B" w:rsidRDefault="00220C8B" w:rsidP="00220C8B">
            <w:pPr>
              <w:jc w:val="right"/>
              <w:rPr>
                <w:rFonts w:cs="Calibri"/>
                <w:sz w:val="22"/>
                <w:szCs w:val="22"/>
              </w:rPr>
            </w:pPr>
            <w:r w:rsidRPr="00220C8B">
              <w:rPr>
                <w:rFonts w:cs="Calibri"/>
                <w:sz w:val="22"/>
                <w:szCs w:val="22"/>
              </w:rPr>
              <w:t>10.1%</w:t>
            </w:r>
          </w:p>
        </w:tc>
        <w:tc>
          <w:tcPr>
            <w:tcW w:w="1063" w:type="dxa"/>
            <w:tcBorders>
              <w:top w:val="nil"/>
              <w:left w:val="nil"/>
              <w:bottom w:val="single" w:sz="4" w:space="0" w:color="auto"/>
              <w:right w:val="single" w:sz="4" w:space="0" w:color="auto"/>
            </w:tcBorders>
            <w:shd w:val="clear" w:color="auto" w:fill="auto"/>
            <w:noWrap/>
            <w:vAlign w:val="center"/>
            <w:hideMark/>
          </w:tcPr>
          <w:p w14:paraId="51E49A43" w14:textId="77777777" w:rsidR="00220C8B" w:rsidRPr="00220C8B" w:rsidRDefault="00220C8B" w:rsidP="00220C8B">
            <w:pPr>
              <w:jc w:val="right"/>
              <w:rPr>
                <w:rFonts w:cs="Calibri"/>
                <w:sz w:val="22"/>
                <w:szCs w:val="22"/>
              </w:rPr>
            </w:pPr>
            <w:r w:rsidRPr="00220C8B">
              <w:rPr>
                <w:rFonts w:cs="Calibri"/>
                <w:sz w:val="22"/>
                <w:szCs w:val="22"/>
              </w:rPr>
              <w:t>0.49</w:t>
            </w:r>
          </w:p>
        </w:tc>
        <w:tc>
          <w:tcPr>
            <w:tcW w:w="742" w:type="dxa"/>
            <w:tcBorders>
              <w:top w:val="nil"/>
              <w:left w:val="nil"/>
              <w:bottom w:val="single" w:sz="4" w:space="0" w:color="auto"/>
              <w:right w:val="single" w:sz="4" w:space="0" w:color="auto"/>
            </w:tcBorders>
            <w:shd w:val="clear" w:color="auto" w:fill="auto"/>
            <w:noWrap/>
            <w:vAlign w:val="center"/>
            <w:hideMark/>
          </w:tcPr>
          <w:p w14:paraId="49FEEBAF" w14:textId="77777777" w:rsidR="00220C8B" w:rsidRPr="00220C8B" w:rsidRDefault="00220C8B" w:rsidP="00220C8B">
            <w:pPr>
              <w:jc w:val="right"/>
              <w:rPr>
                <w:rFonts w:cs="Calibri"/>
                <w:sz w:val="22"/>
                <w:szCs w:val="22"/>
              </w:rPr>
            </w:pPr>
            <w:r w:rsidRPr="00220C8B">
              <w:rPr>
                <w:rFonts w:cs="Calibri"/>
                <w:sz w:val="22"/>
                <w:szCs w:val="22"/>
              </w:rPr>
              <w:t>101.2</w:t>
            </w:r>
          </w:p>
        </w:tc>
      </w:tr>
      <w:tr w:rsidR="00220C8B" w:rsidRPr="00220C8B" w14:paraId="10F0C359" w14:textId="77777777" w:rsidTr="00F51B69">
        <w:trPr>
          <w:trHeight w:val="30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64D639C" w14:textId="77777777" w:rsidR="00220C8B" w:rsidRPr="00220C8B" w:rsidRDefault="00220C8B" w:rsidP="00220C8B">
            <w:pPr>
              <w:jc w:val="center"/>
              <w:rPr>
                <w:rFonts w:cs="Calibri"/>
                <w:sz w:val="22"/>
                <w:szCs w:val="22"/>
              </w:rPr>
            </w:pPr>
            <w:r w:rsidRPr="00220C8B">
              <w:rPr>
                <w:rFonts w:cs="Calibri"/>
                <w:sz w:val="22"/>
                <w:szCs w:val="22"/>
              </w:rPr>
              <w:t>27-Jul</w:t>
            </w:r>
          </w:p>
        </w:tc>
        <w:tc>
          <w:tcPr>
            <w:tcW w:w="728" w:type="dxa"/>
            <w:tcBorders>
              <w:top w:val="nil"/>
              <w:left w:val="nil"/>
              <w:bottom w:val="single" w:sz="4" w:space="0" w:color="auto"/>
              <w:right w:val="single" w:sz="4" w:space="0" w:color="auto"/>
            </w:tcBorders>
            <w:shd w:val="clear" w:color="auto" w:fill="auto"/>
            <w:noWrap/>
            <w:vAlign w:val="center"/>
            <w:hideMark/>
          </w:tcPr>
          <w:p w14:paraId="41F344B1" w14:textId="77777777" w:rsidR="00220C8B" w:rsidRPr="00220C8B" w:rsidRDefault="00220C8B" w:rsidP="00220C8B">
            <w:pPr>
              <w:jc w:val="center"/>
              <w:rPr>
                <w:rFonts w:cs="Calibri"/>
                <w:sz w:val="22"/>
                <w:szCs w:val="22"/>
              </w:rPr>
            </w:pPr>
            <w:r w:rsidRPr="00220C8B">
              <w:rPr>
                <w:rFonts w:cs="Calibri"/>
                <w:sz w:val="22"/>
                <w:szCs w:val="22"/>
              </w:rPr>
              <w:t>PGNC</w:t>
            </w:r>
          </w:p>
        </w:tc>
        <w:tc>
          <w:tcPr>
            <w:tcW w:w="1392" w:type="dxa"/>
            <w:tcBorders>
              <w:top w:val="nil"/>
              <w:left w:val="nil"/>
              <w:bottom w:val="single" w:sz="4" w:space="0" w:color="auto"/>
              <w:right w:val="single" w:sz="4" w:space="0" w:color="auto"/>
            </w:tcBorders>
            <w:shd w:val="clear" w:color="auto" w:fill="auto"/>
            <w:noWrap/>
            <w:vAlign w:val="center"/>
            <w:hideMark/>
          </w:tcPr>
          <w:p w14:paraId="2C9F1F28" w14:textId="77777777" w:rsidR="00220C8B" w:rsidRPr="00220C8B" w:rsidRDefault="00220C8B" w:rsidP="00220C8B">
            <w:pPr>
              <w:jc w:val="center"/>
              <w:rPr>
                <w:rFonts w:cs="Calibri"/>
                <w:sz w:val="22"/>
                <w:szCs w:val="22"/>
              </w:rPr>
            </w:pPr>
            <w:r w:rsidRPr="00220C8B">
              <w:rPr>
                <w:rFonts w:cs="Calibri"/>
                <w:sz w:val="22"/>
                <w:szCs w:val="22"/>
              </w:rPr>
              <w:t>7-11:59 p.m.</w:t>
            </w:r>
          </w:p>
        </w:tc>
        <w:tc>
          <w:tcPr>
            <w:tcW w:w="1238" w:type="dxa"/>
            <w:tcBorders>
              <w:top w:val="nil"/>
              <w:left w:val="nil"/>
              <w:bottom w:val="single" w:sz="4" w:space="0" w:color="auto"/>
              <w:right w:val="single" w:sz="4" w:space="0" w:color="auto"/>
            </w:tcBorders>
            <w:shd w:val="clear" w:color="auto" w:fill="auto"/>
            <w:noWrap/>
            <w:vAlign w:val="center"/>
            <w:hideMark/>
          </w:tcPr>
          <w:p w14:paraId="6F7B07BD" w14:textId="77777777" w:rsidR="00220C8B" w:rsidRPr="00220C8B" w:rsidRDefault="00220C8B" w:rsidP="00220C8B">
            <w:pPr>
              <w:jc w:val="center"/>
              <w:rPr>
                <w:rFonts w:cs="Calibri"/>
                <w:sz w:val="22"/>
                <w:szCs w:val="22"/>
              </w:rPr>
            </w:pPr>
            <w:r w:rsidRPr="00220C8B">
              <w:rPr>
                <w:rFonts w:cs="Calibri"/>
                <w:sz w:val="22"/>
                <w:szCs w:val="22"/>
              </w:rPr>
              <w:t>No</w:t>
            </w:r>
          </w:p>
        </w:tc>
        <w:tc>
          <w:tcPr>
            <w:tcW w:w="851" w:type="dxa"/>
            <w:tcBorders>
              <w:top w:val="nil"/>
              <w:left w:val="nil"/>
              <w:bottom w:val="single" w:sz="4" w:space="0" w:color="auto"/>
              <w:right w:val="single" w:sz="4" w:space="0" w:color="auto"/>
            </w:tcBorders>
            <w:shd w:val="clear" w:color="auto" w:fill="auto"/>
            <w:noWrap/>
            <w:vAlign w:val="center"/>
            <w:hideMark/>
          </w:tcPr>
          <w:p w14:paraId="5DE4BF11" w14:textId="77777777" w:rsidR="00220C8B" w:rsidRPr="00220C8B" w:rsidRDefault="00220C8B" w:rsidP="00220C8B">
            <w:pPr>
              <w:jc w:val="right"/>
              <w:rPr>
                <w:rFonts w:cs="Calibri"/>
                <w:sz w:val="22"/>
                <w:szCs w:val="22"/>
              </w:rPr>
            </w:pPr>
            <w:r w:rsidRPr="00220C8B">
              <w:rPr>
                <w:rFonts w:cs="Calibri"/>
                <w:sz w:val="22"/>
                <w:szCs w:val="22"/>
              </w:rPr>
              <w:t>731</w:t>
            </w:r>
          </w:p>
        </w:tc>
        <w:tc>
          <w:tcPr>
            <w:tcW w:w="1067" w:type="dxa"/>
            <w:tcBorders>
              <w:top w:val="nil"/>
              <w:left w:val="nil"/>
              <w:bottom w:val="single" w:sz="4" w:space="0" w:color="auto"/>
              <w:right w:val="single" w:sz="4" w:space="0" w:color="auto"/>
            </w:tcBorders>
            <w:shd w:val="clear" w:color="auto" w:fill="auto"/>
            <w:noWrap/>
            <w:vAlign w:val="center"/>
            <w:hideMark/>
          </w:tcPr>
          <w:p w14:paraId="2B82CE1D" w14:textId="77777777" w:rsidR="00220C8B" w:rsidRPr="00220C8B" w:rsidRDefault="00220C8B" w:rsidP="00220C8B">
            <w:pPr>
              <w:jc w:val="right"/>
              <w:rPr>
                <w:rFonts w:cs="Calibri"/>
                <w:sz w:val="22"/>
                <w:szCs w:val="22"/>
              </w:rPr>
            </w:pPr>
            <w:r w:rsidRPr="00220C8B">
              <w:rPr>
                <w:rFonts w:cs="Calibri"/>
                <w:sz w:val="22"/>
                <w:szCs w:val="22"/>
              </w:rPr>
              <w:t>1.60</w:t>
            </w:r>
          </w:p>
        </w:tc>
        <w:tc>
          <w:tcPr>
            <w:tcW w:w="1067" w:type="dxa"/>
            <w:tcBorders>
              <w:top w:val="nil"/>
              <w:left w:val="nil"/>
              <w:bottom w:val="single" w:sz="4" w:space="0" w:color="auto"/>
              <w:right w:val="single" w:sz="4" w:space="0" w:color="auto"/>
            </w:tcBorders>
            <w:shd w:val="clear" w:color="auto" w:fill="auto"/>
            <w:noWrap/>
            <w:vAlign w:val="center"/>
            <w:hideMark/>
          </w:tcPr>
          <w:p w14:paraId="5429E754" w14:textId="77777777" w:rsidR="00220C8B" w:rsidRPr="00220C8B" w:rsidRDefault="00220C8B" w:rsidP="00220C8B">
            <w:pPr>
              <w:jc w:val="right"/>
              <w:rPr>
                <w:rFonts w:cs="Calibri"/>
                <w:sz w:val="22"/>
                <w:szCs w:val="22"/>
              </w:rPr>
            </w:pPr>
            <w:r w:rsidRPr="00220C8B">
              <w:rPr>
                <w:rFonts w:cs="Calibri"/>
                <w:sz w:val="22"/>
                <w:szCs w:val="22"/>
              </w:rPr>
              <w:t>0.05</w:t>
            </w:r>
          </w:p>
        </w:tc>
        <w:tc>
          <w:tcPr>
            <w:tcW w:w="792" w:type="dxa"/>
            <w:tcBorders>
              <w:top w:val="nil"/>
              <w:left w:val="nil"/>
              <w:bottom w:val="single" w:sz="4" w:space="0" w:color="auto"/>
              <w:right w:val="single" w:sz="4" w:space="0" w:color="auto"/>
            </w:tcBorders>
            <w:shd w:val="clear" w:color="auto" w:fill="auto"/>
            <w:noWrap/>
            <w:vAlign w:val="center"/>
            <w:hideMark/>
          </w:tcPr>
          <w:p w14:paraId="669C7594" w14:textId="77777777" w:rsidR="00220C8B" w:rsidRPr="00220C8B" w:rsidRDefault="00220C8B" w:rsidP="00220C8B">
            <w:pPr>
              <w:jc w:val="right"/>
              <w:rPr>
                <w:rFonts w:cs="Calibri"/>
                <w:sz w:val="22"/>
                <w:szCs w:val="22"/>
              </w:rPr>
            </w:pPr>
            <w:r w:rsidRPr="00220C8B">
              <w:rPr>
                <w:rFonts w:cs="Calibri"/>
                <w:sz w:val="22"/>
                <w:szCs w:val="22"/>
              </w:rPr>
              <w:t>3.4%</w:t>
            </w:r>
          </w:p>
        </w:tc>
        <w:tc>
          <w:tcPr>
            <w:tcW w:w="1063" w:type="dxa"/>
            <w:tcBorders>
              <w:top w:val="nil"/>
              <w:left w:val="nil"/>
              <w:bottom w:val="single" w:sz="4" w:space="0" w:color="auto"/>
              <w:right w:val="single" w:sz="4" w:space="0" w:color="auto"/>
            </w:tcBorders>
            <w:shd w:val="clear" w:color="auto" w:fill="auto"/>
            <w:noWrap/>
            <w:vAlign w:val="center"/>
            <w:hideMark/>
          </w:tcPr>
          <w:p w14:paraId="1B579678" w14:textId="77777777" w:rsidR="00220C8B" w:rsidRPr="00220C8B" w:rsidRDefault="00220C8B" w:rsidP="00220C8B">
            <w:pPr>
              <w:jc w:val="right"/>
              <w:rPr>
                <w:rFonts w:cs="Calibri"/>
                <w:sz w:val="22"/>
                <w:szCs w:val="22"/>
              </w:rPr>
            </w:pPr>
            <w:r w:rsidRPr="00220C8B">
              <w:rPr>
                <w:rFonts w:cs="Calibri"/>
                <w:sz w:val="22"/>
                <w:szCs w:val="22"/>
              </w:rPr>
              <w:t>0.04</w:t>
            </w:r>
          </w:p>
        </w:tc>
        <w:tc>
          <w:tcPr>
            <w:tcW w:w="742" w:type="dxa"/>
            <w:tcBorders>
              <w:top w:val="nil"/>
              <w:left w:val="nil"/>
              <w:bottom w:val="single" w:sz="4" w:space="0" w:color="auto"/>
              <w:right w:val="single" w:sz="4" w:space="0" w:color="auto"/>
            </w:tcBorders>
            <w:shd w:val="clear" w:color="auto" w:fill="auto"/>
            <w:noWrap/>
            <w:vAlign w:val="center"/>
            <w:hideMark/>
          </w:tcPr>
          <w:p w14:paraId="0A343C0F" w14:textId="77777777" w:rsidR="00220C8B" w:rsidRPr="00220C8B" w:rsidRDefault="00220C8B" w:rsidP="00220C8B">
            <w:pPr>
              <w:jc w:val="right"/>
              <w:rPr>
                <w:rFonts w:cs="Calibri"/>
                <w:sz w:val="22"/>
                <w:szCs w:val="22"/>
              </w:rPr>
            </w:pPr>
            <w:r w:rsidRPr="00220C8B">
              <w:rPr>
                <w:rFonts w:cs="Calibri"/>
                <w:sz w:val="22"/>
                <w:szCs w:val="22"/>
              </w:rPr>
              <w:t>79.1</w:t>
            </w:r>
          </w:p>
        </w:tc>
      </w:tr>
      <w:tr w:rsidR="00220C8B" w:rsidRPr="00220C8B" w14:paraId="5DCBBF3D" w14:textId="77777777" w:rsidTr="00F51B69">
        <w:trPr>
          <w:trHeight w:val="300"/>
          <w:jc w:val="center"/>
        </w:trPr>
        <w:tc>
          <w:tcPr>
            <w:tcW w:w="8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82F423" w14:textId="77777777" w:rsidR="00220C8B" w:rsidRPr="00220C8B" w:rsidRDefault="00220C8B" w:rsidP="00220C8B">
            <w:pPr>
              <w:jc w:val="center"/>
              <w:rPr>
                <w:rFonts w:cs="Calibri"/>
                <w:sz w:val="22"/>
                <w:szCs w:val="22"/>
              </w:rPr>
            </w:pPr>
            <w:r w:rsidRPr="00220C8B">
              <w:rPr>
                <w:rFonts w:cs="Calibri"/>
                <w:sz w:val="22"/>
                <w:szCs w:val="22"/>
              </w:rPr>
              <w:t>8-Aug</w:t>
            </w:r>
          </w:p>
        </w:tc>
        <w:tc>
          <w:tcPr>
            <w:tcW w:w="728" w:type="dxa"/>
            <w:tcBorders>
              <w:top w:val="nil"/>
              <w:left w:val="nil"/>
              <w:bottom w:val="single" w:sz="4" w:space="0" w:color="auto"/>
              <w:right w:val="single" w:sz="4" w:space="0" w:color="auto"/>
            </w:tcBorders>
            <w:shd w:val="clear" w:color="auto" w:fill="auto"/>
            <w:noWrap/>
            <w:vAlign w:val="center"/>
            <w:hideMark/>
          </w:tcPr>
          <w:p w14:paraId="5DDCD581" w14:textId="77777777" w:rsidR="00220C8B" w:rsidRPr="00220C8B" w:rsidRDefault="00220C8B" w:rsidP="00220C8B">
            <w:pPr>
              <w:jc w:val="center"/>
              <w:rPr>
                <w:rFonts w:cs="Calibri"/>
                <w:sz w:val="22"/>
                <w:szCs w:val="22"/>
              </w:rPr>
            </w:pPr>
            <w:r w:rsidRPr="00220C8B">
              <w:rPr>
                <w:rFonts w:cs="Calibri"/>
                <w:sz w:val="22"/>
                <w:szCs w:val="22"/>
              </w:rPr>
              <w:t>PGEB</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F79A30" w14:textId="77777777" w:rsidR="00220C8B" w:rsidRPr="00220C8B" w:rsidRDefault="00220C8B" w:rsidP="00220C8B">
            <w:pPr>
              <w:jc w:val="center"/>
              <w:rPr>
                <w:rFonts w:cs="Calibri"/>
                <w:sz w:val="22"/>
                <w:szCs w:val="22"/>
              </w:rPr>
            </w:pPr>
            <w:r w:rsidRPr="00220C8B">
              <w:rPr>
                <w:rFonts w:cs="Calibri"/>
                <w:sz w:val="22"/>
                <w:szCs w:val="22"/>
              </w:rPr>
              <w:t>4-7 p.m.</w:t>
            </w:r>
          </w:p>
        </w:tc>
        <w:tc>
          <w:tcPr>
            <w:tcW w:w="12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E32BF4" w14:textId="77777777" w:rsidR="00220C8B" w:rsidRPr="00220C8B" w:rsidRDefault="00220C8B" w:rsidP="00220C8B">
            <w:pPr>
              <w:jc w:val="center"/>
              <w:rPr>
                <w:rFonts w:cs="Calibri"/>
                <w:sz w:val="22"/>
                <w:szCs w:val="22"/>
              </w:rPr>
            </w:pPr>
            <w:r w:rsidRPr="00220C8B">
              <w:rPr>
                <w:rFonts w:cs="Calibri"/>
                <w:sz w:val="22"/>
                <w:szCs w:val="22"/>
              </w:rPr>
              <w:t>No</w:t>
            </w:r>
          </w:p>
        </w:tc>
        <w:tc>
          <w:tcPr>
            <w:tcW w:w="851" w:type="dxa"/>
            <w:tcBorders>
              <w:top w:val="nil"/>
              <w:left w:val="nil"/>
              <w:bottom w:val="single" w:sz="4" w:space="0" w:color="auto"/>
              <w:right w:val="single" w:sz="4" w:space="0" w:color="auto"/>
            </w:tcBorders>
            <w:shd w:val="clear" w:color="auto" w:fill="auto"/>
            <w:noWrap/>
            <w:vAlign w:val="center"/>
            <w:hideMark/>
          </w:tcPr>
          <w:p w14:paraId="7A1A2E0B" w14:textId="77777777" w:rsidR="00220C8B" w:rsidRPr="00220C8B" w:rsidRDefault="00220C8B" w:rsidP="00220C8B">
            <w:pPr>
              <w:jc w:val="right"/>
              <w:rPr>
                <w:rFonts w:cs="Calibri"/>
                <w:sz w:val="22"/>
                <w:szCs w:val="22"/>
              </w:rPr>
            </w:pPr>
            <w:r w:rsidRPr="00220C8B">
              <w:rPr>
                <w:rFonts w:cs="Calibri"/>
                <w:sz w:val="22"/>
                <w:szCs w:val="22"/>
              </w:rPr>
              <w:t>21,077</w:t>
            </w:r>
          </w:p>
        </w:tc>
        <w:tc>
          <w:tcPr>
            <w:tcW w:w="1067" w:type="dxa"/>
            <w:tcBorders>
              <w:top w:val="nil"/>
              <w:left w:val="nil"/>
              <w:bottom w:val="single" w:sz="4" w:space="0" w:color="auto"/>
              <w:right w:val="single" w:sz="4" w:space="0" w:color="auto"/>
            </w:tcBorders>
            <w:shd w:val="clear" w:color="auto" w:fill="auto"/>
            <w:noWrap/>
            <w:vAlign w:val="center"/>
            <w:hideMark/>
          </w:tcPr>
          <w:p w14:paraId="5965463E" w14:textId="77777777" w:rsidR="00220C8B" w:rsidRPr="00220C8B" w:rsidRDefault="00220C8B" w:rsidP="00220C8B">
            <w:pPr>
              <w:jc w:val="right"/>
              <w:rPr>
                <w:rFonts w:cs="Calibri"/>
                <w:sz w:val="22"/>
                <w:szCs w:val="22"/>
              </w:rPr>
            </w:pPr>
            <w:r w:rsidRPr="00220C8B">
              <w:rPr>
                <w:rFonts w:cs="Calibri"/>
                <w:sz w:val="22"/>
                <w:szCs w:val="22"/>
              </w:rPr>
              <w:t>1.65</w:t>
            </w:r>
          </w:p>
        </w:tc>
        <w:tc>
          <w:tcPr>
            <w:tcW w:w="1067" w:type="dxa"/>
            <w:tcBorders>
              <w:top w:val="nil"/>
              <w:left w:val="nil"/>
              <w:bottom w:val="single" w:sz="4" w:space="0" w:color="auto"/>
              <w:right w:val="single" w:sz="4" w:space="0" w:color="auto"/>
            </w:tcBorders>
            <w:shd w:val="clear" w:color="auto" w:fill="auto"/>
            <w:noWrap/>
            <w:vAlign w:val="center"/>
            <w:hideMark/>
          </w:tcPr>
          <w:p w14:paraId="1D44A83E" w14:textId="77777777" w:rsidR="00220C8B" w:rsidRPr="00220C8B" w:rsidRDefault="00220C8B" w:rsidP="00220C8B">
            <w:pPr>
              <w:jc w:val="right"/>
              <w:rPr>
                <w:rFonts w:cs="Calibri"/>
                <w:sz w:val="22"/>
                <w:szCs w:val="22"/>
              </w:rPr>
            </w:pPr>
            <w:r w:rsidRPr="00220C8B">
              <w:rPr>
                <w:rFonts w:cs="Calibri"/>
                <w:sz w:val="22"/>
                <w:szCs w:val="22"/>
              </w:rPr>
              <w:t>0.25</w:t>
            </w:r>
          </w:p>
        </w:tc>
        <w:tc>
          <w:tcPr>
            <w:tcW w:w="792" w:type="dxa"/>
            <w:tcBorders>
              <w:top w:val="nil"/>
              <w:left w:val="nil"/>
              <w:bottom w:val="single" w:sz="4" w:space="0" w:color="auto"/>
              <w:right w:val="single" w:sz="4" w:space="0" w:color="auto"/>
            </w:tcBorders>
            <w:shd w:val="clear" w:color="auto" w:fill="auto"/>
            <w:noWrap/>
            <w:vAlign w:val="center"/>
            <w:hideMark/>
          </w:tcPr>
          <w:p w14:paraId="6DF725B1" w14:textId="77777777" w:rsidR="00220C8B" w:rsidRPr="00220C8B" w:rsidRDefault="00220C8B" w:rsidP="00220C8B">
            <w:pPr>
              <w:jc w:val="right"/>
              <w:rPr>
                <w:rFonts w:cs="Calibri"/>
                <w:sz w:val="22"/>
                <w:szCs w:val="22"/>
              </w:rPr>
            </w:pPr>
            <w:r w:rsidRPr="00220C8B">
              <w:rPr>
                <w:rFonts w:cs="Calibri"/>
                <w:sz w:val="22"/>
                <w:szCs w:val="22"/>
              </w:rPr>
              <w:t>15.1%</w:t>
            </w:r>
          </w:p>
        </w:tc>
        <w:tc>
          <w:tcPr>
            <w:tcW w:w="1063" w:type="dxa"/>
            <w:tcBorders>
              <w:top w:val="nil"/>
              <w:left w:val="nil"/>
              <w:bottom w:val="single" w:sz="4" w:space="0" w:color="auto"/>
              <w:right w:val="single" w:sz="4" w:space="0" w:color="auto"/>
            </w:tcBorders>
            <w:shd w:val="clear" w:color="auto" w:fill="auto"/>
            <w:noWrap/>
            <w:vAlign w:val="center"/>
            <w:hideMark/>
          </w:tcPr>
          <w:p w14:paraId="3D6DE8F8" w14:textId="77777777" w:rsidR="00220C8B" w:rsidRPr="00220C8B" w:rsidRDefault="00220C8B" w:rsidP="00220C8B">
            <w:pPr>
              <w:jc w:val="right"/>
              <w:rPr>
                <w:rFonts w:cs="Calibri"/>
                <w:sz w:val="22"/>
                <w:szCs w:val="22"/>
              </w:rPr>
            </w:pPr>
            <w:r w:rsidRPr="00220C8B">
              <w:rPr>
                <w:rFonts w:cs="Calibri"/>
                <w:sz w:val="22"/>
                <w:szCs w:val="22"/>
              </w:rPr>
              <w:t>5.25</w:t>
            </w:r>
          </w:p>
        </w:tc>
        <w:tc>
          <w:tcPr>
            <w:tcW w:w="742" w:type="dxa"/>
            <w:tcBorders>
              <w:top w:val="nil"/>
              <w:left w:val="nil"/>
              <w:bottom w:val="single" w:sz="4" w:space="0" w:color="auto"/>
              <w:right w:val="single" w:sz="4" w:space="0" w:color="auto"/>
            </w:tcBorders>
            <w:shd w:val="clear" w:color="auto" w:fill="auto"/>
            <w:noWrap/>
            <w:vAlign w:val="center"/>
            <w:hideMark/>
          </w:tcPr>
          <w:p w14:paraId="3C8F3AB3" w14:textId="77777777" w:rsidR="00220C8B" w:rsidRPr="00220C8B" w:rsidRDefault="00220C8B" w:rsidP="00220C8B">
            <w:pPr>
              <w:jc w:val="right"/>
              <w:rPr>
                <w:rFonts w:cs="Calibri"/>
                <w:sz w:val="22"/>
                <w:szCs w:val="22"/>
              </w:rPr>
            </w:pPr>
            <w:r w:rsidRPr="00220C8B">
              <w:rPr>
                <w:rFonts w:cs="Calibri"/>
                <w:sz w:val="22"/>
                <w:szCs w:val="22"/>
              </w:rPr>
              <w:t>90.6</w:t>
            </w:r>
          </w:p>
        </w:tc>
      </w:tr>
      <w:tr w:rsidR="00220C8B" w:rsidRPr="00220C8B" w14:paraId="79207966"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6C747BAC"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4BB960A2" w14:textId="77777777" w:rsidR="00220C8B" w:rsidRPr="00220C8B" w:rsidRDefault="00220C8B" w:rsidP="00220C8B">
            <w:pPr>
              <w:jc w:val="center"/>
              <w:rPr>
                <w:rFonts w:cs="Calibri"/>
                <w:sz w:val="22"/>
                <w:szCs w:val="22"/>
              </w:rPr>
            </w:pPr>
            <w:r w:rsidRPr="00220C8B">
              <w:rPr>
                <w:rFonts w:cs="Calibri"/>
                <w:sz w:val="22"/>
                <w:szCs w:val="22"/>
              </w:rPr>
              <w:t>PGF1</w:t>
            </w:r>
          </w:p>
        </w:tc>
        <w:tc>
          <w:tcPr>
            <w:tcW w:w="1392" w:type="dxa"/>
            <w:vMerge/>
            <w:tcBorders>
              <w:top w:val="nil"/>
              <w:left w:val="single" w:sz="4" w:space="0" w:color="auto"/>
              <w:bottom w:val="single" w:sz="4" w:space="0" w:color="000000"/>
              <w:right w:val="single" w:sz="4" w:space="0" w:color="auto"/>
            </w:tcBorders>
            <w:vAlign w:val="center"/>
            <w:hideMark/>
          </w:tcPr>
          <w:p w14:paraId="21BCF71A"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69606886"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3296D2D8" w14:textId="77777777" w:rsidR="00220C8B" w:rsidRPr="00220C8B" w:rsidRDefault="00220C8B" w:rsidP="00220C8B">
            <w:pPr>
              <w:jc w:val="right"/>
              <w:rPr>
                <w:rFonts w:cs="Calibri"/>
                <w:sz w:val="22"/>
                <w:szCs w:val="22"/>
              </w:rPr>
            </w:pPr>
            <w:r w:rsidRPr="00220C8B">
              <w:rPr>
                <w:rFonts w:cs="Calibri"/>
                <w:sz w:val="22"/>
                <w:szCs w:val="22"/>
              </w:rPr>
              <w:t>17,325</w:t>
            </w:r>
          </w:p>
        </w:tc>
        <w:tc>
          <w:tcPr>
            <w:tcW w:w="1067" w:type="dxa"/>
            <w:tcBorders>
              <w:top w:val="nil"/>
              <w:left w:val="nil"/>
              <w:bottom w:val="single" w:sz="4" w:space="0" w:color="auto"/>
              <w:right w:val="single" w:sz="4" w:space="0" w:color="auto"/>
            </w:tcBorders>
            <w:shd w:val="clear" w:color="auto" w:fill="auto"/>
            <w:noWrap/>
            <w:vAlign w:val="center"/>
            <w:hideMark/>
          </w:tcPr>
          <w:p w14:paraId="5F236D1A" w14:textId="77777777" w:rsidR="00220C8B" w:rsidRPr="00220C8B" w:rsidRDefault="00220C8B" w:rsidP="00220C8B">
            <w:pPr>
              <w:jc w:val="right"/>
              <w:rPr>
                <w:rFonts w:cs="Calibri"/>
                <w:sz w:val="22"/>
                <w:szCs w:val="22"/>
              </w:rPr>
            </w:pPr>
            <w:r w:rsidRPr="00220C8B">
              <w:rPr>
                <w:rFonts w:cs="Calibri"/>
                <w:sz w:val="22"/>
                <w:szCs w:val="22"/>
              </w:rPr>
              <w:t>2.58</w:t>
            </w:r>
          </w:p>
        </w:tc>
        <w:tc>
          <w:tcPr>
            <w:tcW w:w="1067" w:type="dxa"/>
            <w:tcBorders>
              <w:top w:val="nil"/>
              <w:left w:val="nil"/>
              <w:bottom w:val="single" w:sz="4" w:space="0" w:color="auto"/>
              <w:right w:val="single" w:sz="4" w:space="0" w:color="auto"/>
            </w:tcBorders>
            <w:shd w:val="clear" w:color="auto" w:fill="auto"/>
            <w:noWrap/>
            <w:vAlign w:val="center"/>
            <w:hideMark/>
          </w:tcPr>
          <w:p w14:paraId="6D1D66F8" w14:textId="77777777" w:rsidR="00220C8B" w:rsidRPr="00220C8B" w:rsidRDefault="00220C8B" w:rsidP="00220C8B">
            <w:pPr>
              <w:jc w:val="right"/>
              <w:rPr>
                <w:rFonts w:cs="Calibri"/>
                <w:sz w:val="22"/>
                <w:szCs w:val="22"/>
              </w:rPr>
            </w:pPr>
            <w:r w:rsidRPr="00220C8B">
              <w:rPr>
                <w:rFonts w:cs="Calibri"/>
                <w:sz w:val="22"/>
                <w:szCs w:val="22"/>
              </w:rPr>
              <w:t>0.35</w:t>
            </w:r>
          </w:p>
        </w:tc>
        <w:tc>
          <w:tcPr>
            <w:tcW w:w="792" w:type="dxa"/>
            <w:tcBorders>
              <w:top w:val="nil"/>
              <w:left w:val="nil"/>
              <w:bottom w:val="single" w:sz="4" w:space="0" w:color="auto"/>
              <w:right w:val="single" w:sz="4" w:space="0" w:color="auto"/>
            </w:tcBorders>
            <w:shd w:val="clear" w:color="auto" w:fill="auto"/>
            <w:noWrap/>
            <w:vAlign w:val="center"/>
            <w:hideMark/>
          </w:tcPr>
          <w:p w14:paraId="1C0420D9" w14:textId="77777777" w:rsidR="00220C8B" w:rsidRPr="00220C8B" w:rsidRDefault="00220C8B" w:rsidP="00220C8B">
            <w:pPr>
              <w:jc w:val="right"/>
              <w:rPr>
                <w:rFonts w:cs="Calibri"/>
                <w:sz w:val="22"/>
                <w:szCs w:val="22"/>
              </w:rPr>
            </w:pPr>
            <w:r w:rsidRPr="00220C8B">
              <w:rPr>
                <w:rFonts w:cs="Calibri"/>
                <w:sz w:val="22"/>
                <w:szCs w:val="22"/>
              </w:rPr>
              <w:t>13.4%</w:t>
            </w:r>
          </w:p>
        </w:tc>
        <w:tc>
          <w:tcPr>
            <w:tcW w:w="1063" w:type="dxa"/>
            <w:tcBorders>
              <w:top w:val="nil"/>
              <w:left w:val="nil"/>
              <w:bottom w:val="single" w:sz="4" w:space="0" w:color="auto"/>
              <w:right w:val="single" w:sz="4" w:space="0" w:color="auto"/>
            </w:tcBorders>
            <w:shd w:val="clear" w:color="auto" w:fill="auto"/>
            <w:noWrap/>
            <w:vAlign w:val="center"/>
            <w:hideMark/>
          </w:tcPr>
          <w:p w14:paraId="656CD5E8" w14:textId="77777777" w:rsidR="00220C8B" w:rsidRPr="00220C8B" w:rsidRDefault="00220C8B" w:rsidP="00220C8B">
            <w:pPr>
              <w:jc w:val="right"/>
              <w:rPr>
                <w:rFonts w:cs="Calibri"/>
                <w:sz w:val="22"/>
                <w:szCs w:val="22"/>
              </w:rPr>
            </w:pPr>
            <w:r w:rsidRPr="00220C8B">
              <w:rPr>
                <w:rFonts w:cs="Calibri"/>
                <w:sz w:val="22"/>
                <w:szCs w:val="22"/>
              </w:rPr>
              <w:t>6.00</w:t>
            </w:r>
          </w:p>
        </w:tc>
        <w:tc>
          <w:tcPr>
            <w:tcW w:w="742" w:type="dxa"/>
            <w:tcBorders>
              <w:top w:val="nil"/>
              <w:left w:val="nil"/>
              <w:bottom w:val="single" w:sz="4" w:space="0" w:color="auto"/>
              <w:right w:val="single" w:sz="4" w:space="0" w:color="auto"/>
            </w:tcBorders>
            <w:shd w:val="clear" w:color="auto" w:fill="auto"/>
            <w:noWrap/>
            <w:vAlign w:val="center"/>
            <w:hideMark/>
          </w:tcPr>
          <w:p w14:paraId="1B572483" w14:textId="77777777" w:rsidR="00220C8B" w:rsidRPr="00220C8B" w:rsidRDefault="00220C8B" w:rsidP="00220C8B">
            <w:pPr>
              <w:jc w:val="right"/>
              <w:rPr>
                <w:rFonts w:cs="Calibri"/>
                <w:sz w:val="22"/>
                <w:szCs w:val="22"/>
              </w:rPr>
            </w:pPr>
            <w:r w:rsidRPr="00220C8B">
              <w:rPr>
                <w:rFonts w:cs="Calibri"/>
                <w:sz w:val="22"/>
                <w:szCs w:val="22"/>
              </w:rPr>
              <w:t>101.4</w:t>
            </w:r>
          </w:p>
        </w:tc>
      </w:tr>
      <w:tr w:rsidR="00220C8B" w:rsidRPr="00220C8B" w14:paraId="40D8B9AA"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6DDE26A7"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7E7DC462" w14:textId="77777777" w:rsidR="00220C8B" w:rsidRPr="00220C8B" w:rsidRDefault="00220C8B" w:rsidP="00220C8B">
            <w:pPr>
              <w:jc w:val="center"/>
              <w:rPr>
                <w:rFonts w:cs="Calibri"/>
                <w:sz w:val="22"/>
                <w:szCs w:val="22"/>
              </w:rPr>
            </w:pPr>
            <w:r w:rsidRPr="00220C8B">
              <w:rPr>
                <w:rFonts w:cs="Calibri"/>
                <w:sz w:val="22"/>
                <w:szCs w:val="22"/>
              </w:rPr>
              <w:t>PGKN</w:t>
            </w:r>
          </w:p>
        </w:tc>
        <w:tc>
          <w:tcPr>
            <w:tcW w:w="1392" w:type="dxa"/>
            <w:vMerge/>
            <w:tcBorders>
              <w:top w:val="nil"/>
              <w:left w:val="single" w:sz="4" w:space="0" w:color="auto"/>
              <w:bottom w:val="single" w:sz="4" w:space="0" w:color="000000"/>
              <w:right w:val="single" w:sz="4" w:space="0" w:color="auto"/>
            </w:tcBorders>
            <w:vAlign w:val="center"/>
            <w:hideMark/>
          </w:tcPr>
          <w:p w14:paraId="39E3DD36"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75AA32F6"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1D71F91C" w14:textId="77777777" w:rsidR="00220C8B" w:rsidRPr="00220C8B" w:rsidRDefault="00220C8B" w:rsidP="00220C8B">
            <w:pPr>
              <w:jc w:val="right"/>
              <w:rPr>
                <w:rFonts w:cs="Calibri"/>
                <w:sz w:val="22"/>
                <w:szCs w:val="22"/>
              </w:rPr>
            </w:pPr>
            <w:r w:rsidRPr="00220C8B">
              <w:rPr>
                <w:rFonts w:cs="Calibri"/>
                <w:sz w:val="22"/>
                <w:szCs w:val="22"/>
              </w:rPr>
              <w:t>5,592</w:t>
            </w:r>
          </w:p>
        </w:tc>
        <w:tc>
          <w:tcPr>
            <w:tcW w:w="1067" w:type="dxa"/>
            <w:tcBorders>
              <w:top w:val="nil"/>
              <w:left w:val="nil"/>
              <w:bottom w:val="single" w:sz="4" w:space="0" w:color="auto"/>
              <w:right w:val="single" w:sz="4" w:space="0" w:color="auto"/>
            </w:tcBorders>
            <w:shd w:val="clear" w:color="auto" w:fill="auto"/>
            <w:noWrap/>
            <w:vAlign w:val="center"/>
            <w:hideMark/>
          </w:tcPr>
          <w:p w14:paraId="386E76D2" w14:textId="77777777" w:rsidR="00220C8B" w:rsidRPr="00220C8B" w:rsidRDefault="00220C8B" w:rsidP="00220C8B">
            <w:pPr>
              <w:jc w:val="right"/>
              <w:rPr>
                <w:rFonts w:cs="Calibri"/>
                <w:sz w:val="22"/>
                <w:szCs w:val="22"/>
              </w:rPr>
            </w:pPr>
            <w:r w:rsidRPr="00220C8B">
              <w:rPr>
                <w:rFonts w:cs="Calibri"/>
                <w:sz w:val="22"/>
                <w:szCs w:val="22"/>
              </w:rPr>
              <w:t>2.73</w:t>
            </w:r>
          </w:p>
        </w:tc>
        <w:tc>
          <w:tcPr>
            <w:tcW w:w="1067" w:type="dxa"/>
            <w:tcBorders>
              <w:top w:val="nil"/>
              <w:left w:val="nil"/>
              <w:bottom w:val="single" w:sz="4" w:space="0" w:color="auto"/>
              <w:right w:val="single" w:sz="4" w:space="0" w:color="auto"/>
            </w:tcBorders>
            <w:shd w:val="clear" w:color="auto" w:fill="auto"/>
            <w:noWrap/>
            <w:vAlign w:val="center"/>
            <w:hideMark/>
          </w:tcPr>
          <w:p w14:paraId="00D1335B" w14:textId="77777777" w:rsidR="00220C8B" w:rsidRPr="00220C8B" w:rsidRDefault="00220C8B" w:rsidP="00220C8B">
            <w:pPr>
              <w:jc w:val="right"/>
              <w:rPr>
                <w:rFonts w:cs="Calibri"/>
                <w:sz w:val="22"/>
                <w:szCs w:val="22"/>
              </w:rPr>
            </w:pPr>
            <w:r w:rsidRPr="00220C8B">
              <w:rPr>
                <w:rFonts w:cs="Calibri"/>
                <w:sz w:val="22"/>
                <w:szCs w:val="22"/>
              </w:rPr>
              <w:t>0.02</w:t>
            </w:r>
          </w:p>
        </w:tc>
        <w:tc>
          <w:tcPr>
            <w:tcW w:w="792" w:type="dxa"/>
            <w:tcBorders>
              <w:top w:val="nil"/>
              <w:left w:val="nil"/>
              <w:bottom w:val="single" w:sz="4" w:space="0" w:color="auto"/>
              <w:right w:val="single" w:sz="4" w:space="0" w:color="auto"/>
            </w:tcBorders>
            <w:shd w:val="clear" w:color="auto" w:fill="auto"/>
            <w:noWrap/>
            <w:vAlign w:val="center"/>
            <w:hideMark/>
          </w:tcPr>
          <w:p w14:paraId="74ABCE19" w14:textId="77777777" w:rsidR="00220C8B" w:rsidRPr="00220C8B" w:rsidRDefault="00220C8B" w:rsidP="00220C8B">
            <w:pPr>
              <w:jc w:val="right"/>
              <w:rPr>
                <w:rFonts w:cs="Calibri"/>
                <w:sz w:val="22"/>
                <w:szCs w:val="22"/>
              </w:rPr>
            </w:pPr>
            <w:r w:rsidRPr="00220C8B">
              <w:rPr>
                <w:rFonts w:cs="Calibri"/>
                <w:sz w:val="22"/>
                <w:szCs w:val="22"/>
              </w:rPr>
              <w:t>0.7%</w:t>
            </w:r>
          </w:p>
        </w:tc>
        <w:tc>
          <w:tcPr>
            <w:tcW w:w="1063" w:type="dxa"/>
            <w:tcBorders>
              <w:top w:val="nil"/>
              <w:left w:val="nil"/>
              <w:bottom w:val="single" w:sz="4" w:space="0" w:color="auto"/>
              <w:right w:val="single" w:sz="4" w:space="0" w:color="auto"/>
            </w:tcBorders>
            <w:shd w:val="clear" w:color="auto" w:fill="auto"/>
            <w:noWrap/>
            <w:vAlign w:val="center"/>
            <w:hideMark/>
          </w:tcPr>
          <w:p w14:paraId="7E0E7D15" w14:textId="77777777" w:rsidR="00220C8B" w:rsidRPr="00220C8B" w:rsidRDefault="00220C8B" w:rsidP="00220C8B">
            <w:pPr>
              <w:jc w:val="right"/>
              <w:rPr>
                <w:rFonts w:cs="Calibri"/>
                <w:sz w:val="22"/>
                <w:szCs w:val="22"/>
              </w:rPr>
            </w:pPr>
            <w:r w:rsidRPr="00220C8B">
              <w:rPr>
                <w:rFonts w:cs="Calibri"/>
                <w:sz w:val="22"/>
                <w:szCs w:val="22"/>
              </w:rPr>
              <w:t>0.11</w:t>
            </w:r>
          </w:p>
        </w:tc>
        <w:tc>
          <w:tcPr>
            <w:tcW w:w="742" w:type="dxa"/>
            <w:tcBorders>
              <w:top w:val="nil"/>
              <w:left w:val="nil"/>
              <w:bottom w:val="single" w:sz="4" w:space="0" w:color="auto"/>
              <w:right w:val="single" w:sz="4" w:space="0" w:color="auto"/>
            </w:tcBorders>
            <w:shd w:val="clear" w:color="auto" w:fill="auto"/>
            <w:noWrap/>
            <w:vAlign w:val="center"/>
            <w:hideMark/>
          </w:tcPr>
          <w:p w14:paraId="0CE17882" w14:textId="77777777" w:rsidR="00220C8B" w:rsidRPr="00220C8B" w:rsidRDefault="00220C8B" w:rsidP="00220C8B">
            <w:pPr>
              <w:jc w:val="right"/>
              <w:rPr>
                <w:rFonts w:cs="Calibri"/>
                <w:sz w:val="22"/>
                <w:szCs w:val="22"/>
              </w:rPr>
            </w:pPr>
            <w:r w:rsidRPr="00220C8B">
              <w:rPr>
                <w:rFonts w:cs="Calibri"/>
                <w:sz w:val="22"/>
                <w:szCs w:val="22"/>
              </w:rPr>
              <w:t>103.3</w:t>
            </w:r>
          </w:p>
        </w:tc>
      </w:tr>
      <w:tr w:rsidR="00220C8B" w:rsidRPr="00220C8B" w14:paraId="26CA8230"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55578F90"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1B2B7B3B" w14:textId="77777777" w:rsidR="00220C8B" w:rsidRPr="00220C8B" w:rsidRDefault="00220C8B" w:rsidP="00220C8B">
            <w:pPr>
              <w:jc w:val="center"/>
              <w:rPr>
                <w:rFonts w:cs="Calibri"/>
                <w:sz w:val="22"/>
                <w:szCs w:val="22"/>
              </w:rPr>
            </w:pPr>
            <w:r w:rsidRPr="00220C8B">
              <w:rPr>
                <w:rFonts w:cs="Calibri"/>
                <w:sz w:val="22"/>
                <w:szCs w:val="22"/>
              </w:rPr>
              <w:t>PGST</w:t>
            </w:r>
          </w:p>
        </w:tc>
        <w:tc>
          <w:tcPr>
            <w:tcW w:w="1392" w:type="dxa"/>
            <w:vMerge/>
            <w:tcBorders>
              <w:top w:val="nil"/>
              <w:left w:val="single" w:sz="4" w:space="0" w:color="auto"/>
              <w:bottom w:val="single" w:sz="4" w:space="0" w:color="000000"/>
              <w:right w:val="single" w:sz="4" w:space="0" w:color="auto"/>
            </w:tcBorders>
            <w:vAlign w:val="center"/>
            <w:hideMark/>
          </w:tcPr>
          <w:p w14:paraId="6E2339D5"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586E9172"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24CEA000" w14:textId="77777777" w:rsidR="00220C8B" w:rsidRPr="00220C8B" w:rsidRDefault="00220C8B" w:rsidP="00220C8B">
            <w:pPr>
              <w:jc w:val="right"/>
              <w:rPr>
                <w:rFonts w:cs="Calibri"/>
                <w:sz w:val="22"/>
                <w:szCs w:val="22"/>
              </w:rPr>
            </w:pPr>
            <w:r w:rsidRPr="00220C8B">
              <w:rPr>
                <w:rFonts w:cs="Calibri"/>
                <w:sz w:val="22"/>
                <w:szCs w:val="22"/>
              </w:rPr>
              <w:t>7,545</w:t>
            </w:r>
          </w:p>
        </w:tc>
        <w:tc>
          <w:tcPr>
            <w:tcW w:w="1067" w:type="dxa"/>
            <w:tcBorders>
              <w:top w:val="nil"/>
              <w:left w:val="nil"/>
              <w:bottom w:val="single" w:sz="4" w:space="0" w:color="auto"/>
              <w:right w:val="single" w:sz="4" w:space="0" w:color="auto"/>
            </w:tcBorders>
            <w:shd w:val="clear" w:color="auto" w:fill="auto"/>
            <w:noWrap/>
            <w:vAlign w:val="center"/>
            <w:hideMark/>
          </w:tcPr>
          <w:p w14:paraId="25DCF4D2" w14:textId="77777777" w:rsidR="00220C8B" w:rsidRPr="00220C8B" w:rsidRDefault="00220C8B" w:rsidP="00220C8B">
            <w:pPr>
              <w:jc w:val="right"/>
              <w:rPr>
                <w:rFonts w:cs="Calibri"/>
                <w:sz w:val="22"/>
                <w:szCs w:val="22"/>
              </w:rPr>
            </w:pPr>
            <w:r w:rsidRPr="00220C8B">
              <w:rPr>
                <w:rFonts w:cs="Calibri"/>
                <w:sz w:val="22"/>
                <w:szCs w:val="22"/>
              </w:rPr>
              <w:t>2.16</w:t>
            </w:r>
          </w:p>
        </w:tc>
        <w:tc>
          <w:tcPr>
            <w:tcW w:w="1067" w:type="dxa"/>
            <w:tcBorders>
              <w:top w:val="nil"/>
              <w:left w:val="nil"/>
              <w:bottom w:val="single" w:sz="4" w:space="0" w:color="auto"/>
              <w:right w:val="single" w:sz="4" w:space="0" w:color="auto"/>
            </w:tcBorders>
            <w:shd w:val="clear" w:color="auto" w:fill="auto"/>
            <w:noWrap/>
            <w:vAlign w:val="center"/>
            <w:hideMark/>
          </w:tcPr>
          <w:p w14:paraId="28A8E772" w14:textId="77777777" w:rsidR="00220C8B" w:rsidRPr="00220C8B" w:rsidRDefault="00220C8B" w:rsidP="00220C8B">
            <w:pPr>
              <w:jc w:val="right"/>
              <w:rPr>
                <w:rFonts w:cs="Calibri"/>
                <w:sz w:val="22"/>
                <w:szCs w:val="22"/>
              </w:rPr>
            </w:pPr>
            <w:r w:rsidRPr="00220C8B">
              <w:rPr>
                <w:rFonts w:cs="Calibri"/>
                <w:sz w:val="22"/>
                <w:szCs w:val="22"/>
              </w:rPr>
              <w:t>0.31</w:t>
            </w:r>
          </w:p>
        </w:tc>
        <w:tc>
          <w:tcPr>
            <w:tcW w:w="792" w:type="dxa"/>
            <w:tcBorders>
              <w:top w:val="nil"/>
              <w:left w:val="nil"/>
              <w:bottom w:val="single" w:sz="4" w:space="0" w:color="auto"/>
              <w:right w:val="single" w:sz="4" w:space="0" w:color="auto"/>
            </w:tcBorders>
            <w:shd w:val="clear" w:color="auto" w:fill="auto"/>
            <w:noWrap/>
            <w:vAlign w:val="center"/>
            <w:hideMark/>
          </w:tcPr>
          <w:p w14:paraId="72C3BB01" w14:textId="77777777" w:rsidR="00220C8B" w:rsidRPr="00220C8B" w:rsidRDefault="00220C8B" w:rsidP="00220C8B">
            <w:pPr>
              <w:jc w:val="right"/>
              <w:rPr>
                <w:rFonts w:cs="Calibri"/>
                <w:sz w:val="22"/>
                <w:szCs w:val="22"/>
              </w:rPr>
            </w:pPr>
            <w:r w:rsidRPr="00220C8B">
              <w:rPr>
                <w:rFonts w:cs="Calibri"/>
                <w:sz w:val="22"/>
                <w:szCs w:val="22"/>
              </w:rPr>
              <w:t>14.2%</w:t>
            </w:r>
          </w:p>
        </w:tc>
        <w:tc>
          <w:tcPr>
            <w:tcW w:w="1063" w:type="dxa"/>
            <w:tcBorders>
              <w:top w:val="nil"/>
              <w:left w:val="nil"/>
              <w:bottom w:val="single" w:sz="4" w:space="0" w:color="auto"/>
              <w:right w:val="single" w:sz="4" w:space="0" w:color="auto"/>
            </w:tcBorders>
            <w:shd w:val="clear" w:color="auto" w:fill="auto"/>
            <w:noWrap/>
            <w:vAlign w:val="center"/>
            <w:hideMark/>
          </w:tcPr>
          <w:p w14:paraId="59EA1736" w14:textId="77777777" w:rsidR="00220C8B" w:rsidRPr="00220C8B" w:rsidRDefault="00220C8B" w:rsidP="00220C8B">
            <w:pPr>
              <w:jc w:val="right"/>
              <w:rPr>
                <w:rFonts w:cs="Calibri"/>
                <w:sz w:val="22"/>
                <w:szCs w:val="22"/>
              </w:rPr>
            </w:pPr>
            <w:r w:rsidRPr="00220C8B">
              <w:rPr>
                <w:rFonts w:cs="Calibri"/>
                <w:sz w:val="22"/>
                <w:szCs w:val="22"/>
              </w:rPr>
              <w:t>2.31</w:t>
            </w:r>
          </w:p>
        </w:tc>
        <w:tc>
          <w:tcPr>
            <w:tcW w:w="742" w:type="dxa"/>
            <w:tcBorders>
              <w:top w:val="nil"/>
              <w:left w:val="nil"/>
              <w:bottom w:val="single" w:sz="4" w:space="0" w:color="auto"/>
              <w:right w:val="single" w:sz="4" w:space="0" w:color="auto"/>
            </w:tcBorders>
            <w:shd w:val="clear" w:color="auto" w:fill="auto"/>
            <w:noWrap/>
            <w:vAlign w:val="center"/>
            <w:hideMark/>
          </w:tcPr>
          <w:p w14:paraId="04896A95" w14:textId="77777777" w:rsidR="00220C8B" w:rsidRPr="00220C8B" w:rsidRDefault="00220C8B" w:rsidP="00220C8B">
            <w:pPr>
              <w:jc w:val="right"/>
              <w:rPr>
                <w:rFonts w:cs="Calibri"/>
                <w:sz w:val="22"/>
                <w:szCs w:val="22"/>
              </w:rPr>
            </w:pPr>
            <w:r w:rsidRPr="00220C8B">
              <w:rPr>
                <w:rFonts w:cs="Calibri"/>
                <w:sz w:val="22"/>
                <w:szCs w:val="22"/>
              </w:rPr>
              <w:t>93.0</w:t>
            </w:r>
          </w:p>
        </w:tc>
      </w:tr>
      <w:tr w:rsidR="00220C8B" w:rsidRPr="00220C8B" w14:paraId="03C0A58D"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41F13DC9"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5EDC1365" w14:textId="77777777" w:rsidR="00220C8B" w:rsidRPr="00220C8B" w:rsidRDefault="00220C8B" w:rsidP="00220C8B">
            <w:pPr>
              <w:jc w:val="center"/>
              <w:rPr>
                <w:rFonts w:cs="Calibri"/>
                <w:sz w:val="22"/>
                <w:szCs w:val="22"/>
              </w:rPr>
            </w:pPr>
            <w:r w:rsidRPr="00220C8B">
              <w:rPr>
                <w:rFonts w:cs="Calibri"/>
                <w:sz w:val="22"/>
                <w:szCs w:val="22"/>
              </w:rPr>
              <w:t>PGZP</w:t>
            </w:r>
          </w:p>
        </w:tc>
        <w:tc>
          <w:tcPr>
            <w:tcW w:w="1392" w:type="dxa"/>
            <w:vMerge/>
            <w:tcBorders>
              <w:top w:val="nil"/>
              <w:left w:val="single" w:sz="4" w:space="0" w:color="auto"/>
              <w:bottom w:val="single" w:sz="4" w:space="0" w:color="000000"/>
              <w:right w:val="single" w:sz="4" w:space="0" w:color="auto"/>
            </w:tcBorders>
            <w:vAlign w:val="center"/>
            <w:hideMark/>
          </w:tcPr>
          <w:p w14:paraId="3BE0FF8E"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41B8B9B6"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66B94DC3" w14:textId="77777777" w:rsidR="00220C8B" w:rsidRPr="00220C8B" w:rsidRDefault="00220C8B" w:rsidP="00220C8B">
            <w:pPr>
              <w:jc w:val="right"/>
              <w:rPr>
                <w:rFonts w:cs="Calibri"/>
                <w:sz w:val="22"/>
                <w:szCs w:val="22"/>
              </w:rPr>
            </w:pPr>
            <w:r w:rsidRPr="00220C8B">
              <w:rPr>
                <w:rFonts w:cs="Calibri"/>
                <w:sz w:val="22"/>
                <w:szCs w:val="22"/>
              </w:rPr>
              <w:t>2,263</w:t>
            </w:r>
          </w:p>
        </w:tc>
        <w:tc>
          <w:tcPr>
            <w:tcW w:w="1067" w:type="dxa"/>
            <w:tcBorders>
              <w:top w:val="nil"/>
              <w:left w:val="nil"/>
              <w:bottom w:val="single" w:sz="4" w:space="0" w:color="auto"/>
              <w:right w:val="single" w:sz="4" w:space="0" w:color="auto"/>
            </w:tcBorders>
            <w:shd w:val="clear" w:color="auto" w:fill="auto"/>
            <w:noWrap/>
            <w:vAlign w:val="center"/>
            <w:hideMark/>
          </w:tcPr>
          <w:p w14:paraId="6DE91917" w14:textId="77777777" w:rsidR="00220C8B" w:rsidRPr="00220C8B" w:rsidRDefault="00220C8B" w:rsidP="00220C8B">
            <w:pPr>
              <w:jc w:val="right"/>
              <w:rPr>
                <w:rFonts w:cs="Calibri"/>
                <w:sz w:val="22"/>
                <w:szCs w:val="22"/>
              </w:rPr>
            </w:pPr>
            <w:r w:rsidRPr="00220C8B">
              <w:rPr>
                <w:rFonts w:cs="Calibri"/>
                <w:sz w:val="22"/>
                <w:szCs w:val="22"/>
              </w:rPr>
              <w:t>2.31</w:t>
            </w:r>
          </w:p>
        </w:tc>
        <w:tc>
          <w:tcPr>
            <w:tcW w:w="1067" w:type="dxa"/>
            <w:tcBorders>
              <w:top w:val="nil"/>
              <w:left w:val="nil"/>
              <w:bottom w:val="single" w:sz="4" w:space="0" w:color="auto"/>
              <w:right w:val="single" w:sz="4" w:space="0" w:color="auto"/>
            </w:tcBorders>
            <w:shd w:val="clear" w:color="auto" w:fill="auto"/>
            <w:noWrap/>
            <w:vAlign w:val="center"/>
            <w:hideMark/>
          </w:tcPr>
          <w:p w14:paraId="22746CBC" w14:textId="77777777" w:rsidR="00220C8B" w:rsidRPr="00220C8B" w:rsidRDefault="00220C8B" w:rsidP="00220C8B">
            <w:pPr>
              <w:jc w:val="right"/>
              <w:rPr>
                <w:rFonts w:cs="Calibri"/>
                <w:sz w:val="22"/>
                <w:szCs w:val="22"/>
              </w:rPr>
            </w:pPr>
            <w:r w:rsidRPr="00220C8B">
              <w:rPr>
                <w:rFonts w:cs="Calibri"/>
                <w:sz w:val="22"/>
                <w:szCs w:val="22"/>
              </w:rPr>
              <w:t>0.17</w:t>
            </w:r>
          </w:p>
        </w:tc>
        <w:tc>
          <w:tcPr>
            <w:tcW w:w="792" w:type="dxa"/>
            <w:tcBorders>
              <w:top w:val="nil"/>
              <w:left w:val="nil"/>
              <w:bottom w:val="single" w:sz="4" w:space="0" w:color="auto"/>
              <w:right w:val="single" w:sz="4" w:space="0" w:color="auto"/>
            </w:tcBorders>
            <w:shd w:val="clear" w:color="auto" w:fill="auto"/>
            <w:noWrap/>
            <w:vAlign w:val="center"/>
            <w:hideMark/>
          </w:tcPr>
          <w:p w14:paraId="677C38FE" w14:textId="77777777" w:rsidR="00220C8B" w:rsidRPr="00220C8B" w:rsidRDefault="00220C8B" w:rsidP="00220C8B">
            <w:pPr>
              <w:jc w:val="right"/>
              <w:rPr>
                <w:rFonts w:cs="Calibri"/>
                <w:sz w:val="22"/>
                <w:szCs w:val="22"/>
              </w:rPr>
            </w:pPr>
            <w:r w:rsidRPr="00220C8B">
              <w:rPr>
                <w:rFonts w:cs="Calibri"/>
                <w:sz w:val="22"/>
                <w:szCs w:val="22"/>
              </w:rPr>
              <w:t>7.4%</w:t>
            </w:r>
          </w:p>
        </w:tc>
        <w:tc>
          <w:tcPr>
            <w:tcW w:w="1063" w:type="dxa"/>
            <w:tcBorders>
              <w:top w:val="nil"/>
              <w:left w:val="nil"/>
              <w:bottom w:val="single" w:sz="4" w:space="0" w:color="auto"/>
              <w:right w:val="single" w:sz="4" w:space="0" w:color="auto"/>
            </w:tcBorders>
            <w:shd w:val="clear" w:color="auto" w:fill="auto"/>
            <w:noWrap/>
            <w:vAlign w:val="center"/>
            <w:hideMark/>
          </w:tcPr>
          <w:p w14:paraId="23A35A2B" w14:textId="77777777" w:rsidR="00220C8B" w:rsidRPr="00220C8B" w:rsidRDefault="00220C8B" w:rsidP="00220C8B">
            <w:pPr>
              <w:jc w:val="right"/>
              <w:rPr>
                <w:rFonts w:cs="Calibri"/>
                <w:sz w:val="22"/>
                <w:szCs w:val="22"/>
              </w:rPr>
            </w:pPr>
            <w:r w:rsidRPr="00220C8B">
              <w:rPr>
                <w:rFonts w:cs="Calibri"/>
                <w:sz w:val="22"/>
                <w:szCs w:val="22"/>
              </w:rPr>
              <w:t>0.39</w:t>
            </w:r>
          </w:p>
        </w:tc>
        <w:tc>
          <w:tcPr>
            <w:tcW w:w="742" w:type="dxa"/>
            <w:tcBorders>
              <w:top w:val="nil"/>
              <w:left w:val="nil"/>
              <w:bottom w:val="single" w:sz="4" w:space="0" w:color="auto"/>
              <w:right w:val="single" w:sz="4" w:space="0" w:color="auto"/>
            </w:tcBorders>
            <w:shd w:val="clear" w:color="auto" w:fill="auto"/>
            <w:noWrap/>
            <w:vAlign w:val="center"/>
            <w:hideMark/>
          </w:tcPr>
          <w:p w14:paraId="4CC6DAB1" w14:textId="77777777" w:rsidR="00220C8B" w:rsidRPr="00220C8B" w:rsidRDefault="00220C8B" w:rsidP="00220C8B">
            <w:pPr>
              <w:jc w:val="right"/>
              <w:rPr>
                <w:rFonts w:cs="Calibri"/>
                <w:sz w:val="22"/>
                <w:szCs w:val="22"/>
              </w:rPr>
            </w:pPr>
            <w:r w:rsidRPr="00220C8B">
              <w:rPr>
                <w:rFonts w:cs="Calibri"/>
                <w:sz w:val="22"/>
                <w:szCs w:val="22"/>
              </w:rPr>
              <w:t>98.3</w:t>
            </w:r>
          </w:p>
        </w:tc>
      </w:tr>
      <w:tr w:rsidR="00220C8B" w:rsidRPr="00220C8B" w14:paraId="353863BA" w14:textId="77777777" w:rsidTr="00F51B69">
        <w:trPr>
          <w:trHeight w:val="300"/>
          <w:jc w:val="center"/>
        </w:trPr>
        <w:tc>
          <w:tcPr>
            <w:tcW w:w="8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9BBF42" w14:textId="77777777" w:rsidR="00220C8B" w:rsidRPr="00220C8B" w:rsidRDefault="00220C8B" w:rsidP="00220C8B">
            <w:pPr>
              <w:jc w:val="center"/>
              <w:rPr>
                <w:rFonts w:cs="Calibri"/>
                <w:sz w:val="22"/>
                <w:szCs w:val="22"/>
              </w:rPr>
            </w:pPr>
            <w:r w:rsidRPr="00220C8B">
              <w:rPr>
                <w:rFonts w:cs="Calibri"/>
                <w:sz w:val="22"/>
                <w:szCs w:val="22"/>
              </w:rPr>
              <w:t>9-Aug</w:t>
            </w:r>
          </w:p>
        </w:tc>
        <w:tc>
          <w:tcPr>
            <w:tcW w:w="728" w:type="dxa"/>
            <w:tcBorders>
              <w:top w:val="nil"/>
              <w:left w:val="nil"/>
              <w:bottom w:val="single" w:sz="4" w:space="0" w:color="auto"/>
              <w:right w:val="single" w:sz="4" w:space="0" w:color="auto"/>
            </w:tcBorders>
            <w:shd w:val="clear" w:color="auto" w:fill="auto"/>
            <w:noWrap/>
            <w:vAlign w:val="center"/>
            <w:hideMark/>
          </w:tcPr>
          <w:p w14:paraId="420500D2" w14:textId="77777777" w:rsidR="00220C8B" w:rsidRPr="00220C8B" w:rsidRDefault="00220C8B" w:rsidP="00220C8B">
            <w:pPr>
              <w:jc w:val="center"/>
              <w:rPr>
                <w:rFonts w:cs="Calibri"/>
                <w:sz w:val="22"/>
                <w:szCs w:val="22"/>
              </w:rPr>
            </w:pPr>
            <w:r w:rsidRPr="00220C8B">
              <w:rPr>
                <w:rFonts w:cs="Calibri"/>
                <w:sz w:val="22"/>
                <w:szCs w:val="22"/>
              </w:rPr>
              <w:t>PGEB</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FD5AD2" w14:textId="77777777" w:rsidR="00220C8B" w:rsidRPr="00220C8B" w:rsidRDefault="00220C8B" w:rsidP="00220C8B">
            <w:pPr>
              <w:jc w:val="center"/>
              <w:rPr>
                <w:rFonts w:cs="Calibri"/>
                <w:sz w:val="22"/>
                <w:szCs w:val="22"/>
              </w:rPr>
            </w:pPr>
            <w:r w:rsidRPr="00220C8B">
              <w:rPr>
                <w:rFonts w:cs="Calibri"/>
                <w:sz w:val="22"/>
                <w:szCs w:val="22"/>
              </w:rPr>
              <w:t>4-7 p.m.</w:t>
            </w:r>
          </w:p>
        </w:tc>
        <w:tc>
          <w:tcPr>
            <w:tcW w:w="12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91FEA9" w14:textId="77777777" w:rsidR="00220C8B" w:rsidRPr="00220C8B" w:rsidRDefault="00220C8B" w:rsidP="00220C8B">
            <w:pPr>
              <w:jc w:val="center"/>
              <w:rPr>
                <w:rFonts w:cs="Calibri"/>
                <w:sz w:val="22"/>
                <w:szCs w:val="22"/>
              </w:rPr>
            </w:pPr>
            <w:r w:rsidRPr="00220C8B">
              <w:rPr>
                <w:rFonts w:cs="Calibri"/>
                <w:sz w:val="22"/>
                <w:szCs w:val="22"/>
              </w:rPr>
              <w:t>No</w:t>
            </w:r>
          </w:p>
        </w:tc>
        <w:tc>
          <w:tcPr>
            <w:tcW w:w="851" w:type="dxa"/>
            <w:tcBorders>
              <w:top w:val="nil"/>
              <w:left w:val="nil"/>
              <w:bottom w:val="single" w:sz="4" w:space="0" w:color="auto"/>
              <w:right w:val="single" w:sz="4" w:space="0" w:color="auto"/>
            </w:tcBorders>
            <w:shd w:val="clear" w:color="auto" w:fill="auto"/>
            <w:noWrap/>
            <w:vAlign w:val="center"/>
            <w:hideMark/>
          </w:tcPr>
          <w:p w14:paraId="79E36119" w14:textId="77777777" w:rsidR="00220C8B" w:rsidRPr="00220C8B" w:rsidRDefault="00220C8B" w:rsidP="00220C8B">
            <w:pPr>
              <w:jc w:val="right"/>
              <w:rPr>
                <w:rFonts w:cs="Calibri"/>
                <w:sz w:val="22"/>
                <w:szCs w:val="22"/>
              </w:rPr>
            </w:pPr>
            <w:r w:rsidRPr="00220C8B">
              <w:rPr>
                <w:rFonts w:cs="Calibri"/>
                <w:sz w:val="22"/>
                <w:szCs w:val="22"/>
              </w:rPr>
              <w:t>21,061</w:t>
            </w:r>
          </w:p>
        </w:tc>
        <w:tc>
          <w:tcPr>
            <w:tcW w:w="1067" w:type="dxa"/>
            <w:tcBorders>
              <w:top w:val="nil"/>
              <w:left w:val="nil"/>
              <w:bottom w:val="single" w:sz="4" w:space="0" w:color="auto"/>
              <w:right w:val="single" w:sz="4" w:space="0" w:color="auto"/>
            </w:tcBorders>
            <w:shd w:val="clear" w:color="auto" w:fill="auto"/>
            <w:noWrap/>
            <w:vAlign w:val="center"/>
            <w:hideMark/>
          </w:tcPr>
          <w:p w14:paraId="2310F5C5" w14:textId="77777777" w:rsidR="00220C8B" w:rsidRPr="00220C8B" w:rsidRDefault="00220C8B" w:rsidP="00220C8B">
            <w:pPr>
              <w:jc w:val="right"/>
              <w:rPr>
                <w:rFonts w:cs="Calibri"/>
                <w:sz w:val="22"/>
                <w:szCs w:val="22"/>
              </w:rPr>
            </w:pPr>
            <w:r w:rsidRPr="00220C8B">
              <w:rPr>
                <w:rFonts w:cs="Calibri"/>
                <w:sz w:val="22"/>
                <w:szCs w:val="22"/>
              </w:rPr>
              <w:t>2.16</w:t>
            </w:r>
          </w:p>
        </w:tc>
        <w:tc>
          <w:tcPr>
            <w:tcW w:w="1067" w:type="dxa"/>
            <w:tcBorders>
              <w:top w:val="nil"/>
              <w:left w:val="nil"/>
              <w:bottom w:val="single" w:sz="4" w:space="0" w:color="auto"/>
              <w:right w:val="single" w:sz="4" w:space="0" w:color="auto"/>
            </w:tcBorders>
            <w:shd w:val="clear" w:color="auto" w:fill="auto"/>
            <w:noWrap/>
            <w:vAlign w:val="center"/>
            <w:hideMark/>
          </w:tcPr>
          <w:p w14:paraId="5CB13971" w14:textId="77777777" w:rsidR="00220C8B" w:rsidRPr="00220C8B" w:rsidRDefault="00220C8B" w:rsidP="00220C8B">
            <w:pPr>
              <w:jc w:val="right"/>
              <w:rPr>
                <w:rFonts w:cs="Calibri"/>
                <w:sz w:val="22"/>
                <w:szCs w:val="22"/>
              </w:rPr>
            </w:pPr>
            <w:r w:rsidRPr="00220C8B">
              <w:rPr>
                <w:rFonts w:cs="Calibri"/>
                <w:sz w:val="22"/>
                <w:szCs w:val="22"/>
              </w:rPr>
              <w:t>0.37</w:t>
            </w:r>
          </w:p>
        </w:tc>
        <w:tc>
          <w:tcPr>
            <w:tcW w:w="792" w:type="dxa"/>
            <w:tcBorders>
              <w:top w:val="nil"/>
              <w:left w:val="nil"/>
              <w:bottom w:val="single" w:sz="4" w:space="0" w:color="auto"/>
              <w:right w:val="single" w:sz="4" w:space="0" w:color="auto"/>
            </w:tcBorders>
            <w:shd w:val="clear" w:color="auto" w:fill="auto"/>
            <w:noWrap/>
            <w:vAlign w:val="center"/>
            <w:hideMark/>
          </w:tcPr>
          <w:p w14:paraId="15F58AB5" w14:textId="77777777" w:rsidR="00220C8B" w:rsidRPr="00220C8B" w:rsidRDefault="00220C8B" w:rsidP="00220C8B">
            <w:pPr>
              <w:jc w:val="right"/>
              <w:rPr>
                <w:rFonts w:cs="Calibri"/>
                <w:sz w:val="22"/>
                <w:szCs w:val="22"/>
              </w:rPr>
            </w:pPr>
            <w:r w:rsidRPr="00220C8B">
              <w:rPr>
                <w:rFonts w:cs="Calibri"/>
                <w:sz w:val="22"/>
                <w:szCs w:val="22"/>
              </w:rPr>
              <w:t>17.1%</w:t>
            </w:r>
          </w:p>
        </w:tc>
        <w:tc>
          <w:tcPr>
            <w:tcW w:w="1063" w:type="dxa"/>
            <w:tcBorders>
              <w:top w:val="nil"/>
              <w:left w:val="nil"/>
              <w:bottom w:val="single" w:sz="4" w:space="0" w:color="auto"/>
              <w:right w:val="single" w:sz="4" w:space="0" w:color="auto"/>
            </w:tcBorders>
            <w:shd w:val="clear" w:color="auto" w:fill="auto"/>
            <w:noWrap/>
            <w:vAlign w:val="center"/>
            <w:hideMark/>
          </w:tcPr>
          <w:p w14:paraId="07D6EF64" w14:textId="77777777" w:rsidR="00220C8B" w:rsidRPr="00220C8B" w:rsidRDefault="00220C8B" w:rsidP="00220C8B">
            <w:pPr>
              <w:jc w:val="right"/>
              <w:rPr>
                <w:rFonts w:cs="Calibri"/>
                <w:sz w:val="22"/>
                <w:szCs w:val="22"/>
              </w:rPr>
            </w:pPr>
            <w:r w:rsidRPr="00220C8B">
              <w:rPr>
                <w:rFonts w:cs="Calibri"/>
                <w:sz w:val="22"/>
                <w:szCs w:val="22"/>
              </w:rPr>
              <w:t>7.79</w:t>
            </w:r>
          </w:p>
        </w:tc>
        <w:tc>
          <w:tcPr>
            <w:tcW w:w="742" w:type="dxa"/>
            <w:tcBorders>
              <w:top w:val="nil"/>
              <w:left w:val="nil"/>
              <w:bottom w:val="single" w:sz="4" w:space="0" w:color="auto"/>
              <w:right w:val="single" w:sz="4" w:space="0" w:color="auto"/>
            </w:tcBorders>
            <w:shd w:val="clear" w:color="auto" w:fill="auto"/>
            <w:noWrap/>
            <w:vAlign w:val="center"/>
            <w:hideMark/>
          </w:tcPr>
          <w:p w14:paraId="5BAA7431" w14:textId="77777777" w:rsidR="00220C8B" w:rsidRPr="00220C8B" w:rsidRDefault="00220C8B" w:rsidP="00220C8B">
            <w:pPr>
              <w:jc w:val="right"/>
              <w:rPr>
                <w:rFonts w:cs="Calibri"/>
                <w:sz w:val="22"/>
                <w:szCs w:val="22"/>
              </w:rPr>
            </w:pPr>
            <w:r w:rsidRPr="00220C8B">
              <w:rPr>
                <w:rFonts w:cs="Calibri"/>
                <w:sz w:val="22"/>
                <w:szCs w:val="22"/>
              </w:rPr>
              <w:t>96.8</w:t>
            </w:r>
          </w:p>
        </w:tc>
      </w:tr>
      <w:tr w:rsidR="00220C8B" w:rsidRPr="00220C8B" w14:paraId="09F9C209"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4F56ADF0"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4B5BA215" w14:textId="77777777" w:rsidR="00220C8B" w:rsidRPr="00220C8B" w:rsidRDefault="00220C8B" w:rsidP="00220C8B">
            <w:pPr>
              <w:jc w:val="center"/>
              <w:rPr>
                <w:rFonts w:cs="Calibri"/>
                <w:sz w:val="22"/>
                <w:szCs w:val="22"/>
              </w:rPr>
            </w:pPr>
            <w:r w:rsidRPr="00220C8B">
              <w:rPr>
                <w:rFonts w:cs="Calibri"/>
                <w:sz w:val="22"/>
                <w:szCs w:val="22"/>
              </w:rPr>
              <w:t>PGF1</w:t>
            </w:r>
          </w:p>
        </w:tc>
        <w:tc>
          <w:tcPr>
            <w:tcW w:w="1392" w:type="dxa"/>
            <w:vMerge/>
            <w:tcBorders>
              <w:top w:val="nil"/>
              <w:left w:val="single" w:sz="4" w:space="0" w:color="auto"/>
              <w:bottom w:val="single" w:sz="4" w:space="0" w:color="000000"/>
              <w:right w:val="single" w:sz="4" w:space="0" w:color="auto"/>
            </w:tcBorders>
            <w:vAlign w:val="center"/>
            <w:hideMark/>
          </w:tcPr>
          <w:p w14:paraId="1565EDED"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02655EF7"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05F8D03F" w14:textId="77777777" w:rsidR="00220C8B" w:rsidRPr="00220C8B" w:rsidRDefault="00220C8B" w:rsidP="00220C8B">
            <w:pPr>
              <w:jc w:val="right"/>
              <w:rPr>
                <w:rFonts w:cs="Calibri"/>
                <w:sz w:val="22"/>
                <w:szCs w:val="22"/>
              </w:rPr>
            </w:pPr>
            <w:r w:rsidRPr="00220C8B">
              <w:rPr>
                <w:rFonts w:cs="Calibri"/>
                <w:sz w:val="22"/>
                <w:szCs w:val="22"/>
              </w:rPr>
              <w:t>17,316</w:t>
            </w:r>
          </w:p>
        </w:tc>
        <w:tc>
          <w:tcPr>
            <w:tcW w:w="1067" w:type="dxa"/>
            <w:tcBorders>
              <w:top w:val="nil"/>
              <w:left w:val="nil"/>
              <w:bottom w:val="single" w:sz="4" w:space="0" w:color="auto"/>
              <w:right w:val="single" w:sz="4" w:space="0" w:color="auto"/>
            </w:tcBorders>
            <w:shd w:val="clear" w:color="auto" w:fill="auto"/>
            <w:noWrap/>
            <w:vAlign w:val="center"/>
            <w:hideMark/>
          </w:tcPr>
          <w:p w14:paraId="3559C24D" w14:textId="77777777" w:rsidR="00220C8B" w:rsidRPr="00220C8B" w:rsidRDefault="00220C8B" w:rsidP="00220C8B">
            <w:pPr>
              <w:jc w:val="right"/>
              <w:rPr>
                <w:rFonts w:cs="Calibri"/>
                <w:sz w:val="22"/>
                <w:szCs w:val="22"/>
              </w:rPr>
            </w:pPr>
            <w:r w:rsidRPr="00220C8B">
              <w:rPr>
                <w:rFonts w:cs="Calibri"/>
                <w:sz w:val="22"/>
                <w:szCs w:val="22"/>
              </w:rPr>
              <w:t>2.76</w:t>
            </w:r>
          </w:p>
        </w:tc>
        <w:tc>
          <w:tcPr>
            <w:tcW w:w="1067" w:type="dxa"/>
            <w:tcBorders>
              <w:top w:val="nil"/>
              <w:left w:val="nil"/>
              <w:bottom w:val="single" w:sz="4" w:space="0" w:color="auto"/>
              <w:right w:val="single" w:sz="4" w:space="0" w:color="auto"/>
            </w:tcBorders>
            <w:shd w:val="clear" w:color="auto" w:fill="auto"/>
            <w:noWrap/>
            <w:vAlign w:val="center"/>
            <w:hideMark/>
          </w:tcPr>
          <w:p w14:paraId="4F7FE465" w14:textId="77777777" w:rsidR="00220C8B" w:rsidRPr="00220C8B" w:rsidRDefault="00220C8B" w:rsidP="00220C8B">
            <w:pPr>
              <w:jc w:val="right"/>
              <w:rPr>
                <w:rFonts w:cs="Calibri"/>
                <w:sz w:val="22"/>
                <w:szCs w:val="22"/>
              </w:rPr>
            </w:pPr>
            <w:r w:rsidRPr="00220C8B">
              <w:rPr>
                <w:rFonts w:cs="Calibri"/>
                <w:sz w:val="22"/>
                <w:szCs w:val="22"/>
              </w:rPr>
              <w:t>0.39</w:t>
            </w:r>
          </w:p>
        </w:tc>
        <w:tc>
          <w:tcPr>
            <w:tcW w:w="792" w:type="dxa"/>
            <w:tcBorders>
              <w:top w:val="nil"/>
              <w:left w:val="nil"/>
              <w:bottom w:val="single" w:sz="4" w:space="0" w:color="auto"/>
              <w:right w:val="single" w:sz="4" w:space="0" w:color="auto"/>
            </w:tcBorders>
            <w:shd w:val="clear" w:color="auto" w:fill="auto"/>
            <w:noWrap/>
            <w:vAlign w:val="center"/>
            <w:hideMark/>
          </w:tcPr>
          <w:p w14:paraId="7869DEE0" w14:textId="77777777" w:rsidR="00220C8B" w:rsidRPr="00220C8B" w:rsidRDefault="00220C8B" w:rsidP="00220C8B">
            <w:pPr>
              <w:jc w:val="right"/>
              <w:rPr>
                <w:rFonts w:cs="Calibri"/>
                <w:sz w:val="22"/>
                <w:szCs w:val="22"/>
              </w:rPr>
            </w:pPr>
            <w:r w:rsidRPr="00220C8B">
              <w:rPr>
                <w:rFonts w:cs="Calibri"/>
                <w:sz w:val="22"/>
                <w:szCs w:val="22"/>
              </w:rPr>
              <w:t>14.2%</w:t>
            </w:r>
          </w:p>
        </w:tc>
        <w:tc>
          <w:tcPr>
            <w:tcW w:w="1063" w:type="dxa"/>
            <w:tcBorders>
              <w:top w:val="nil"/>
              <w:left w:val="nil"/>
              <w:bottom w:val="single" w:sz="4" w:space="0" w:color="auto"/>
              <w:right w:val="single" w:sz="4" w:space="0" w:color="auto"/>
            </w:tcBorders>
            <w:shd w:val="clear" w:color="auto" w:fill="auto"/>
            <w:noWrap/>
            <w:vAlign w:val="center"/>
            <w:hideMark/>
          </w:tcPr>
          <w:p w14:paraId="10983A5A" w14:textId="77777777" w:rsidR="00220C8B" w:rsidRPr="00220C8B" w:rsidRDefault="00220C8B" w:rsidP="00220C8B">
            <w:pPr>
              <w:jc w:val="right"/>
              <w:rPr>
                <w:rFonts w:cs="Calibri"/>
                <w:sz w:val="22"/>
                <w:szCs w:val="22"/>
              </w:rPr>
            </w:pPr>
            <w:r w:rsidRPr="00220C8B">
              <w:rPr>
                <w:rFonts w:cs="Calibri"/>
                <w:sz w:val="22"/>
                <w:szCs w:val="22"/>
              </w:rPr>
              <w:t>6.81</w:t>
            </w:r>
          </w:p>
        </w:tc>
        <w:tc>
          <w:tcPr>
            <w:tcW w:w="742" w:type="dxa"/>
            <w:tcBorders>
              <w:top w:val="nil"/>
              <w:left w:val="nil"/>
              <w:bottom w:val="single" w:sz="4" w:space="0" w:color="auto"/>
              <w:right w:val="single" w:sz="4" w:space="0" w:color="auto"/>
            </w:tcBorders>
            <w:shd w:val="clear" w:color="auto" w:fill="auto"/>
            <w:noWrap/>
            <w:vAlign w:val="center"/>
            <w:hideMark/>
          </w:tcPr>
          <w:p w14:paraId="3B0355A7" w14:textId="77777777" w:rsidR="00220C8B" w:rsidRPr="00220C8B" w:rsidRDefault="00220C8B" w:rsidP="00220C8B">
            <w:pPr>
              <w:jc w:val="right"/>
              <w:rPr>
                <w:rFonts w:cs="Calibri"/>
                <w:sz w:val="22"/>
                <w:szCs w:val="22"/>
              </w:rPr>
            </w:pPr>
            <w:r w:rsidRPr="00220C8B">
              <w:rPr>
                <w:rFonts w:cs="Calibri"/>
                <w:sz w:val="22"/>
                <w:szCs w:val="22"/>
              </w:rPr>
              <w:t>103.5</w:t>
            </w:r>
          </w:p>
        </w:tc>
      </w:tr>
      <w:tr w:rsidR="00220C8B" w:rsidRPr="00220C8B" w14:paraId="0B5AF75D"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4D9588FE"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7CB55B2D" w14:textId="77777777" w:rsidR="00220C8B" w:rsidRPr="00220C8B" w:rsidRDefault="00220C8B" w:rsidP="00220C8B">
            <w:pPr>
              <w:jc w:val="center"/>
              <w:rPr>
                <w:rFonts w:cs="Calibri"/>
                <w:sz w:val="22"/>
                <w:szCs w:val="22"/>
              </w:rPr>
            </w:pPr>
            <w:r w:rsidRPr="00220C8B">
              <w:rPr>
                <w:rFonts w:cs="Calibri"/>
                <w:sz w:val="22"/>
                <w:szCs w:val="22"/>
              </w:rPr>
              <w:t>PGKN</w:t>
            </w:r>
          </w:p>
        </w:tc>
        <w:tc>
          <w:tcPr>
            <w:tcW w:w="1392" w:type="dxa"/>
            <w:vMerge/>
            <w:tcBorders>
              <w:top w:val="nil"/>
              <w:left w:val="single" w:sz="4" w:space="0" w:color="auto"/>
              <w:bottom w:val="single" w:sz="4" w:space="0" w:color="000000"/>
              <w:right w:val="single" w:sz="4" w:space="0" w:color="auto"/>
            </w:tcBorders>
            <w:vAlign w:val="center"/>
            <w:hideMark/>
          </w:tcPr>
          <w:p w14:paraId="5477C48F"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11BC7B7E"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06DA4693" w14:textId="77777777" w:rsidR="00220C8B" w:rsidRPr="00220C8B" w:rsidRDefault="00220C8B" w:rsidP="00220C8B">
            <w:pPr>
              <w:jc w:val="right"/>
              <w:rPr>
                <w:rFonts w:cs="Calibri"/>
                <w:sz w:val="22"/>
                <w:szCs w:val="22"/>
              </w:rPr>
            </w:pPr>
            <w:r w:rsidRPr="00220C8B">
              <w:rPr>
                <w:rFonts w:cs="Calibri"/>
                <w:sz w:val="22"/>
                <w:szCs w:val="22"/>
              </w:rPr>
              <w:t>5,590</w:t>
            </w:r>
          </w:p>
        </w:tc>
        <w:tc>
          <w:tcPr>
            <w:tcW w:w="1067" w:type="dxa"/>
            <w:tcBorders>
              <w:top w:val="nil"/>
              <w:left w:val="nil"/>
              <w:bottom w:val="single" w:sz="4" w:space="0" w:color="auto"/>
              <w:right w:val="single" w:sz="4" w:space="0" w:color="auto"/>
            </w:tcBorders>
            <w:shd w:val="clear" w:color="auto" w:fill="auto"/>
            <w:noWrap/>
            <w:vAlign w:val="center"/>
            <w:hideMark/>
          </w:tcPr>
          <w:p w14:paraId="7ED238E9" w14:textId="77777777" w:rsidR="00220C8B" w:rsidRPr="00220C8B" w:rsidRDefault="00220C8B" w:rsidP="00220C8B">
            <w:pPr>
              <w:jc w:val="right"/>
              <w:rPr>
                <w:rFonts w:cs="Calibri"/>
                <w:sz w:val="22"/>
                <w:szCs w:val="22"/>
              </w:rPr>
            </w:pPr>
            <w:r w:rsidRPr="00220C8B">
              <w:rPr>
                <w:rFonts w:cs="Calibri"/>
                <w:sz w:val="22"/>
                <w:szCs w:val="22"/>
              </w:rPr>
              <w:t>2.84</w:t>
            </w:r>
          </w:p>
        </w:tc>
        <w:tc>
          <w:tcPr>
            <w:tcW w:w="1067" w:type="dxa"/>
            <w:tcBorders>
              <w:top w:val="nil"/>
              <w:left w:val="nil"/>
              <w:bottom w:val="single" w:sz="4" w:space="0" w:color="auto"/>
              <w:right w:val="single" w:sz="4" w:space="0" w:color="auto"/>
            </w:tcBorders>
            <w:shd w:val="clear" w:color="auto" w:fill="auto"/>
            <w:noWrap/>
            <w:vAlign w:val="center"/>
            <w:hideMark/>
          </w:tcPr>
          <w:p w14:paraId="61DE35BC" w14:textId="77777777" w:rsidR="00220C8B" w:rsidRPr="00220C8B" w:rsidRDefault="00220C8B" w:rsidP="00220C8B">
            <w:pPr>
              <w:jc w:val="right"/>
              <w:rPr>
                <w:rFonts w:cs="Calibri"/>
                <w:sz w:val="22"/>
                <w:szCs w:val="22"/>
              </w:rPr>
            </w:pPr>
            <w:r w:rsidRPr="00220C8B">
              <w:rPr>
                <w:rFonts w:cs="Calibri"/>
                <w:sz w:val="22"/>
                <w:szCs w:val="22"/>
              </w:rPr>
              <w:t>0.04</w:t>
            </w:r>
          </w:p>
        </w:tc>
        <w:tc>
          <w:tcPr>
            <w:tcW w:w="792" w:type="dxa"/>
            <w:tcBorders>
              <w:top w:val="nil"/>
              <w:left w:val="nil"/>
              <w:bottom w:val="single" w:sz="4" w:space="0" w:color="auto"/>
              <w:right w:val="single" w:sz="4" w:space="0" w:color="auto"/>
            </w:tcBorders>
            <w:shd w:val="clear" w:color="auto" w:fill="auto"/>
            <w:noWrap/>
            <w:vAlign w:val="center"/>
            <w:hideMark/>
          </w:tcPr>
          <w:p w14:paraId="24C04723" w14:textId="77777777" w:rsidR="00220C8B" w:rsidRPr="00220C8B" w:rsidRDefault="00220C8B" w:rsidP="00220C8B">
            <w:pPr>
              <w:jc w:val="right"/>
              <w:rPr>
                <w:rFonts w:cs="Calibri"/>
                <w:sz w:val="22"/>
                <w:szCs w:val="22"/>
              </w:rPr>
            </w:pPr>
            <w:r w:rsidRPr="00220C8B">
              <w:rPr>
                <w:rFonts w:cs="Calibri"/>
                <w:sz w:val="22"/>
                <w:szCs w:val="22"/>
              </w:rPr>
              <w:t>1.5%</w:t>
            </w:r>
          </w:p>
        </w:tc>
        <w:tc>
          <w:tcPr>
            <w:tcW w:w="1063" w:type="dxa"/>
            <w:tcBorders>
              <w:top w:val="nil"/>
              <w:left w:val="nil"/>
              <w:bottom w:val="single" w:sz="4" w:space="0" w:color="auto"/>
              <w:right w:val="single" w:sz="4" w:space="0" w:color="auto"/>
            </w:tcBorders>
            <w:shd w:val="clear" w:color="auto" w:fill="auto"/>
            <w:noWrap/>
            <w:vAlign w:val="center"/>
            <w:hideMark/>
          </w:tcPr>
          <w:p w14:paraId="7F75DB62" w14:textId="77777777" w:rsidR="00220C8B" w:rsidRPr="00220C8B" w:rsidRDefault="00220C8B" w:rsidP="00220C8B">
            <w:pPr>
              <w:jc w:val="right"/>
              <w:rPr>
                <w:rFonts w:cs="Calibri"/>
                <w:sz w:val="22"/>
                <w:szCs w:val="22"/>
              </w:rPr>
            </w:pPr>
            <w:r w:rsidRPr="00220C8B">
              <w:rPr>
                <w:rFonts w:cs="Calibri"/>
                <w:sz w:val="22"/>
                <w:szCs w:val="22"/>
              </w:rPr>
              <w:t>0.24</w:t>
            </w:r>
          </w:p>
        </w:tc>
        <w:tc>
          <w:tcPr>
            <w:tcW w:w="742" w:type="dxa"/>
            <w:tcBorders>
              <w:top w:val="nil"/>
              <w:left w:val="nil"/>
              <w:bottom w:val="single" w:sz="4" w:space="0" w:color="auto"/>
              <w:right w:val="single" w:sz="4" w:space="0" w:color="auto"/>
            </w:tcBorders>
            <w:shd w:val="clear" w:color="auto" w:fill="auto"/>
            <w:noWrap/>
            <w:vAlign w:val="center"/>
            <w:hideMark/>
          </w:tcPr>
          <w:p w14:paraId="676E3E5A" w14:textId="77777777" w:rsidR="00220C8B" w:rsidRPr="00220C8B" w:rsidRDefault="00220C8B" w:rsidP="00220C8B">
            <w:pPr>
              <w:jc w:val="right"/>
              <w:rPr>
                <w:rFonts w:cs="Calibri"/>
                <w:sz w:val="22"/>
                <w:szCs w:val="22"/>
              </w:rPr>
            </w:pPr>
            <w:r w:rsidRPr="00220C8B">
              <w:rPr>
                <w:rFonts w:cs="Calibri"/>
                <w:sz w:val="22"/>
                <w:szCs w:val="22"/>
              </w:rPr>
              <w:t>103.3</w:t>
            </w:r>
          </w:p>
        </w:tc>
      </w:tr>
      <w:tr w:rsidR="00220C8B" w:rsidRPr="00220C8B" w14:paraId="742C9007"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3BD05725"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42ABEE4C" w14:textId="77777777" w:rsidR="00220C8B" w:rsidRPr="00220C8B" w:rsidRDefault="00220C8B" w:rsidP="00220C8B">
            <w:pPr>
              <w:jc w:val="center"/>
              <w:rPr>
                <w:rFonts w:cs="Calibri"/>
                <w:sz w:val="22"/>
                <w:szCs w:val="22"/>
              </w:rPr>
            </w:pPr>
            <w:r w:rsidRPr="00220C8B">
              <w:rPr>
                <w:rFonts w:cs="Calibri"/>
                <w:sz w:val="22"/>
                <w:szCs w:val="22"/>
              </w:rPr>
              <w:t>PGSI</w:t>
            </w:r>
          </w:p>
        </w:tc>
        <w:tc>
          <w:tcPr>
            <w:tcW w:w="1392" w:type="dxa"/>
            <w:vMerge/>
            <w:tcBorders>
              <w:top w:val="nil"/>
              <w:left w:val="single" w:sz="4" w:space="0" w:color="auto"/>
              <w:bottom w:val="single" w:sz="4" w:space="0" w:color="000000"/>
              <w:right w:val="single" w:sz="4" w:space="0" w:color="auto"/>
            </w:tcBorders>
            <w:vAlign w:val="center"/>
            <w:hideMark/>
          </w:tcPr>
          <w:p w14:paraId="58E1BADD"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66CAA7A5"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078E4C59" w14:textId="77777777" w:rsidR="00220C8B" w:rsidRPr="00220C8B" w:rsidRDefault="00220C8B" w:rsidP="00220C8B">
            <w:pPr>
              <w:jc w:val="right"/>
              <w:rPr>
                <w:rFonts w:cs="Calibri"/>
                <w:sz w:val="22"/>
                <w:szCs w:val="22"/>
              </w:rPr>
            </w:pPr>
            <w:r w:rsidRPr="00220C8B">
              <w:rPr>
                <w:rFonts w:cs="Calibri"/>
                <w:sz w:val="22"/>
                <w:szCs w:val="22"/>
              </w:rPr>
              <w:t>16,482</w:t>
            </w:r>
          </w:p>
        </w:tc>
        <w:tc>
          <w:tcPr>
            <w:tcW w:w="1067" w:type="dxa"/>
            <w:tcBorders>
              <w:top w:val="nil"/>
              <w:left w:val="nil"/>
              <w:bottom w:val="single" w:sz="4" w:space="0" w:color="auto"/>
              <w:right w:val="single" w:sz="4" w:space="0" w:color="auto"/>
            </w:tcBorders>
            <w:shd w:val="clear" w:color="auto" w:fill="auto"/>
            <w:noWrap/>
            <w:vAlign w:val="center"/>
            <w:hideMark/>
          </w:tcPr>
          <w:p w14:paraId="791398EB" w14:textId="77777777" w:rsidR="00220C8B" w:rsidRPr="00220C8B" w:rsidRDefault="00220C8B" w:rsidP="00220C8B">
            <w:pPr>
              <w:jc w:val="right"/>
              <w:rPr>
                <w:rFonts w:cs="Calibri"/>
                <w:sz w:val="22"/>
                <w:szCs w:val="22"/>
              </w:rPr>
            </w:pPr>
            <w:r w:rsidRPr="00220C8B">
              <w:rPr>
                <w:rFonts w:cs="Calibri"/>
                <w:sz w:val="22"/>
                <w:szCs w:val="22"/>
              </w:rPr>
              <w:t>2.34</w:t>
            </w:r>
          </w:p>
        </w:tc>
        <w:tc>
          <w:tcPr>
            <w:tcW w:w="1067" w:type="dxa"/>
            <w:tcBorders>
              <w:top w:val="nil"/>
              <w:left w:val="nil"/>
              <w:bottom w:val="single" w:sz="4" w:space="0" w:color="auto"/>
              <w:right w:val="single" w:sz="4" w:space="0" w:color="auto"/>
            </w:tcBorders>
            <w:shd w:val="clear" w:color="auto" w:fill="auto"/>
            <w:noWrap/>
            <w:vAlign w:val="center"/>
            <w:hideMark/>
          </w:tcPr>
          <w:p w14:paraId="7FDE5E1D" w14:textId="77777777" w:rsidR="00220C8B" w:rsidRPr="00220C8B" w:rsidRDefault="00220C8B" w:rsidP="00220C8B">
            <w:pPr>
              <w:jc w:val="right"/>
              <w:rPr>
                <w:rFonts w:cs="Calibri"/>
                <w:sz w:val="22"/>
                <w:szCs w:val="22"/>
              </w:rPr>
            </w:pPr>
            <w:r w:rsidRPr="00220C8B">
              <w:rPr>
                <w:rFonts w:cs="Calibri"/>
                <w:sz w:val="22"/>
                <w:szCs w:val="22"/>
              </w:rPr>
              <w:t>0.37</w:t>
            </w:r>
          </w:p>
        </w:tc>
        <w:tc>
          <w:tcPr>
            <w:tcW w:w="792" w:type="dxa"/>
            <w:tcBorders>
              <w:top w:val="nil"/>
              <w:left w:val="nil"/>
              <w:bottom w:val="single" w:sz="4" w:space="0" w:color="auto"/>
              <w:right w:val="single" w:sz="4" w:space="0" w:color="auto"/>
            </w:tcBorders>
            <w:shd w:val="clear" w:color="auto" w:fill="auto"/>
            <w:noWrap/>
            <w:vAlign w:val="center"/>
            <w:hideMark/>
          </w:tcPr>
          <w:p w14:paraId="10CD6A5C" w14:textId="77777777" w:rsidR="00220C8B" w:rsidRPr="00220C8B" w:rsidRDefault="00220C8B" w:rsidP="00220C8B">
            <w:pPr>
              <w:jc w:val="right"/>
              <w:rPr>
                <w:rFonts w:cs="Calibri"/>
                <w:sz w:val="22"/>
                <w:szCs w:val="22"/>
              </w:rPr>
            </w:pPr>
            <w:r w:rsidRPr="00220C8B">
              <w:rPr>
                <w:rFonts w:cs="Calibri"/>
                <w:sz w:val="22"/>
                <w:szCs w:val="22"/>
              </w:rPr>
              <w:t>15.7%</w:t>
            </w:r>
          </w:p>
        </w:tc>
        <w:tc>
          <w:tcPr>
            <w:tcW w:w="1063" w:type="dxa"/>
            <w:tcBorders>
              <w:top w:val="nil"/>
              <w:left w:val="nil"/>
              <w:bottom w:val="single" w:sz="4" w:space="0" w:color="auto"/>
              <w:right w:val="single" w:sz="4" w:space="0" w:color="auto"/>
            </w:tcBorders>
            <w:shd w:val="clear" w:color="auto" w:fill="auto"/>
            <w:noWrap/>
            <w:vAlign w:val="center"/>
            <w:hideMark/>
          </w:tcPr>
          <w:p w14:paraId="33760D96" w14:textId="77777777" w:rsidR="00220C8B" w:rsidRPr="00220C8B" w:rsidRDefault="00220C8B" w:rsidP="00220C8B">
            <w:pPr>
              <w:jc w:val="right"/>
              <w:rPr>
                <w:rFonts w:cs="Calibri"/>
                <w:sz w:val="22"/>
                <w:szCs w:val="22"/>
              </w:rPr>
            </w:pPr>
            <w:r w:rsidRPr="00220C8B">
              <w:rPr>
                <w:rFonts w:cs="Calibri"/>
                <w:sz w:val="22"/>
                <w:szCs w:val="22"/>
              </w:rPr>
              <w:t>6.05</w:t>
            </w:r>
          </w:p>
        </w:tc>
        <w:tc>
          <w:tcPr>
            <w:tcW w:w="742" w:type="dxa"/>
            <w:tcBorders>
              <w:top w:val="nil"/>
              <w:left w:val="nil"/>
              <w:bottom w:val="single" w:sz="4" w:space="0" w:color="auto"/>
              <w:right w:val="single" w:sz="4" w:space="0" w:color="auto"/>
            </w:tcBorders>
            <w:shd w:val="clear" w:color="auto" w:fill="auto"/>
            <w:noWrap/>
            <w:vAlign w:val="center"/>
            <w:hideMark/>
          </w:tcPr>
          <w:p w14:paraId="52F3F5E1" w14:textId="77777777" w:rsidR="00220C8B" w:rsidRPr="00220C8B" w:rsidRDefault="00220C8B" w:rsidP="00220C8B">
            <w:pPr>
              <w:jc w:val="right"/>
              <w:rPr>
                <w:rFonts w:cs="Calibri"/>
                <w:sz w:val="22"/>
                <w:szCs w:val="22"/>
              </w:rPr>
            </w:pPr>
            <w:r w:rsidRPr="00220C8B">
              <w:rPr>
                <w:rFonts w:cs="Calibri"/>
                <w:sz w:val="22"/>
                <w:szCs w:val="22"/>
              </w:rPr>
              <w:t>98.9</w:t>
            </w:r>
          </w:p>
        </w:tc>
      </w:tr>
      <w:tr w:rsidR="00220C8B" w:rsidRPr="00220C8B" w14:paraId="6EF63E70"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6C9E4DD5"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101CD6CC" w14:textId="77777777" w:rsidR="00220C8B" w:rsidRPr="00220C8B" w:rsidRDefault="00220C8B" w:rsidP="00220C8B">
            <w:pPr>
              <w:jc w:val="center"/>
              <w:rPr>
                <w:rFonts w:cs="Calibri"/>
                <w:sz w:val="22"/>
                <w:szCs w:val="22"/>
              </w:rPr>
            </w:pPr>
            <w:r w:rsidRPr="00220C8B">
              <w:rPr>
                <w:rFonts w:cs="Calibri"/>
                <w:sz w:val="22"/>
                <w:szCs w:val="22"/>
              </w:rPr>
              <w:t>PGST</w:t>
            </w:r>
          </w:p>
        </w:tc>
        <w:tc>
          <w:tcPr>
            <w:tcW w:w="1392" w:type="dxa"/>
            <w:vMerge/>
            <w:tcBorders>
              <w:top w:val="nil"/>
              <w:left w:val="single" w:sz="4" w:space="0" w:color="auto"/>
              <w:bottom w:val="single" w:sz="4" w:space="0" w:color="000000"/>
              <w:right w:val="single" w:sz="4" w:space="0" w:color="auto"/>
            </w:tcBorders>
            <w:vAlign w:val="center"/>
            <w:hideMark/>
          </w:tcPr>
          <w:p w14:paraId="3D6911AC"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02D7CADB"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2B8DDF18" w14:textId="77777777" w:rsidR="00220C8B" w:rsidRPr="00220C8B" w:rsidRDefault="00220C8B" w:rsidP="00220C8B">
            <w:pPr>
              <w:jc w:val="right"/>
              <w:rPr>
                <w:rFonts w:cs="Calibri"/>
                <w:sz w:val="22"/>
                <w:szCs w:val="22"/>
              </w:rPr>
            </w:pPr>
            <w:r w:rsidRPr="00220C8B">
              <w:rPr>
                <w:rFonts w:cs="Calibri"/>
                <w:sz w:val="22"/>
                <w:szCs w:val="22"/>
              </w:rPr>
              <w:t>7,539</w:t>
            </w:r>
          </w:p>
        </w:tc>
        <w:tc>
          <w:tcPr>
            <w:tcW w:w="1067" w:type="dxa"/>
            <w:tcBorders>
              <w:top w:val="nil"/>
              <w:left w:val="nil"/>
              <w:bottom w:val="single" w:sz="4" w:space="0" w:color="auto"/>
              <w:right w:val="single" w:sz="4" w:space="0" w:color="auto"/>
            </w:tcBorders>
            <w:shd w:val="clear" w:color="auto" w:fill="auto"/>
            <w:noWrap/>
            <w:vAlign w:val="center"/>
            <w:hideMark/>
          </w:tcPr>
          <w:p w14:paraId="7CB463A6" w14:textId="77777777" w:rsidR="00220C8B" w:rsidRPr="00220C8B" w:rsidRDefault="00220C8B" w:rsidP="00220C8B">
            <w:pPr>
              <w:jc w:val="right"/>
              <w:rPr>
                <w:rFonts w:cs="Calibri"/>
                <w:sz w:val="22"/>
                <w:szCs w:val="22"/>
              </w:rPr>
            </w:pPr>
            <w:r w:rsidRPr="00220C8B">
              <w:rPr>
                <w:rFonts w:cs="Calibri"/>
                <w:sz w:val="22"/>
                <w:szCs w:val="22"/>
              </w:rPr>
              <w:t>2.56</w:t>
            </w:r>
          </w:p>
        </w:tc>
        <w:tc>
          <w:tcPr>
            <w:tcW w:w="1067" w:type="dxa"/>
            <w:tcBorders>
              <w:top w:val="nil"/>
              <w:left w:val="nil"/>
              <w:bottom w:val="single" w:sz="4" w:space="0" w:color="auto"/>
              <w:right w:val="single" w:sz="4" w:space="0" w:color="auto"/>
            </w:tcBorders>
            <w:shd w:val="clear" w:color="auto" w:fill="auto"/>
            <w:noWrap/>
            <w:vAlign w:val="center"/>
            <w:hideMark/>
          </w:tcPr>
          <w:p w14:paraId="2F5FD689" w14:textId="77777777" w:rsidR="00220C8B" w:rsidRPr="00220C8B" w:rsidRDefault="00220C8B" w:rsidP="00220C8B">
            <w:pPr>
              <w:jc w:val="right"/>
              <w:rPr>
                <w:rFonts w:cs="Calibri"/>
                <w:sz w:val="22"/>
                <w:szCs w:val="22"/>
              </w:rPr>
            </w:pPr>
            <w:r w:rsidRPr="00220C8B">
              <w:rPr>
                <w:rFonts w:cs="Calibri"/>
                <w:sz w:val="22"/>
                <w:szCs w:val="22"/>
              </w:rPr>
              <w:t>0.42</w:t>
            </w:r>
          </w:p>
        </w:tc>
        <w:tc>
          <w:tcPr>
            <w:tcW w:w="792" w:type="dxa"/>
            <w:tcBorders>
              <w:top w:val="nil"/>
              <w:left w:val="nil"/>
              <w:bottom w:val="single" w:sz="4" w:space="0" w:color="auto"/>
              <w:right w:val="single" w:sz="4" w:space="0" w:color="auto"/>
            </w:tcBorders>
            <w:shd w:val="clear" w:color="auto" w:fill="auto"/>
            <w:noWrap/>
            <w:vAlign w:val="center"/>
            <w:hideMark/>
          </w:tcPr>
          <w:p w14:paraId="0AB609BC" w14:textId="77777777" w:rsidR="00220C8B" w:rsidRPr="00220C8B" w:rsidRDefault="00220C8B" w:rsidP="00220C8B">
            <w:pPr>
              <w:jc w:val="right"/>
              <w:rPr>
                <w:rFonts w:cs="Calibri"/>
                <w:sz w:val="22"/>
                <w:szCs w:val="22"/>
              </w:rPr>
            </w:pPr>
            <w:r w:rsidRPr="00220C8B">
              <w:rPr>
                <w:rFonts w:cs="Calibri"/>
                <w:sz w:val="22"/>
                <w:szCs w:val="22"/>
              </w:rPr>
              <w:t>16.6%</w:t>
            </w:r>
          </w:p>
        </w:tc>
        <w:tc>
          <w:tcPr>
            <w:tcW w:w="1063" w:type="dxa"/>
            <w:tcBorders>
              <w:top w:val="nil"/>
              <w:left w:val="nil"/>
              <w:bottom w:val="single" w:sz="4" w:space="0" w:color="auto"/>
              <w:right w:val="single" w:sz="4" w:space="0" w:color="auto"/>
            </w:tcBorders>
            <w:shd w:val="clear" w:color="auto" w:fill="auto"/>
            <w:noWrap/>
            <w:vAlign w:val="center"/>
            <w:hideMark/>
          </w:tcPr>
          <w:p w14:paraId="04A01B1C" w14:textId="77777777" w:rsidR="00220C8B" w:rsidRPr="00220C8B" w:rsidRDefault="00220C8B" w:rsidP="00220C8B">
            <w:pPr>
              <w:jc w:val="right"/>
              <w:rPr>
                <w:rFonts w:cs="Calibri"/>
                <w:sz w:val="22"/>
                <w:szCs w:val="22"/>
              </w:rPr>
            </w:pPr>
            <w:r w:rsidRPr="00220C8B">
              <w:rPr>
                <w:rFonts w:cs="Calibri"/>
                <w:sz w:val="22"/>
                <w:szCs w:val="22"/>
              </w:rPr>
              <w:t>3.20</w:t>
            </w:r>
          </w:p>
        </w:tc>
        <w:tc>
          <w:tcPr>
            <w:tcW w:w="742" w:type="dxa"/>
            <w:tcBorders>
              <w:top w:val="nil"/>
              <w:left w:val="nil"/>
              <w:bottom w:val="single" w:sz="4" w:space="0" w:color="auto"/>
              <w:right w:val="single" w:sz="4" w:space="0" w:color="auto"/>
            </w:tcBorders>
            <w:shd w:val="clear" w:color="auto" w:fill="auto"/>
            <w:noWrap/>
            <w:vAlign w:val="center"/>
            <w:hideMark/>
          </w:tcPr>
          <w:p w14:paraId="0D3CC24A" w14:textId="77777777" w:rsidR="00220C8B" w:rsidRPr="00220C8B" w:rsidRDefault="00220C8B" w:rsidP="00220C8B">
            <w:pPr>
              <w:jc w:val="right"/>
              <w:rPr>
                <w:rFonts w:cs="Calibri"/>
                <w:sz w:val="22"/>
                <w:szCs w:val="22"/>
              </w:rPr>
            </w:pPr>
            <w:r w:rsidRPr="00220C8B">
              <w:rPr>
                <w:rFonts w:cs="Calibri"/>
                <w:sz w:val="22"/>
                <w:szCs w:val="22"/>
              </w:rPr>
              <w:t>99.2</w:t>
            </w:r>
          </w:p>
        </w:tc>
      </w:tr>
      <w:tr w:rsidR="00220C8B" w:rsidRPr="00220C8B" w14:paraId="366F6B5B"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77C6394F"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0A9177D3" w14:textId="77777777" w:rsidR="00220C8B" w:rsidRPr="00220C8B" w:rsidRDefault="00220C8B" w:rsidP="00220C8B">
            <w:pPr>
              <w:jc w:val="center"/>
              <w:rPr>
                <w:rFonts w:cs="Calibri"/>
                <w:sz w:val="22"/>
                <w:szCs w:val="22"/>
              </w:rPr>
            </w:pPr>
            <w:r w:rsidRPr="00220C8B">
              <w:rPr>
                <w:rFonts w:cs="Calibri"/>
                <w:sz w:val="22"/>
                <w:szCs w:val="22"/>
              </w:rPr>
              <w:t>PGZP</w:t>
            </w:r>
          </w:p>
        </w:tc>
        <w:tc>
          <w:tcPr>
            <w:tcW w:w="1392" w:type="dxa"/>
            <w:vMerge/>
            <w:tcBorders>
              <w:top w:val="nil"/>
              <w:left w:val="single" w:sz="4" w:space="0" w:color="auto"/>
              <w:bottom w:val="single" w:sz="4" w:space="0" w:color="000000"/>
              <w:right w:val="single" w:sz="4" w:space="0" w:color="auto"/>
            </w:tcBorders>
            <w:vAlign w:val="center"/>
            <w:hideMark/>
          </w:tcPr>
          <w:p w14:paraId="09AE9154" w14:textId="77777777" w:rsidR="00220C8B" w:rsidRPr="00220C8B" w:rsidRDefault="00220C8B" w:rsidP="00220C8B">
            <w:pPr>
              <w:rPr>
                <w:rFonts w:cs="Calibri"/>
                <w:sz w:val="22"/>
                <w:szCs w:val="22"/>
              </w:rPr>
            </w:pPr>
          </w:p>
        </w:tc>
        <w:tc>
          <w:tcPr>
            <w:tcW w:w="1238" w:type="dxa"/>
            <w:vMerge/>
            <w:tcBorders>
              <w:top w:val="nil"/>
              <w:left w:val="single" w:sz="4" w:space="0" w:color="auto"/>
              <w:bottom w:val="single" w:sz="4" w:space="0" w:color="000000"/>
              <w:right w:val="single" w:sz="4" w:space="0" w:color="auto"/>
            </w:tcBorders>
            <w:vAlign w:val="center"/>
            <w:hideMark/>
          </w:tcPr>
          <w:p w14:paraId="0909F56C"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5E18E2A9" w14:textId="77777777" w:rsidR="00220C8B" w:rsidRPr="00220C8B" w:rsidRDefault="00220C8B" w:rsidP="00220C8B">
            <w:pPr>
              <w:jc w:val="right"/>
              <w:rPr>
                <w:rFonts w:cs="Calibri"/>
                <w:sz w:val="22"/>
                <w:szCs w:val="22"/>
              </w:rPr>
            </w:pPr>
            <w:r w:rsidRPr="00220C8B">
              <w:rPr>
                <w:rFonts w:cs="Calibri"/>
                <w:sz w:val="22"/>
                <w:szCs w:val="22"/>
              </w:rPr>
              <w:t>2,263</w:t>
            </w:r>
          </w:p>
        </w:tc>
        <w:tc>
          <w:tcPr>
            <w:tcW w:w="1067" w:type="dxa"/>
            <w:tcBorders>
              <w:top w:val="nil"/>
              <w:left w:val="nil"/>
              <w:bottom w:val="single" w:sz="4" w:space="0" w:color="auto"/>
              <w:right w:val="single" w:sz="4" w:space="0" w:color="auto"/>
            </w:tcBorders>
            <w:shd w:val="clear" w:color="auto" w:fill="auto"/>
            <w:noWrap/>
            <w:vAlign w:val="center"/>
            <w:hideMark/>
          </w:tcPr>
          <w:p w14:paraId="7BBC5099" w14:textId="77777777" w:rsidR="00220C8B" w:rsidRPr="00220C8B" w:rsidRDefault="00220C8B" w:rsidP="00220C8B">
            <w:pPr>
              <w:jc w:val="right"/>
              <w:rPr>
                <w:rFonts w:cs="Calibri"/>
                <w:sz w:val="22"/>
                <w:szCs w:val="22"/>
              </w:rPr>
            </w:pPr>
            <w:r w:rsidRPr="00220C8B">
              <w:rPr>
                <w:rFonts w:cs="Calibri"/>
                <w:sz w:val="22"/>
                <w:szCs w:val="22"/>
              </w:rPr>
              <w:t>2.42</w:t>
            </w:r>
          </w:p>
        </w:tc>
        <w:tc>
          <w:tcPr>
            <w:tcW w:w="1067" w:type="dxa"/>
            <w:tcBorders>
              <w:top w:val="nil"/>
              <w:left w:val="nil"/>
              <w:bottom w:val="single" w:sz="4" w:space="0" w:color="auto"/>
              <w:right w:val="single" w:sz="4" w:space="0" w:color="auto"/>
            </w:tcBorders>
            <w:shd w:val="clear" w:color="auto" w:fill="auto"/>
            <w:noWrap/>
            <w:vAlign w:val="center"/>
            <w:hideMark/>
          </w:tcPr>
          <w:p w14:paraId="026CEA4F" w14:textId="77777777" w:rsidR="00220C8B" w:rsidRPr="00220C8B" w:rsidRDefault="00220C8B" w:rsidP="00220C8B">
            <w:pPr>
              <w:jc w:val="right"/>
              <w:rPr>
                <w:rFonts w:cs="Calibri"/>
                <w:sz w:val="22"/>
                <w:szCs w:val="22"/>
              </w:rPr>
            </w:pPr>
            <w:r w:rsidRPr="00220C8B">
              <w:rPr>
                <w:rFonts w:cs="Calibri"/>
                <w:sz w:val="22"/>
                <w:szCs w:val="22"/>
              </w:rPr>
              <w:t>0.19</w:t>
            </w:r>
          </w:p>
        </w:tc>
        <w:tc>
          <w:tcPr>
            <w:tcW w:w="792" w:type="dxa"/>
            <w:tcBorders>
              <w:top w:val="nil"/>
              <w:left w:val="nil"/>
              <w:bottom w:val="single" w:sz="4" w:space="0" w:color="auto"/>
              <w:right w:val="single" w:sz="4" w:space="0" w:color="auto"/>
            </w:tcBorders>
            <w:shd w:val="clear" w:color="auto" w:fill="auto"/>
            <w:noWrap/>
            <w:vAlign w:val="center"/>
            <w:hideMark/>
          </w:tcPr>
          <w:p w14:paraId="27657B65" w14:textId="77777777" w:rsidR="00220C8B" w:rsidRPr="00220C8B" w:rsidRDefault="00220C8B" w:rsidP="00220C8B">
            <w:pPr>
              <w:jc w:val="right"/>
              <w:rPr>
                <w:rFonts w:cs="Calibri"/>
                <w:sz w:val="22"/>
                <w:szCs w:val="22"/>
              </w:rPr>
            </w:pPr>
            <w:r w:rsidRPr="00220C8B">
              <w:rPr>
                <w:rFonts w:cs="Calibri"/>
                <w:sz w:val="22"/>
                <w:szCs w:val="22"/>
              </w:rPr>
              <w:t>7.7%</w:t>
            </w:r>
          </w:p>
        </w:tc>
        <w:tc>
          <w:tcPr>
            <w:tcW w:w="1063" w:type="dxa"/>
            <w:tcBorders>
              <w:top w:val="nil"/>
              <w:left w:val="nil"/>
              <w:bottom w:val="single" w:sz="4" w:space="0" w:color="auto"/>
              <w:right w:val="single" w:sz="4" w:space="0" w:color="auto"/>
            </w:tcBorders>
            <w:shd w:val="clear" w:color="auto" w:fill="auto"/>
            <w:noWrap/>
            <w:vAlign w:val="center"/>
            <w:hideMark/>
          </w:tcPr>
          <w:p w14:paraId="7B3B88FD" w14:textId="77777777" w:rsidR="00220C8B" w:rsidRPr="00220C8B" w:rsidRDefault="00220C8B" w:rsidP="00220C8B">
            <w:pPr>
              <w:jc w:val="right"/>
              <w:rPr>
                <w:rFonts w:cs="Calibri"/>
                <w:sz w:val="22"/>
                <w:szCs w:val="22"/>
              </w:rPr>
            </w:pPr>
            <w:r w:rsidRPr="00220C8B">
              <w:rPr>
                <w:rFonts w:cs="Calibri"/>
                <w:sz w:val="22"/>
                <w:szCs w:val="22"/>
              </w:rPr>
              <w:t>0.42</w:t>
            </w:r>
          </w:p>
        </w:tc>
        <w:tc>
          <w:tcPr>
            <w:tcW w:w="742" w:type="dxa"/>
            <w:tcBorders>
              <w:top w:val="nil"/>
              <w:left w:val="nil"/>
              <w:bottom w:val="single" w:sz="4" w:space="0" w:color="auto"/>
              <w:right w:val="single" w:sz="4" w:space="0" w:color="auto"/>
            </w:tcBorders>
            <w:shd w:val="clear" w:color="auto" w:fill="auto"/>
            <w:noWrap/>
            <w:vAlign w:val="center"/>
            <w:hideMark/>
          </w:tcPr>
          <w:p w14:paraId="360344B4" w14:textId="77777777" w:rsidR="00220C8B" w:rsidRPr="00220C8B" w:rsidRDefault="00220C8B" w:rsidP="00220C8B">
            <w:pPr>
              <w:jc w:val="right"/>
              <w:rPr>
                <w:rFonts w:cs="Calibri"/>
                <w:sz w:val="22"/>
                <w:szCs w:val="22"/>
              </w:rPr>
            </w:pPr>
            <w:r w:rsidRPr="00220C8B">
              <w:rPr>
                <w:rFonts w:cs="Calibri"/>
                <w:sz w:val="22"/>
                <w:szCs w:val="22"/>
              </w:rPr>
              <w:t>98.3</w:t>
            </w:r>
          </w:p>
        </w:tc>
      </w:tr>
      <w:tr w:rsidR="00220C8B" w:rsidRPr="00220C8B" w14:paraId="5B9ACBA7" w14:textId="77777777" w:rsidTr="00F51B69">
        <w:trPr>
          <w:trHeight w:val="300"/>
          <w:jc w:val="center"/>
        </w:trPr>
        <w:tc>
          <w:tcPr>
            <w:tcW w:w="8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766436" w14:textId="77777777" w:rsidR="00220C8B" w:rsidRPr="00220C8B" w:rsidRDefault="00220C8B" w:rsidP="00220C8B">
            <w:pPr>
              <w:jc w:val="center"/>
              <w:rPr>
                <w:rFonts w:cs="Calibri"/>
                <w:sz w:val="22"/>
                <w:szCs w:val="22"/>
              </w:rPr>
            </w:pPr>
            <w:r w:rsidRPr="00220C8B">
              <w:rPr>
                <w:rFonts w:cs="Calibri"/>
                <w:sz w:val="22"/>
                <w:szCs w:val="22"/>
              </w:rPr>
              <w:t>10-Aug</w:t>
            </w:r>
          </w:p>
        </w:tc>
        <w:tc>
          <w:tcPr>
            <w:tcW w:w="728" w:type="dxa"/>
            <w:tcBorders>
              <w:top w:val="nil"/>
              <w:left w:val="nil"/>
              <w:bottom w:val="single" w:sz="4" w:space="0" w:color="auto"/>
              <w:right w:val="single" w:sz="4" w:space="0" w:color="auto"/>
            </w:tcBorders>
            <w:shd w:val="clear" w:color="auto" w:fill="auto"/>
            <w:noWrap/>
            <w:vAlign w:val="center"/>
            <w:hideMark/>
          </w:tcPr>
          <w:p w14:paraId="37EF69DF" w14:textId="77777777" w:rsidR="00220C8B" w:rsidRPr="00220C8B" w:rsidRDefault="00220C8B" w:rsidP="00220C8B">
            <w:pPr>
              <w:jc w:val="center"/>
              <w:rPr>
                <w:rFonts w:cs="Calibri"/>
                <w:sz w:val="22"/>
                <w:szCs w:val="22"/>
              </w:rPr>
            </w:pPr>
            <w:r w:rsidRPr="00220C8B">
              <w:rPr>
                <w:rFonts w:cs="Calibri"/>
                <w:sz w:val="22"/>
                <w:szCs w:val="22"/>
              </w:rPr>
              <w:t>PGF1</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BD6C65" w14:textId="77777777" w:rsidR="00220C8B" w:rsidRPr="00220C8B" w:rsidRDefault="00220C8B" w:rsidP="00220C8B">
            <w:pPr>
              <w:jc w:val="center"/>
              <w:rPr>
                <w:rFonts w:cs="Calibri"/>
                <w:sz w:val="22"/>
                <w:szCs w:val="22"/>
              </w:rPr>
            </w:pPr>
            <w:r w:rsidRPr="00220C8B">
              <w:rPr>
                <w:rFonts w:cs="Calibri"/>
                <w:sz w:val="22"/>
                <w:szCs w:val="22"/>
              </w:rPr>
              <w:t>4-7 p.m.</w:t>
            </w:r>
          </w:p>
        </w:tc>
        <w:tc>
          <w:tcPr>
            <w:tcW w:w="1238" w:type="dxa"/>
            <w:vMerge w:val="restart"/>
            <w:tcBorders>
              <w:top w:val="nil"/>
              <w:left w:val="single" w:sz="4" w:space="0" w:color="auto"/>
              <w:bottom w:val="nil"/>
              <w:right w:val="single" w:sz="4" w:space="0" w:color="auto"/>
            </w:tcBorders>
            <w:shd w:val="clear" w:color="auto" w:fill="auto"/>
            <w:noWrap/>
            <w:vAlign w:val="center"/>
            <w:hideMark/>
          </w:tcPr>
          <w:p w14:paraId="5BF45D78" w14:textId="77777777" w:rsidR="00220C8B" w:rsidRPr="00220C8B" w:rsidRDefault="00220C8B" w:rsidP="00220C8B">
            <w:pPr>
              <w:jc w:val="center"/>
              <w:rPr>
                <w:rFonts w:cs="Calibri"/>
                <w:sz w:val="22"/>
                <w:szCs w:val="22"/>
              </w:rPr>
            </w:pPr>
            <w:r w:rsidRPr="00220C8B">
              <w:rPr>
                <w:rFonts w:cs="Calibri"/>
                <w:sz w:val="22"/>
                <w:szCs w:val="22"/>
              </w:rPr>
              <w:t>No</w:t>
            </w:r>
          </w:p>
        </w:tc>
        <w:tc>
          <w:tcPr>
            <w:tcW w:w="851" w:type="dxa"/>
            <w:tcBorders>
              <w:top w:val="nil"/>
              <w:left w:val="nil"/>
              <w:bottom w:val="single" w:sz="4" w:space="0" w:color="auto"/>
              <w:right w:val="single" w:sz="4" w:space="0" w:color="auto"/>
            </w:tcBorders>
            <w:shd w:val="clear" w:color="auto" w:fill="auto"/>
            <w:noWrap/>
            <w:vAlign w:val="center"/>
            <w:hideMark/>
          </w:tcPr>
          <w:p w14:paraId="48B2AB52" w14:textId="77777777" w:rsidR="00220C8B" w:rsidRPr="00220C8B" w:rsidRDefault="00220C8B" w:rsidP="00220C8B">
            <w:pPr>
              <w:jc w:val="right"/>
              <w:rPr>
                <w:rFonts w:cs="Calibri"/>
                <w:sz w:val="22"/>
                <w:szCs w:val="22"/>
              </w:rPr>
            </w:pPr>
            <w:r w:rsidRPr="00220C8B">
              <w:rPr>
                <w:rFonts w:cs="Calibri"/>
                <w:sz w:val="22"/>
                <w:szCs w:val="22"/>
              </w:rPr>
              <w:t>17,297</w:t>
            </w:r>
          </w:p>
        </w:tc>
        <w:tc>
          <w:tcPr>
            <w:tcW w:w="1067" w:type="dxa"/>
            <w:tcBorders>
              <w:top w:val="nil"/>
              <w:left w:val="nil"/>
              <w:bottom w:val="single" w:sz="4" w:space="0" w:color="auto"/>
              <w:right w:val="single" w:sz="4" w:space="0" w:color="auto"/>
            </w:tcBorders>
            <w:shd w:val="clear" w:color="auto" w:fill="auto"/>
            <w:noWrap/>
            <w:vAlign w:val="center"/>
            <w:hideMark/>
          </w:tcPr>
          <w:p w14:paraId="096343C1" w14:textId="77777777" w:rsidR="00220C8B" w:rsidRPr="00220C8B" w:rsidRDefault="00220C8B" w:rsidP="00220C8B">
            <w:pPr>
              <w:jc w:val="right"/>
              <w:rPr>
                <w:rFonts w:cs="Calibri"/>
                <w:sz w:val="22"/>
                <w:szCs w:val="22"/>
              </w:rPr>
            </w:pPr>
            <w:r w:rsidRPr="00220C8B">
              <w:rPr>
                <w:rFonts w:cs="Calibri"/>
                <w:sz w:val="22"/>
                <w:szCs w:val="22"/>
              </w:rPr>
              <w:t>2.67</w:t>
            </w:r>
          </w:p>
        </w:tc>
        <w:tc>
          <w:tcPr>
            <w:tcW w:w="1067" w:type="dxa"/>
            <w:tcBorders>
              <w:top w:val="nil"/>
              <w:left w:val="nil"/>
              <w:bottom w:val="single" w:sz="4" w:space="0" w:color="auto"/>
              <w:right w:val="single" w:sz="4" w:space="0" w:color="auto"/>
            </w:tcBorders>
            <w:shd w:val="clear" w:color="auto" w:fill="auto"/>
            <w:noWrap/>
            <w:vAlign w:val="center"/>
            <w:hideMark/>
          </w:tcPr>
          <w:p w14:paraId="402B0A38" w14:textId="77777777" w:rsidR="00220C8B" w:rsidRPr="00220C8B" w:rsidRDefault="00220C8B" w:rsidP="00220C8B">
            <w:pPr>
              <w:jc w:val="right"/>
              <w:rPr>
                <w:rFonts w:cs="Calibri"/>
                <w:sz w:val="22"/>
                <w:szCs w:val="22"/>
              </w:rPr>
            </w:pPr>
            <w:r w:rsidRPr="00220C8B">
              <w:rPr>
                <w:rFonts w:cs="Calibri"/>
                <w:sz w:val="22"/>
                <w:szCs w:val="22"/>
              </w:rPr>
              <w:t>0.28</w:t>
            </w:r>
          </w:p>
        </w:tc>
        <w:tc>
          <w:tcPr>
            <w:tcW w:w="792" w:type="dxa"/>
            <w:tcBorders>
              <w:top w:val="nil"/>
              <w:left w:val="nil"/>
              <w:bottom w:val="single" w:sz="4" w:space="0" w:color="auto"/>
              <w:right w:val="single" w:sz="4" w:space="0" w:color="auto"/>
            </w:tcBorders>
            <w:shd w:val="clear" w:color="auto" w:fill="auto"/>
            <w:noWrap/>
            <w:vAlign w:val="center"/>
            <w:hideMark/>
          </w:tcPr>
          <w:p w14:paraId="4E33EEA5" w14:textId="77777777" w:rsidR="00220C8B" w:rsidRPr="00220C8B" w:rsidRDefault="00220C8B" w:rsidP="00220C8B">
            <w:pPr>
              <w:jc w:val="right"/>
              <w:rPr>
                <w:rFonts w:cs="Calibri"/>
                <w:sz w:val="22"/>
                <w:szCs w:val="22"/>
              </w:rPr>
            </w:pPr>
            <w:r w:rsidRPr="00220C8B">
              <w:rPr>
                <w:rFonts w:cs="Calibri"/>
                <w:sz w:val="22"/>
                <w:szCs w:val="22"/>
              </w:rPr>
              <w:t>10.6%</w:t>
            </w:r>
          </w:p>
        </w:tc>
        <w:tc>
          <w:tcPr>
            <w:tcW w:w="1063" w:type="dxa"/>
            <w:tcBorders>
              <w:top w:val="nil"/>
              <w:left w:val="nil"/>
              <w:bottom w:val="single" w:sz="4" w:space="0" w:color="auto"/>
              <w:right w:val="single" w:sz="4" w:space="0" w:color="auto"/>
            </w:tcBorders>
            <w:shd w:val="clear" w:color="auto" w:fill="auto"/>
            <w:noWrap/>
            <w:vAlign w:val="center"/>
            <w:hideMark/>
          </w:tcPr>
          <w:p w14:paraId="395703C9" w14:textId="77777777" w:rsidR="00220C8B" w:rsidRPr="00220C8B" w:rsidRDefault="00220C8B" w:rsidP="00220C8B">
            <w:pPr>
              <w:jc w:val="right"/>
              <w:rPr>
                <w:rFonts w:cs="Calibri"/>
                <w:sz w:val="22"/>
                <w:szCs w:val="22"/>
              </w:rPr>
            </w:pPr>
            <w:r w:rsidRPr="00220C8B">
              <w:rPr>
                <w:rFonts w:cs="Calibri"/>
                <w:sz w:val="22"/>
                <w:szCs w:val="22"/>
              </w:rPr>
              <w:t>4.89</w:t>
            </w:r>
          </w:p>
        </w:tc>
        <w:tc>
          <w:tcPr>
            <w:tcW w:w="742" w:type="dxa"/>
            <w:tcBorders>
              <w:top w:val="nil"/>
              <w:left w:val="nil"/>
              <w:bottom w:val="single" w:sz="4" w:space="0" w:color="auto"/>
              <w:right w:val="single" w:sz="4" w:space="0" w:color="auto"/>
            </w:tcBorders>
            <w:shd w:val="clear" w:color="auto" w:fill="auto"/>
            <w:noWrap/>
            <w:vAlign w:val="center"/>
            <w:hideMark/>
          </w:tcPr>
          <w:p w14:paraId="5A3919AC" w14:textId="77777777" w:rsidR="00220C8B" w:rsidRPr="00220C8B" w:rsidRDefault="00220C8B" w:rsidP="00220C8B">
            <w:pPr>
              <w:jc w:val="right"/>
              <w:rPr>
                <w:rFonts w:cs="Calibri"/>
                <w:sz w:val="22"/>
                <w:szCs w:val="22"/>
              </w:rPr>
            </w:pPr>
            <w:r w:rsidRPr="00220C8B">
              <w:rPr>
                <w:rFonts w:cs="Calibri"/>
                <w:sz w:val="22"/>
                <w:szCs w:val="22"/>
              </w:rPr>
              <w:t>102.5</w:t>
            </w:r>
          </w:p>
        </w:tc>
      </w:tr>
      <w:tr w:rsidR="00220C8B" w:rsidRPr="00220C8B" w14:paraId="41773430"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5C839C49"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400F7576" w14:textId="77777777" w:rsidR="00220C8B" w:rsidRPr="00220C8B" w:rsidRDefault="00220C8B" w:rsidP="00220C8B">
            <w:pPr>
              <w:jc w:val="center"/>
              <w:rPr>
                <w:rFonts w:cs="Calibri"/>
                <w:sz w:val="22"/>
                <w:szCs w:val="22"/>
              </w:rPr>
            </w:pPr>
            <w:r w:rsidRPr="00220C8B">
              <w:rPr>
                <w:rFonts w:cs="Calibri"/>
                <w:sz w:val="22"/>
                <w:szCs w:val="22"/>
              </w:rPr>
              <w:t>PGKN</w:t>
            </w:r>
          </w:p>
        </w:tc>
        <w:tc>
          <w:tcPr>
            <w:tcW w:w="1392" w:type="dxa"/>
            <w:vMerge/>
            <w:tcBorders>
              <w:top w:val="nil"/>
              <w:left w:val="single" w:sz="4" w:space="0" w:color="auto"/>
              <w:bottom w:val="single" w:sz="4" w:space="0" w:color="000000"/>
              <w:right w:val="single" w:sz="4" w:space="0" w:color="auto"/>
            </w:tcBorders>
            <w:vAlign w:val="center"/>
            <w:hideMark/>
          </w:tcPr>
          <w:p w14:paraId="2C19FAA6" w14:textId="77777777" w:rsidR="00220C8B" w:rsidRPr="00220C8B" w:rsidRDefault="00220C8B" w:rsidP="00220C8B">
            <w:pPr>
              <w:rPr>
                <w:rFonts w:cs="Calibri"/>
                <w:sz w:val="22"/>
                <w:szCs w:val="22"/>
              </w:rPr>
            </w:pPr>
          </w:p>
        </w:tc>
        <w:tc>
          <w:tcPr>
            <w:tcW w:w="1238" w:type="dxa"/>
            <w:vMerge/>
            <w:tcBorders>
              <w:top w:val="nil"/>
              <w:left w:val="single" w:sz="4" w:space="0" w:color="auto"/>
              <w:bottom w:val="nil"/>
              <w:right w:val="single" w:sz="4" w:space="0" w:color="auto"/>
            </w:tcBorders>
            <w:vAlign w:val="center"/>
            <w:hideMark/>
          </w:tcPr>
          <w:p w14:paraId="7BB1706B"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6132A8F6" w14:textId="77777777" w:rsidR="00220C8B" w:rsidRPr="00220C8B" w:rsidRDefault="00220C8B" w:rsidP="00220C8B">
            <w:pPr>
              <w:jc w:val="right"/>
              <w:rPr>
                <w:rFonts w:cs="Calibri"/>
                <w:sz w:val="22"/>
                <w:szCs w:val="22"/>
              </w:rPr>
            </w:pPr>
            <w:r w:rsidRPr="00220C8B">
              <w:rPr>
                <w:rFonts w:cs="Calibri"/>
                <w:sz w:val="22"/>
                <w:szCs w:val="22"/>
              </w:rPr>
              <w:t>5,589</w:t>
            </w:r>
          </w:p>
        </w:tc>
        <w:tc>
          <w:tcPr>
            <w:tcW w:w="1067" w:type="dxa"/>
            <w:tcBorders>
              <w:top w:val="nil"/>
              <w:left w:val="nil"/>
              <w:bottom w:val="single" w:sz="4" w:space="0" w:color="auto"/>
              <w:right w:val="single" w:sz="4" w:space="0" w:color="auto"/>
            </w:tcBorders>
            <w:shd w:val="clear" w:color="auto" w:fill="auto"/>
            <w:noWrap/>
            <w:vAlign w:val="center"/>
            <w:hideMark/>
          </w:tcPr>
          <w:p w14:paraId="6F88DB60" w14:textId="77777777" w:rsidR="00220C8B" w:rsidRPr="00220C8B" w:rsidRDefault="00220C8B" w:rsidP="00220C8B">
            <w:pPr>
              <w:jc w:val="right"/>
              <w:rPr>
                <w:rFonts w:cs="Calibri"/>
                <w:sz w:val="22"/>
                <w:szCs w:val="22"/>
              </w:rPr>
            </w:pPr>
            <w:r w:rsidRPr="00220C8B">
              <w:rPr>
                <w:rFonts w:cs="Calibri"/>
                <w:sz w:val="22"/>
                <w:szCs w:val="22"/>
              </w:rPr>
              <w:t>2.81</w:t>
            </w:r>
          </w:p>
        </w:tc>
        <w:tc>
          <w:tcPr>
            <w:tcW w:w="1067" w:type="dxa"/>
            <w:tcBorders>
              <w:top w:val="nil"/>
              <w:left w:val="nil"/>
              <w:bottom w:val="single" w:sz="4" w:space="0" w:color="auto"/>
              <w:right w:val="single" w:sz="4" w:space="0" w:color="auto"/>
            </w:tcBorders>
            <w:shd w:val="clear" w:color="auto" w:fill="auto"/>
            <w:noWrap/>
            <w:vAlign w:val="center"/>
            <w:hideMark/>
          </w:tcPr>
          <w:p w14:paraId="7054F54C" w14:textId="77777777" w:rsidR="00220C8B" w:rsidRPr="00220C8B" w:rsidRDefault="00220C8B" w:rsidP="00220C8B">
            <w:pPr>
              <w:jc w:val="right"/>
              <w:rPr>
                <w:rFonts w:cs="Calibri"/>
                <w:sz w:val="22"/>
                <w:szCs w:val="22"/>
              </w:rPr>
            </w:pPr>
            <w:r w:rsidRPr="00220C8B">
              <w:rPr>
                <w:rFonts w:cs="Calibri"/>
                <w:sz w:val="22"/>
                <w:szCs w:val="22"/>
              </w:rPr>
              <w:t>0.05</w:t>
            </w:r>
          </w:p>
        </w:tc>
        <w:tc>
          <w:tcPr>
            <w:tcW w:w="792" w:type="dxa"/>
            <w:tcBorders>
              <w:top w:val="nil"/>
              <w:left w:val="nil"/>
              <w:bottom w:val="single" w:sz="4" w:space="0" w:color="auto"/>
              <w:right w:val="single" w:sz="4" w:space="0" w:color="auto"/>
            </w:tcBorders>
            <w:shd w:val="clear" w:color="auto" w:fill="auto"/>
            <w:noWrap/>
            <w:vAlign w:val="center"/>
            <w:hideMark/>
          </w:tcPr>
          <w:p w14:paraId="06535588" w14:textId="77777777" w:rsidR="00220C8B" w:rsidRPr="00220C8B" w:rsidRDefault="00220C8B" w:rsidP="00220C8B">
            <w:pPr>
              <w:jc w:val="right"/>
              <w:rPr>
                <w:rFonts w:cs="Calibri"/>
                <w:sz w:val="22"/>
                <w:szCs w:val="22"/>
              </w:rPr>
            </w:pPr>
            <w:r w:rsidRPr="00220C8B">
              <w:rPr>
                <w:rFonts w:cs="Calibri"/>
                <w:sz w:val="22"/>
                <w:szCs w:val="22"/>
              </w:rPr>
              <w:t>1.6%</w:t>
            </w:r>
          </w:p>
        </w:tc>
        <w:tc>
          <w:tcPr>
            <w:tcW w:w="1063" w:type="dxa"/>
            <w:tcBorders>
              <w:top w:val="nil"/>
              <w:left w:val="nil"/>
              <w:bottom w:val="single" w:sz="4" w:space="0" w:color="auto"/>
              <w:right w:val="single" w:sz="4" w:space="0" w:color="auto"/>
            </w:tcBorders>
            <w:shd w:val="clear" w:color="auto" w:fill="auto"/>
            <w:noWrap/>
            <w:vAlign w:val="center"/>
            <w:hideMark/>
          </w:tcPr>
          <w:p w14:paraId="4604EBB1" w14:textId="77777777" w:rsidR="00220C8B" w:rsidRPr="00220C8B" w:rsidRDefault="00220C8B" w:rsidP="00220C8B">
            <w:pPr>
              <w:jc w:val="right"/>
              <w:rPr>
                <w:rFonts w:cs="Calibri"/>
                <w:sz w:val="22"/>
                <w:szCs w:val="22"/>
              </w:rPr>
            </w:pPr>
            <w:r w:rsidRPr="00220C8B">
              <w:rPr>
                <w:rFonts w:cs="Calibri"/>
                <w:sz w:val="22"/>
                <w:szCs w:val="22"/>
              </w:rPr>
              <w:t>0.25</w:t>
            </w:r>
          </w:p>
        </w:tc>
        <w:tc>
          <w:tcPr>
            <w:tcW w:w="742" w:type="dxa"/>
            <w:tcBorders>
              <w:top w:val="nil"/>
              <w:left w:val="nil"/>
              <w:bottom w:val="single" w:sz="4" w:space="0" w:color="auto"/>
              <w:right w:val="single" w:sz="4" w:space="0" w:color="auto"/>
            </w:tcBorders>
            <w:shd w:val="clear" w:color="auto" w:fill="auto"/>
            <w:noWrap/>
            <w:vAlign w:val="center"/>
            <w:hideMark/>
          </w:tcPr>
          <w:p w14:paraId="45D2C25D" w14:textId="77777777" w:rsidR="00220C8B" w:rsidRPr="00220C8B" w:rsidRDefault="00220C8B" w:rsidP="00220C8B">
            <w:pPr>
              <w:jc w:val="right"/>
              <w:rPr>
                <w:rFonts w:cs="Calibri"/>
                <w:sz w:val="22"/>
                <w:szCs w:val="22"/>
              </w:rPr>
            </w:pPr>
            <w:r w:rsidRPr="00220C8B">
              <w:rPr>
                <w:rFonts w:cs="Calibri"/>
                <w:sz w:val="22"/>
                <w:szCs w:val="22"/>
              </w:rPr>
              <w:t>104.0</w:t>
            </w:r>
          </w:p>
        </w:tc>
      </w:tr>
      <w:tr w:rsidR="00220C8B" w:rsidRPr="00220C8B" w14:paraId="6677A11F" w14:textId="77777777" w:rsidTr="00F51B69">
        <w:trPr>
          <w:trHeight w:val="300"/>
          <w:jc w:val="center"/>
        </w:trPr>
        <w:tc>
          <w:tcPr>
            <w:tcW w:w="896" w:type="dxa"/>
            <w:vMerge/>
            <w:tcBorders>
              <w:top w:val="nil"/>
              <w:left w:val="single" w:sz="4" w:space="0" w:color="auto"/>
              <w:bottom w:val="single" w:sz="4" w:space="0" w:color="000000"/>
              <w:right w:val="single" w:sz="4" w:space="0" w:color="auto"/>
            </w:tcBorders>
            <w:vAlign w:val="center"/>
            <w:hideMark/>
          </w:tcPr>
          <w:p w14:paraId="1519FD71" w14:textId="77777777" w:rsidR="00220C8B" w:rsidRPr="00220C8B" w:rsidRDefault="00220C8B" w:rsidP="00220C8B">
            <w:pPr>
              <w:rPr>
                <w:rFonts w:cs="Calibri"/>
                <w:sz w:val="22"/>
                <w:szCs w:val="22"/>
              </w:rPr>
            </w:pPr>
          </w:p>
        </w:tc>
        <w:tc>
          <w:tcPr>
            <w:tcW w:w="728" w:type="dxa"/>
            <w:tcBorders>
              <w:top w:val="nil"/>
              <w:left w:val="nil"/>
              <w:bottom w:val="single" w:sz="4" w:space="0" w:color="auto"/>
              <w:right w:val="single" w:sz="4" w:space="0" w:color="auto"/>
            </w:tcBorders>
            <w:shd w:val="clear" w:color="auto" w:fill="auto"/>
            <w:noWrap/>
            <w:vAlign w:val="center"/>
            <w:hideMark/>
          </w:tcPr>
          <w:p w14:paraId="211C9006" w14:textId="77777777" w:rsidR="00220C8B" w:rsidRPr="00220C8B" w:rsidRDefault="00220C8B" w:rsidP="00220C8B">
            <w:pPr>
              <w:jc w:val="center"/>
              <w:rPr>
                <w:rFonts w:cs="Calibri"/>
                <w:sz w:val="22"/>
                <w:szCs w:val="22"/>
              </w:rPr>
            </w:pPr>
            <w:r w:rsidRPr="00220C8B">
              <w:rPr>
                <w:rFonts w:cs="Calibri"/>
                <w:sz w:val="22"/>
                <w:szCs w:val="22"/>
              </w:rPr>
              <w:t>PGZP</w:t>
            </w:r>
          </w:p>
        </w:tc>
        <w:tc>
          <w:tcPr>
            <w:tcW w:w="1392" w:type="dxa"/>
            <w:vMerge/>
            <w:tcBorders>
              <w:top w:val="nil"/>
              <w:left w:val="single" w:sz="4" w:space="0" w:color="auto"/>
              <w:bottom w:val="single" w:sz="4" w:space="0" w:color="000000"/>
              <w:right w:val="single" w:sz="4" w:space="0" w:color="auto"/>
            </w:tcBorders>
            <w:vAlign w:val="center"/>
            <w:hideMark/>
          </w:tcPr>
          <w:p w14:paraId="5FCE03F4" w14:textId="77777777" w:rsidR="00220C8B" w:rsidRPr="00220C8B" w:rsidRDefault="00220C8B" w:rsidP="00220C8B">
            <w:pPr>
              <w:rPr>
                <w:rFonts w:cs="Calibri"/>
                <w:sz w:val="22"/>
                <w:szCs w:val="22"/>
              </w:rPr>
            </w:pPr>
          </w:p>
        </w:tc>
        <w:tc>
          <w:tcPr>
            <w:tcW w:w="1238" w:type="dxa"/>
            <w:vMerge/>
            <w:tcBorders>
              <w:top w:val="nil"/>
              <w:left w:val="single" w:sz="4" w:space="0" w:color="auto"/>
              <w:bottom w:val="nil"/>
              <w:right w:val="single" w:sz="4" w:space="0" w:color="auto"/>
            </w:tcBorders>
            <w:vAlign w:val="center"/>
            <w:hideMark/>
          </w:tcPr>
          <w:p w14:paraId="7D7A964E" w14:textId="77777777" w:rsidR="00220C8B" w:rsidRPr="00220C8B" w:rsidRDefault="00220C8B" w:rsidP="00220C8B">
            <w:pPr>
              <w:rPr>
                <w:rFonts w:cs="Calibri"/>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62E53967" w14:textId="77777777" w:rsidR="00220C8B" w:rsidRPr="00220C8B" w:rsidRDefault="00220C8B" w:rsidP="00220C8B">
            <w:pPr>
              <w:jc w:val="right"/>
              <w:rPr>
                <w:rFonts w:cs="Calibri"/>
                <w:sz w:val="22"/>
                <w:szCs w:val="22"/>
              </w:rPr>
            </w:pPr>
            <w:r w:rsidRPr="00220C8B">
              <w:rPr>
                <w:rFonts w:cs="Calibri"/>
                <w:sz w:val="22"/>
                <w:szCs w:val="22"/>
              </w:rPr>
              <w:t>2,262</w:t>
            </w:r>
          </w:p>
        </w:tc>
        <w:tc>
          <w:tcPr>
            <w:tcW w:w="1067" w:type="dxa"/>
            <w:tcBorders>
              <w:top w:val="nil"/>
              <w:left w:val="nil"/>
              <w:bottom w:val="single" w:sz="4" w:space="0" w:color="auto"/>
              <w:right w:val="single" w:sz="4" w:space="0" w:color="auto"/>
            </w:tcBorders>
            <w:shd w:val="clear" w:color="auto" w:fill="auto"/>
            <w:noWrap/>
            <w:vAlign w:val="center"/>
            <w:hideMark/>
          </w:tcPr>
          <w:p w14:paraId="0ED8030E" w14:textId="77777777" w:rsidR="00220C8B" w:rsidRPr="00220C8B" w:rsidRDefault="00220C8B" w:rsidP="00220C8B">
            <w:pPr>
              <w:jc w:val="right"/>
              <w:rPr>
                <w:rFonts w:cs="Calibri"/>
                <w:sz w:val="22"/>
                <w:szCs w:val="22"/>
              </w:rPr>
            </w:pPr>
            <w:r w:rsidRPr="00220C8B">
              <w:rPr>
                <w:rFonts w:cs="Calibri"/>
                <w:sz w:val="22"/>
                <w:szCs w:val="22"/>
              </w:rPr>
              <w:t>2.20</w:t>
            </w:r>
          </w:p>
        </w:tc>
        <w:tc>
          <w:tcPr>
            <w:tcW w:w="1067" w:type="dxa"/>
            <w:tcBorders>
              <w:top w:val="nil"/>
              <w:left w:val="nil"/>
              <w:bottom w:val="single" w:sz="4" w:space="0" w:color="auto"/>
              <w:right w:val="single" w:sz="4" w:space="0" w:color="auto"/>
            </w:tcBorders>
            <w:shd w:val="clear" w:color="auto" w:fill="auto"/>
            <w:noWrap/>
            <w:vAlign w:val="center"/>
            <w:hideMark/>
          </w:tcPr>
          <w:p w14:paraId="0FF9F360" w14:textId="77777777" w:rsidR="00220C8B" w:rsidRPr="00220C8B" w:rsidRDefault="00220C8B" w:rsidP="00220C8B">
            <w:pPr>
              <w:jc w:val="right"/>
              <w:rPr>
                <w:rFonts w:cs="Calibri"/>
                <w:sz w:val="22"/>
                <w:szCs w:val="22"/>
              </w:rPr>
            </w:pPr>
            <w:r w:rsidRPr="00220C8B">
              <w:rPr>
                <w:rFonts w:cs="Calibri"/>
                <w:sz w:val="22"/>
                <w:szCs w:val="22"/>
              </w:rPr>
              <w:t>0.11</w:t>
            </w:r>
          </w:p>
        </w:tc>
        <w:tc>
          <w:tcPr>
            <w:tcW w:w="792" w:type="dxa"/>
            <w:tcBorders>
              <w:top w:val="nil"/>
              <w:left w:val="nil"/>
              <w:bottom w:val="single" w:sz="4" w:space="0" w:color="auto"/>
              <w:right w:val="single" w:sz="4" w:space="0" w:color="auto"/>
            </w:tcBorders>
            <w:shd w:val="clear" w:color="auto" w:fill="auto"/>
            <w:noWrap/>
            <w:vAlign w:val="center"/>
            <w:hideMark/>
          </w:tcPr>
          <w:p w14:paraId="02FA61B3" w14:textId="77777777" w:rsidR="00220C8B" w:rsidRPr="00220C8B" w:rsidRDefault="00220C8B" w:rsidP="00220C8B">
            <w:pPr>
              <w:jc w:val="right"/>
              <w:rPr>
                <w:rFonts w:cs="Calibri"/>
                <w:sz w:val="22"/>
                <w:szCs w:val="22"/>
              </w:rPr>
            </w:pPr>
            <w:r w:rsidRPr="00220C8B">
              <w:rPr>
                <w:rFonts w:cs="Calibri"/>
                <w:sz w:val="22"/>
                <w:szCs w:val="22"/>
              </w:rPr>
              <w:t>4.8%</w:t>
            </w:r>
          </w:p>
        </w:tc>
        <w:tc>
          <w:tcPr>
            <w:tcW w:w="1063" w:type="dxa"/>
            <w:tcBorders>
              <w:top w:val="nil"/>
              <w:left w:val="nil"/>
              <w:bottom w:val="single" w:sz="4" w:space="0" w:color="auto"/>
              <w:right w:val="single" w:sz="4" w:space="0" w:color="auto"/>
            </w:tcBorders>
            <w:shd w:val="clear" w:color="auto" w:fill="auto"/>
            <w:noWrap/>
            <w:vAlign w:val="center"/>
            <w:hideMark/>
          </w:tcPr>
          <w:p w14:paraId="5A82CFDD" w14:textId="77777777" w:rsidR="00220C8B" w:rsidRPr="00220C8B" w:rsidRDefault="00220C8B" w:rsidP="00220C8B">
            <w:pPr>
              <w:jc w:val="right"/>
              <w:rPr>
                <w:rFonts w:cs="Calibri"/>
                <w:sz w:val="22"/>
                <w:szCs w:val="22"/>
              </w:rPr>
            </w:pPr>
            <w:r w:rsidRPr="00220C8B">
              <w:rPr>
                <w:rFonts w:cs="Calibri"/>
                <w:sz w:val="22"/>
                <w:szCs w:val="22"/>
              </w:rPr>
              <w:t>0.24</w:t>
            </w:r>
          </w:p>
        </w:tc>
        <w:tc>
          <w:tcPr>
            <w:tcW w:w="742" w:type="dxa"/>
            <w:tcBorders>
              <w:top w:val="nil"/>
              <w:left w:val="nil"/>
              <w:bottom w:val="single" w:sz="4" w:space="0" w:color="auto"/>
              <w:right w:val="single" w:sz="4" w:space="0" w:color="auto"/>
            </w:tcBorders>
            <w:shd w:val="clear" w:color="auto" w:fill="auto"/>
            <w:noWrap/>
            <w:vAlign w:val="center"/>
            <w:hideMark/>
          </w:tcPr>
          <w:p w14:paraId="676D4832" w14:textId="77777777" w:rsidR="00220C8B" w:rsidRPr="00220C8B" w:rsidRDefault="00220C8B" w:rsidP="00220C8B">
            <w:pPr>
              <w:jc w:val="right"/>
              <w:rPr>
                <w:rFonts w:cs="Calibri"/>
                <w:sz w:val="22"/>
                <w:szCs w:val="22"/>
              </w:rPr>
            </w:pPr>
            <w:r w:rsidRPr="00220C8B">
              <w:rPr>
                <w:rFonts w:cs="Calibri"/>
                <w:sz w:val="22"/>
                <w:szCs w:val="22"/>
              </w:rPr>
              <w:t>94.9</w:t>
            </w:r>
          </w:p>
        </w:tc>
      </w:tr>
      <w:tr w:rsidR="00220C8B" w:rsidRPr="00220C8B" w14:paraId="06FFA6EF" w14:textId="77777777" w:rsidTr="00F51B69">
        <w:trPr>
          <w:trHeight w:val="30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66CFEE0" w14:textId="77777777" w:rsidR="00220C8B" w:rsidRPr="00220C8B" w:rsidRDefault="00220C8B" w:rsidP="00220C8B">
            <w:pPr>
              <w:jc w:val="center"/>
              <w:rPr>
                <w:rFonts w:cs="Calibri"/>
                <w:sz w:val="22"/>
                <w:szCs w:val="22"/>
              </w:rPr>
            </w:pPr>
            <w:r w:rsidRPr="00220C8B">
              <w:rPr>
                <w:rFonts w:cs="Calibri"/>
                <w:sz w:val="22"/>
                <w:szCs w:val="22"/>
              </w:rPr>
              <w:t>26-Sep</w:t>
            </w:r>
          </w:p>
        </w:tc>
        <w:tc>
          <w:tcPr>
            <w:tcW w:w="728" w:type="dxa"/>
            <w:tcBorders>
              <w:top w:val="nil"/>
              <w:left w:val="nil"/>
              <w:bottom w:val="single" w:sz="4" w:space="0" w:color="auto"/>
              <w:right w:val="single" w:sz="4" w:space="0" w:color="auto"/>
            </w:tcBorders>
            <w:shd w:val="clear" w:color="auto" w:fill="auto"/>
            <w:noWrap/>
            <w:vAlign w:val="center"/>
            <w:hideMark/>
          </w:tcPr>
          <w:p w14:paraId="6E7A9E54" w14:textId="77777777" w:rsidR="00220C8B" w:rsidRPr="00220C8B" w:rsidRDefault="00220C8B" w:rsidP="00220C8B">
            <w:pPr>
              <w:jc w:val="center"/>
              <w:rPr>
                <w:rFonts w:cs="Calibri"/>
                <w:sz w:val="22"/>
                <w:szCs w:val="22"/>
              </w:rPr>
            </w:pPr>
            <w:r w:rsidRPr="00220C8B">
              <w:rPr>
                <w:rFonts w:cs="Calibri"/>
                <w:sz w:val="22"/>
                <w:szCs w:val="22"/>
              </w:rPr>
              <w:t>PGNC</w:t>
            </w:r>
          </w:p>
        </w:tc>
        <w:tc>
          <w:tcPr>
            <w:tcW w:w="1392" w:type="dxa"/>
            <w:tcBorders>
              <w:top w:val="nil"/>
              <w:left w:val="nil"/>
              <w:bottom w:val="single" w:sz="4" w:space="0" w:color="auto"/>
              <w:right w:val="single" w:sz="4" w:space="0" w:color="auto"/>
            </w:tcBorders>
            <w:shd w:val="clear" w:color="auto" w:fill="auto"/>
            <w:noWrap/>
            <w:vAlign w:val="center"/>
            <w:hideMark/>
          </w:tcPr>
          <w:p w14:paraId="7118FD3D" w14:textId="77777777" w:rsidR="00220C8B" w:rsidRPr="00220C8B" w:rsidRDefault="00220C8B" w:rsidP="00220C8B">
            <w:pPr>
              <w:jc w:val="center"/>
              <w:rPr>
                <w:rFonts w:cs="Calibri"/>
                <w:sz w:val="22"/>
                <w:szCs w:val="22"/>
              </w:rPr>
            </w:pPr>
            <w:r w:rsidRPr="00220C8B">
              <w:rPr>
                <w:rFonts w:cs="Calibri"/>
                <w:sz w:val="22"/>
                <w:szCs w:val="22"/>
              </w:rPr>
              <w:t>4-7 p.m.</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66B80FC2" w14:textId="77777777" w:rsidR="00220C8B" w:rsidRPr="00220C8B" w:rsidRDefault="00220C8B" w:rsidP="00220C8B">
            <w:pPr>
              <w:jc w:val="center"/>
              <w:rPr>
                <w:rFonts w:cs="Calibri"/>
                <w:sz w:val="22"/>
                <w:szCs w:val="22"/>
              </w:rPr>
            </w:pPr>
            <w:r w:rsidRPr="00220C8B">
              <w:rPr>
                <w:rFonts w:cs="Calibri"/>
                <w:sz w:val="22"/>
                <w:szCs w:val="22"/>
              </w:rPr>
              <w:t>No</w:t>
            </w:r>
          </w:p>
        </w:tc>
        <w:tc>
          <w:tcPr>
            <w:tcW w:w="851" w:type="dxa"/>
            <w:tcBorders>
              <w:top w:val="nil"/>
              <w:left w:val="nil"/>
              <w:bottom w:val="single" w:sz="4" w:space="0" w:color="auto"/>
              <w:right w:val="single" w:sz="4" w:space="0" w:color="auto"/>
            </w:tcBorders>
            <w:shd w:val="clear" w:color="auto" w:fill="auto"/>
            <w:noWrap/>
            <w:vAlign w:val="center"/>
            <w:hideMark/>
          </w:tcPr>
          <w:p w14:paraId="3E417665" w14:textId="77777777" w:rsidR="00220C8B" w:rsidRPr="00220C8B" w:rsidRDefault="00220C8B" w:rsidP="00220C8B">
            <w:pPr>
              <w:jc w:val="right"/>
              <w:rPr>
                <w:rFonts w:cs="Calibri"/>
                <w:sz w:val="22"/>
                <w:szCs w:val="22"/>
              </w:rPr>
            </w:pPr>
            <w:r w:rsidRPr="00220C8B">
              <w:rPr>
                <w:rFonts w:cs="Calibri"/>
                <w:sz w:val="22"/>
                <w:szCs w:val="22"/>
              </w:rPr>
              <w:t>719</w:t>
            </w:r>
          </w:p>
        </w:tc>
        <w:tc>
          <w:tcPr>
            <w:tcW w:w="1067" w:type="dxa"/>
            <w:tcBorders>
              <w:top w:val="nil"/>
              <w:left w:val="nil"/>
              <w:bottom w:val="single" w:sz="4" w:space="0" w:color="auto"/>
              <w:right w:val="single" w:sz="4" w:space="0" w:color="auto"/>
            </w:tcBorders>
            <w:shd w:val="clear" w:color="auto" w:fill="auto"/>
            <w:noWrap/>
            <w:vAlign w:val="center"/>
            <w:hideMark/>
          </w:tcPr>
          <w:p w14:paraId="7067D043" w14:textId="77777777" w:rsidR="00220C8B" w:rsidRPr="00220C8B" w:rsidRDefault="00220C8B" w:rsidP="00220C8B">
            <w:pPr>
              <w:jc w:val="right"/>
              <w:rPr>
                <w:rFonts w:cs="Calibri"/>
                <w:sz w:val="22"/>
                <w:szCs w:val="22"/>
              </w:rPr>
            </w:pPr>
            <w:r w:rsidRPr="00220C8B">
              <w:rPr>
                <w:rFonts w:cs="Calibri"/>
                <w:sz w:val="22"/>
                <w:szCs w:val="22"/>
              </w:rPr>
              <w:t>1.22</w:t>
            </w:r>
          </w:p>
        </w:tc>
        <w:tc>
          <w:tcPr>
            <w:tcW w:w="1067" w:type="dxa"/>
            <w:tcBorders>
              <w:top w:val="nil"/>
              <w:left w:val="nil"/>
              <w:bottom w:val="single" w:sz="4" w:space="0" w:color="auto"/>
              <w:right w:val="single" w:sz="4" w:space="0" w:color="auto"/>
            </w:tcBorders>
            <w:shd w:val="clear" w:color="auto" w:fill="auto"/>
            <w:noWrap/>
            <w:vAlign w:val="center"/>
            <w:hideMark/>
          </w:tcPr>
          <w:p w14:paraId="59AD96CB" w14:textId="77777777" w:rsidR="00220C8B" w:rsidRPr="00220C8B" w:rsidRDefault="00220C8B" w:rsidP="00220C8B">
            <w:pPr>
              <w:jc w:val="right"/>
              <w:rPr>
                <w:rFonts w:cs="Calibri"/>
                <w:sz w:val="22"/>
                <w:szCs w:val="22"/>
              </w:rPr>
            </w:pPr>
            <w:r w:rsidRPr="00220C8B">
              <w:rPr>
                <w:rFonts w:cs="Calibri"/>
                <w:sz w:val="22"/>
                <w:szCs w:val="22"/>
              </w:rPr>
              <w:t>0.11</w:t>
            </w:r>
          </w:p>
        </w:tc>
        <w:tc>
          <w:tcPr>
            <w:tcW w:w="792" w:type="dxa"/>
            <w:tcBorders>
              <w:top w:val="nil"/>
              <w:left w:val="nil"/>
              <w:bottom w:val="single" w:sz="4" w:space="0" w:color="auto"/>
              <w:right w:val="single" w:sz="4" w:space="0" w:color="auto"/>
            </w:tcBorders>
            <w:shd w:val="clear" w:color="auto" w:fill="auto"/>
            <w:noWrap/>
            <w:vAlign w:val="center"/>
            <w:hideMark/>
          </w:tcPr>
          <w:p w14:paraId="737EDEB5" w14:textId="77777777" w:rsidR="00220C8B" w:rsidRPr="00220C8B" w:rsidRDefault="00220C8B" w:rsidP="00220C8B">
            <w:pPr>
              <w:jc w:val="right"/>
              <w:rPr>
                <w:rFonts w:cs="Calibri"/>
                <w:sz w:val="22"/>
                <w:szCs w:val="22"/>
              </w:rPr>
            </w:pPr>
            <w:r w:rsidRPr="00220C8B">
              <w:rPr>
                <w:rFonts w:cs="Calibri"/>
                <w:sz w:val="22"/>
                <w:szCs w:val="22"/>
              </w:rPr>
              <w:t>9.4%</w:t>
            </w:r>
          </w:p>
        </w:tc>
        <w:tc>
          <w:tcPr>
            <w:tcW w:w="1063" w:type="dxa"/>
            <w:tcBorders>
              <w:top w:val="nil"/>
              <w:left w:val="nil"/>
              <w:bottom w:val="single" w:sz="4" w:space="0" w:color="auto"/>
              <w:right w:val="single" w:sz="4" w:space="0" w:color="auto"/>
            </w:tcBorders>
            <w:shd w:val="clear" w:color="auto" w:fill="auto"/>
            <w:noWrap/>
            <w:vAlign w:val="center"/>
            <w:hideMark/>
          </w:tcPr>
          <w:p w14:paraId="6532B459" w14:textId="77777777" w:rsidR="00220C8B" w:rsidRPr="00220C8B" w:rsidRDefault="00220C8B" w:rsidP="00220C8B">
            <w:pPr>
              <w:jc w:val="right"/>
              <w:rPr>
                <w:rFonts w:cs="Calibri"/>
                <w:sz w:val="22"/>
                <w:szCs w:val="22"/>
              </w:rPr>
            </w:pPr>
            <w:r w:rsidRPr="00220C8B">
              <w:rPr>
                <w:rFonts w:cs="Calibri"/>
                <w:sz w:val="22"/>
                <w:szCs w:val="22"/>
              </w:rPr>
              <w:t>0.08</w:t>
            </w:r>
          </w:p>
        </w:tc>
        <w:tc>
          <w:tcPr>
            <w:tcW w:w="742" w:type="dxa"/>
            <w:tcBorders>
              <w:top w:val="nil"/>
              <w:left w:val="nil"/>
              <w:bottom w:val="single" w:sz="4" w:space="0" w:color="auto"/>
              <w:right w:val="single" w:sz="4" w:space="0" w:color="auto"/>
            </w:tcBorders>
            <w:shd w:val="clear" w:color="auto" w:fill="auto"/>
            <w:noWrap/>
            <w:vAlign w:val="center"/>
            <w:hideMark/>
          </w:tcPr>
          <w:p w14:paraId="653D9811" w14:textId="77777777" w:rsidR="00220C8B" w:rsidRPr="00220C8B" w:rsidRDefault="00220C8B" w:rsidP="00220C8B">
            <w:pPr>
              <w:jc w:val="right"/>
              <w:rPr>
                <w:rFonts w:cs="Calibri"/>
                <w:sz w:val="22"/>
                <w:szCs w:val="22"/>
              </w:rPr>
            </w:pPr>
            <w:r w:rsidRPr="00220C8B">
              <w:rPr>
                <w:rFonts w:cs="Calibri"/>
                <w:sz w:val="22"/>
                <w:szCs w:val="22"/>
              </w:rPr>
              <w:t>94.1</w:t>
            </w:r>
          </w:p>
        </w:tc>
      </w:tr>
    </w:tbl>
    <w:p w14:paraId="35E7E4FF" w14:textId="1168A091" w:rsidR="00BF6148" w:rsidRDefault="00BF6148" w:rsidP="0010427D">
      <w:pPr>
        <w:spacing w:after="120"/>
        <w:jc w:val="center"/>
        <w:rPr>
          <w:szCs w:val="32"/>
        </w:rPr>
      </w:pPr>
    </w:p>
    <w:p w14:paraId="45947290" w14:textId="77777777" w:rsidR="00BA49C2" w:rsidRDefault="00BA49C2" w:rsidP="00AB4C37">
      <w:pPr>
        <w:spacing w:after="120"/>
        <w:rPr>
          <w:szCs w:val="32"/>
        </w:rPr>
      </w:pPr>
    </w:p>
    <w:p w14:paraId="315BFF25" w14:textId="77777777" w:rsidR="0014595D" w:rsidRDefault="0014595D" w:rsidP="00AB4C37">
      <w:pPr>
        <w:spacing w:after="120"/>
        <w:rPr>
          <w:szCs w:val="32"/>
        </w:rPr>
      </w:pPr>
    </w:p>
    <w:p w14:paraId="5B75791F" w14:textId="7C8EBBDF" w:rsidR="009B0A71" w:rsidRPr="009B0A71" w:rsidRDefault="009B0A71" w:rsidP="0014595D">
      <w:pPr>
        <w:spacing w:afterLines="120" w:after="288"/>
        <w:rPr>
          <w:b/>
          <w:i/>
        </w:rPr>
      </w:pPr>
      <w:r>
        <w:rPr>
          <w:b/>
          <w:i/>
        </w:rPr>
        <w:t>Consecutive sub-LAP events do not lead to diminished load impacts</w:t>
      </w:r>
    </w:p>
    <w:p w14:paraId="52A32DF2" w14:textId="6E387D32" w:rsidR="00350AB1" w:rsidRDefault="00350AB1" w:rsidP="0014595D">
      <w:pPr>
        <w:spacing w:afterLines="120" w:after="288"/>
      </w:pPr>
      <w:r>
        <w:fldChar w:fldCharType="begin"/>
      </w:r>
      <w:r>
        <w:instrText xml:space="preserve"> REF _Ref2196425 \h </w:instrText>
      </w:r>
      <w:r>
        <w:fldChar w:fldCharType="separate"/>
      </w:r>
      <w:r w:rsidR="00445DF3">
        <w:t xml:space="preserve">Table </w:t>
      </w:r>
      <w:r w:rsidR="00445DF3">
        <w:rPr>
          <w:noProof/>
        </w:rPr>
        <w:t>3</w:t>
      </w:r>
      <w:r w:rsidR="00445DF3">
        <w:noBreakHyphen/>
      </w:r>
      <w:r w:rsidR="00445DF3">
        <w:rPr>
          <w:noProof/>
        </w:rPr>
        <w:t>4</w:t>
      </w:r>
      <w:r>
        <w:fldChar w:fldCharType="end"/>
      </w:r>
      <w:r>
        <w:t xml:space="preserve"> compares the load impacts for sub-LAPs that have two or three consecutive events</w:t>
      </w:r>
      <w:r w:rsidR="00F650FC">
        <w:t xml:space="preserve"> to analyze whether </w:t>
      </w:r>
      <w:r w:rsidR="0014595D">
        <w:t xml:space="preserve">having consecutive events leads to diminishing load impacts. </w:t>
      </w:r>
      <w:r>
        <w:t>It appears that two or even three consecutive events do not significantly diminish the event load impacts once we control for weather. That is, it appears that load impacts are higher on second event days and lower on third event days, but this is in fact due to higher temperatures on second event days and lower temperatures on third event days.</w:t>
      </w:r>
      <w:r w:rsidR="00582685">
        <w:t xml:space="preserve"> For example, PGZP has lower per-customer load impacts on the third of three consecutive event days, but that day was also significantly cooler than the preceding event days.</w:t>
      </w:r>
    </w:p>
    <w:p w14:paraId="57549AEB" w14:textId="3A2F777A" w:rsidR="00A47CC8" w:rsidRDefault="00A47CC8" w:rsidP="00A47CC8">
      <w:pPr>
        <w:pStyle w:val="TableCaption"/>
      </w:pPr>
      <w:bookmarkStart w:id="101" w:name="_Ref2196425"/>
      <w:bookmarkStart w:id="102" w:name="_Toc4578179"/>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3</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4</w:t>
      </w:r>
      <w:r w:rsidR="005D5F52">
        <w:rPr>
          <w:noProof/>
        </w:rPr>
        <w:fldChar w:fldCharType="end"/>
      </w:r>
      <w:bookmarkEnd w:id="101"/>
      <w:r>
        <w:t>: Sub-LAPs with Consecutive Events</w:t>
      </w:r>
      <w:bookmarkEnd w:id="102"/>
    </w:p>
    <w:tbl>
      <w:tblPr>
        <w:tblW w:w="6780" w:type="dxa"/>
        <w:jc w:val="center"/>
        <w:tblLook w:val="04A0" w:firstRow="1" w:lastRow="0" w:firstColumn="1" w:lastColumn="0" w:noHBand="0" w:noVBand="1"/>
      </w:tblPr>
      <w:tblGrid>
        <w:gridCol w:w="1167"/>
        <w:gridCol w:w="960"/>
        <w:gridCol w:w="960"/>
        <w:gridCol w:w="1238"/>
        <w:gridCol w:w="960"/>
        <w:gridCol w:w="1067"/>
        <w:gridCol w:w="960"/>
      </w:tblGrid>
      <w:tr w:rsidR="00B30FDF" w:rsidRPr="00B30FDF" w14:paraId="00A910F5" w14:textId="77777777" w:rsidTr="00B30FDF">
        <w:trPr>
          <w:trHeight w:val="300"/>
          <w:jc w:val="center"/>
        </w:trPr>
        <w:tc>
          <w:tcPr>
            <w:tcW w:w="1020" w:type="dxa"/>
            <w:vMerge w:val="restart"/>
            <w:tcBorders>
              <w:top w:val="nil"/>
              <w:left w:val="nil"/>
              <w:bottom w:val="nil"/>
              <w:right w:val="nil"/>
            </w:tcBorders>
            <w:shd w:val="clear" w:color="000000" w:fill="0C2577"/>
            <w:vAlign w:val="center"/>
            <w:hideMark/>
          </w:tcPr>
          <w:p w14:paraId="4C8735D3" w14:textId="77777777" w:rsidR="00B30FDF" w:rsidRPr="00B30FDF" w:rsidRDefault="00B30FDF" w:rsidP="00B30FDF">
            <w:pPr>
              <w:jc w:val="center"/>
              <w:rPr>
                <w:rFonts w:cs="Calibri"/>
                <w:b/>
                <w:bCs/>
                <w:color w:val="FFFFFF"/>
                <w:sz w:val="20"/>
                <w:szCs w:val="20"/>
              </w:rPr>
            </w:pPr>
            <w:r w:rsidRPr="00B30FDF">
              <w:rPr>
                <w:rFonts w:cs="Calibri"/>
                <w:b/>
                <w:bCs/>
                <w:color w:val="FFFFFF"/>
                <w:sz w:val="20"/>
                <w:szCs w:val="20"/>
              </w:rPr>
              <w:t>Event Date</w:t>
            </w:r>
          </w:p>
        </w:tc>
        <w:tc>
          <w:tcPr>
            <w:tcW w:w="960" w:type="dxa"/>
            <w:vMerge w:val="restart"/>
            <w:tcBorders>
              <w:top w:val="nil"/>
              <w:left w:val="single" w:sz="4" w:space="0" w:color="FFFFFF"/>
              <w:bottom w:val="nil"/>
              <w:right w:val="single" w:sz="4" w:space="0" w:color="FFFFFF"/>
            </w:tcBorders>
            <w:shd w:val="clear" w:color="000000" w:fill="0C2577"/>
            <w:vAlign w:val="center"/>
            <w:hideMark/>
          </w:tcPr>
          <w:p w14:paraId="7A28C195" w14:textId="77777777" w:rsidR="00B30FDF" w:rsidRPr="00B30FDF" w:rsidRDefault="00B30FDF" w:rsidP="00B30FDF">
            <w:pPr>
              <w:jc w:val="center"/>
              <w:rPr>
                <w:rFonts w:cs="Calibri"/>
                <w:b/>
                <w:bCs/>
                <w:color w:val="FFFFFF"/>
                <w:sz w:val="20"/>
                <w:szCs w:val="20"/>
              </w:rPr>
            </w:pPr>
            <w:r w:rsidRPr="00B30FDF">
              <w:rPr>
                <w:rFonts w:cs="Calibri"/>
                <w:b/>
                <w:bCs/>
                <w:color w:val="FFFFFF"/>
                <w:sz w:val="20"/>
                <w:szCs w:val="20"/>
              </w:rPr>
              <w:t>Sub-LAP</w:t>
            </w:r>
          </w:p>
        </w:tc>
        <w:tc>
          <w:tcPr>
            <w:tcW w:w="960" w:type="dxa"/>
            <w:vMerge w:val="restart"/>
            <w:tcBorders>
              <w:top w:val="nil"/>
              <w:left w:val="single" w:sz="4" w:space="0" w:color="FFFFFF"/>
              <w:bottom w:val="nil"/>
              <w:right w:val="single" w:sz="4" w:space="0" w:color="FFFFFF"/>
            </w:tcBorders>
            <w:shd w:val="clear" w:color="000000" w:fill="0C2577"/>
            <w:vAlign w:val="center"/>
            <w:hideMark/>
          </w:tcPr>
          <w:p w14:paraId="08975A7B" w14:textId="77777777" w:rsidR="00B30FDF" w:rsidRPr="00B30FDF" w:rsidRDefault="00B30FDF" w:rsidP="00B30FDF">
            <w:pPr>
              <w:jc w:val="center"/>
              <w:rPr>
                <w:rFonts w:cs="Calibri"/>
                <w:b/>
                <w:bCs/>
                <w:color w:val="FFFFFF"/>
                <w:sz w:val="20"/>
                <w:szCs w:val="20"/>
              </w:rPr>
            </w:pPr>
            <w:r w:rsidRPr="00B30FDF">
              <w:rPr>
                <w:rFonts w:cs="Calibri"/>
                <w:b/>
                <w:bCs/>
                <w:color w:val="FFFFFF"/>
                <w:sz w:val="20"/>
                <w:szCs w:val="20"/>
              </w:rPr>
              <w:t>Event Hours</w:t>
            </w:r>
          </w:p>
        </w:tc>
        <w:tc>
          <w:tcPr>
            <w:tcW w:w="960" w:type="dxa"/>
            <w:vMerge w:val="restart"/>
            <w:tcBorders>
              <w:top w:val="nil"/>
              <w:left w:val="nil"/>
              <w:bottom w:val="nil"/>
              <w:right w:val="nil"/>
            </w:tcBorders>
            <w:shd w:val="clear" w:color="000000" w:fill="0C2577"/>
            <w:vAlign w:val="center"/>
            <w:hideMark/>
          </w:tcPr>
          <w:p w14:paraId="3176E325" w14:textId="15F1F071" w:rsidR="00B30FDF" w:rsidRPr="00B30FDF" w:rsidRDefault="00546AFB" w:rsidP="00B30FDF">
            <w:pPr>
              <w:jc w:val="center"/>
              <w:rPr>
                <w:rFonts w:cs="Calibri"/>
                <w:b/>
                <w:bCs/>
                <w:color w:val="FFFFFF"/>
                <w:sz w:val="20"/>
                <w:szCs w:val="20"/>
              </w:rPr>
            </w:pPr>
            <w:r>
              <w:rPr>
                <w:rFonts w:cs="Calibri"/>
                <w:b/>
                <w:bCs/>
                <w:color w:val="FFFFFF"/>
                <w:sz w:val="20"/>
                <w:szCs w:val="20"/>
              </w:rPr>
              <w:t>SmartRate™</w:t>
            </w:r>
            <w:r w:rsidR="00B30FDF" w:rsidRPr="00B30FDF">
              <w:rPr>
                <w:rFonts w:cs="Calibri"/>
                <w:b/>
                <w:bCs/>
                <w:color w:val="FFFFFF"/>
                <w:sz w:val="20"/>
                <w:szCs w:val="20"/>
              </w:rPr>
              <w:t xml:space="preserve"> Event?</w:t>
            </w:r>
          </w:p>
        </w:tc>
        <w:tc>
          <w:tcPr>
            <w:tcW w:w="960" w:type="dxa"/>
            <w:vMerge w:val="restart"/>
            <w:tcBorders>
              <w:top w:val="nil"/>
              <w:left w:val="single" w:sz="4" w:space="0" w:color="FFFFFF"/>
              <w:bottom w:val="nil"/>
              <w:right w:val="single" w:sz="4" w:space="0" w:color="FFFFFF"/>
            </w:tcBorders>
            <w:shd w:val="clear" w:color="000000" w:fill="0C2577"/>
            <w:vAlign w:val="center"/>
            <w:hideMark/>
          </w:tcPr>
          <w:p w14:paraId="38F4E0B4" w14:textId="77777777" w:rsidR="00B30FDF" w:rsidRPr="00B30FDF" w:rsidRDefault="00B30FDF" w:rsidP="00B30FDF">
            <w:pPr>
              <w:jc w:val="center"/>
              <w:rPr>
                <w:rFonts w:cs="Calibri"/>
                <w:b/>
                <w:bCs/>
                <w:color w:val="FFFFFF"/>
                <w:sz w:val="20"/>
                <w:szCs w:val="20"/>
              </w:rPr>
            </w:pPr>
            <w:r w:rsidRPr="00B30FDF">
              <w:rPr>
                <w:rFonts w:cs="Calibri"/>
                <w:b/>
                <w:bCs/>
                <w:color w:val="FFFFFF"/>
                <w:sz w:val="20"/>
                <w:szCs w:val="20"/>
              </w:rPr>
              <w:t># Called</w:t>
            </w:r>
          </w:p>
        </w:tc>
        <w:tc>
          <w:tcPr>
            <w:tcW w:w="1920" w:type="dxa"/>
            <w:gridSpan w:val="2"/>
            <w:tcBorders>
              <w:top w:val="nil"/>
              <w:left w:val="nil"/>
              <w:bottom w:val="single" w:sz="4" w:space="0" w:color="E7E6E6"/>
              <w:right w:val="nil"/>
            </w:tcBorders>
            <w:shd w:val="clear" w:color="000000" w:fill="0C2577"/>
            <w:vAlign w:val="center"/>
            <w:hideMark/>
          </w:tcPr>
          <w:p w14:paraId="255D2033" w14:textId="77777777" w:rsidR="00B30FDF" w:rsidRPr="00B30FDF" w:rsidRDefault="00B30FDF" w:rsidP="00B30FDF">
            <w:pPr>
              <w:jc w:val="center"/>
              <w:rPr>
                <w:rFonts w:cs="Calibri"/>
                <w:b/>
                <w:bCs/>
                <w:color w:val="FFFFFF"/>
                <w:sz w:val="20"/>
                <w:szCs w:val="20"/>
              </w:rPr>
            </w:pPr>
            <w:r w:rsidRPr="00B30FDF">
              <w:rPr>
                <w:rFonts w:cs="Calibri"/>
                <w:b/>
                <w:bCs/>
                <w:color w:val="FFFFFF"/>
                <w:sz w:val="20"/>
                <w:szCs w:val="20"/>
              </w:rPr>
              <w:t>Average Event Hour</w:t>
            </w:r>
          </w:p>
        </w:tc>
      </w:tr>
      <w:tr w:rsidR="00B30FDF" w:rsidRPr="00B30FDF" w14:paraId="7F43BF52" w14:textId="77777777" w:rsidTr="00B30FDF">
        <w:trPr>
          <w:trHeight w:val="510"/>
          <w:jc w:val="center"/>
        </w:trPr>
        <w:tc>
          <w:tcPr>
            <w:tcW w:w="1020" w:type="dxa"/>
            <w:vMerge/>
            <w:tcBorders>
              <w:top w:val="nil"/>
              <w:left w:val="nil"/>
              <w:bottom w:val="nil"/>
              <w:right w:val="nil"/>
            </w:tcBorders>
            <w:vAlign w:val="center"/>
            <w:hideMark/>
          </w:tcPr>
          <w:p w14:paraId="70FC44F8" w14:textId="77777777" w:rsidR="00B30FDF" w:rsidRPr="00B30FDF" w:rsidRDefault="00B30FDF" w:rsidP="00B30FDF">
            <w:pPr>
              <w:rPr>
                <w:rFonts w:cs="Calibri"/>
                <w:b/>
                <w:bCs/>
                <w:color w:val="FFFFFF"/>
                <w:sz w:val="20"/>
                <w:szCs w:val="20"/>
              </w:rPr>
            </w:pPr>
          </w:p>
        </w:tc>
        <w:tc>
          <w:tcPr>
            <w:tcW w:w="960" w:type="dxa"/>
            <w:vMerge/>
            <w:tcBorders>
              <w:top w:val="nil"/>
              <w:left w:val="single" w:sz="4" w:space="0" w:color="FFFFFF"/>
              <w:bottom w:val="nil"/>
              <w:right w:val="single" w:sz="4" w:space="0" w:color="FFFFFF"/>
            </w:tcBorders>
            <w:vAlign w:val="center"/>
            <w:hideMark/>
          </w:tcPr>
          <w:p w14:paraId="18EEC041" w14:textId="77777777" w:rsidR="00B30FDF" w:rsidRPr="00B30FDF" w:rsidRDefault="00B30FDF" w:rsidP="00B30FDF">
            <w:pPr>
              <w:rPr>
                <w:rFonts w:cs="Calibri"/>
                <w:b/>
                <w:bCs/>
                <w:color w:val="FFFFFF"/>
                <w:sz w:val="20"/>
                <w:szCs w:val="20"/>
              </w:rPr>
            </w:pPr>
          </w:p>
        </w:tc>
        <w:tc>
          <w:tcPr>
            <w:tcW w:w="960" w:type="dxa"/>
            <w:vMerge/>
            <w:tcBorders>
              <w:top w:val="nil"/>
              <w:left w:val="single" w:sz="4" w:space="0" w:color="FFFFFF"/>
              <w:bottom w:val="nil"/>
              <w:right w:val="single" w:sz="4" w:space="0" w:color="FFFFFF"/>
            </w:tcBorders>
            <w:vAlign w:val="center"/>
            <w:hideMark/>
          </w:tcPr>
          <w:p w14:paraId="1A523AAF" w14:textId="77777777" w:rsidR="00B30FDF" w:rsidRPr="00B30FDF" w:rsidRDefault="00B30FDF" w:rsidP="00B30FDF">
            <w:pPr>
              <w:rPr>
                <w:rFonts w:cs="Calibri"/>
                <w:b/>
                <w:bCs/>
                <w:color w:val="FFFFFF"/>
                <w:sz w:val="20"/>
                <w:szCs w:val="20"/>
              </w:rPr>
            </w:pPr>
          </w:p>
        </w:tc>
        <w:tc>
          <w:tcPr>
            <w:tcW w:w="960" w:type="dxa"/>
            <w:vMerge/>
            <w:tcBorders>
              <w:top w:val="nil"/>
              <w:left w:val="nil"/>
              <w:bottom w:val="nil"/>
              <w:right w:val="nil"/>
            </w:tcBorders>
            <w:vAlign w:val="center"/>
            <w:hideMark/>
          </w:tcPr>
          <w:p w14:paraId="5FA20079" w14:textId="77777777" w:rsidR="00B30FDF" w:rsidRPr="00B30FDF" w:rsidRDefault="00B30FDF" w:rsidP="00B30FDF">
            <w:pPr>
              <w:rPr>
                <w:rFonts w:cs="Calibri"/>
                <w:b/>
                <w:bCs/>
                <w:color w:val="FFFFFF"/>
                <w:sz w:val="20"/>
                <w:szCs w:val="20"/>
              </w:rPr>
            </w:pPr>
          </w:p>
        </w:tc>
        <w:tc>
          <w:tcPr>
            <w:tcW w:w="960" w:type="dxa"/>
            <w:vMerge/>
            <w:tcBorders>
              <w:top w:val="nil"/>
              <w:left w:val="single" w:sz="4" w:space="0" w:color="FFFFFF"/>
              <w:bottom w:val="nil"/>
              <w:right w:val="single" w:sz="4" w:space="0" w:color="FFFFFF"/>
            </w:tcBorders>
            <w:vAlign w:val="center"/>
            <w:hideMark/>
          </w:tcPr>
          <w:p w14:paraId="64F904EF" w14:textId="77777777" w:rsidR="00B30FDF" w:rsidRPr="00B30FDF" w:rsidRDefault="00B30FDF" w:rsidP="00B30FDF">
            <w:pPr>
              <w:rPr>
                <w:rFonts w:cs="Calibri"/>
                <w:b/>
                <w:bCs/>
                <w:color w:val="FFFFFF"/>
                <w:sz w:val="20"/>
                <w:szCs w:val="20"/>
              </w:rPr>
            </w:pPr>
          </w:p>
        </w:tc>
        <w:tc>
          <w:tcPr>
            <w:tcW w:w="960" w:type="dxa"/>
            <w:tcBorders>
              <w:top w:val="nil"/>
              <w:left w:val="nil"/>
              <w:bottom w:val="nil"/>
              <w:right w:val="single" w:sz="4" w:space="0" w:color="FFFFFF"/>
            </w:tcBorders>
            <w:shd w:val="clear" w:color="000000" w:fill="0C2577"/>
            <w:vAlign w:val="center"/>
            <w:hideMark/>
          </w:tcPr>
          <w:p w14:paraId="403F4301" w14:textId="77777777" w:rsidR="00B30FDF" w:rsidRPr="00B30FDF" w:rsidRDefault="00B30FDF" w:rsidP="00B30FDF">
            <w:pPr>
              <w:jc w:val="center"/>
              <w:rPr>
                <w:rFonts w:cs="Calibri"/>
                <w:b/>
                <w:bCs/>
                <w:color w:val="FFFFFF"/>
                <w:sz w:val="20"/>
                <w:szCs w:val="20"/>
              </w:rPr>
            </w:pPr>
            <w:r w:rsidRPr="00B30FDF">
              <w:rPr>
                <w:rFonts w:cs="Calibri"/>
                <w:b/>
                <w:bCs/>
                <w:color w:val="FFFFFF"/>
                <w:sz w:val="20"/>
                <w:szCs w:val="20"/>
              </w:rPr>
              <w:t>Impact (kW/Cust)</w:t>
            </w:r>
          </w:p>
        </w:tc>
        <w:tc>
          <w:tcPr>
            <w:tcW w:w="960" w:type="dxa"/>
            <w:tcBorders>
              <w:top w:val="nil"/>
              <w:left w:val="nil"/>
              <w:bottom w:val="nil"/>
              <w:right w:val="nil"/>
            </w:tcBorders>
            <w:shd w:val="clear" w:color="000000" w:fill="0C2577"/>
            <w:vAlign w:val="center"/>
            <w:hideMark/>
          </w:tcPr>
          <w:p w14:paraId="55FA52B5" w14:textId="77777777" w:rsidR="00B30FDF" w:rsidRPr="00B30FDF" w:rsidRDefault="00B30FDF" w:rsidP="00B30FDF">
            <w:pPr>
              <w:jc w:val="center"/>
              <w:rPr>
                <w:rFonts w:cs="Calibri"/>
                <w:b/>
                <w:bCs/>
                <w:color w:val="FFFFFF"/>
                <w:sz w:val="20"/>
                <w:szCs w:val="20"/>
              </w:rPr>
            </w:pPr>
            <w:r w:rsidRPr="00B30FDF">
              <w:rPr>
                <w:rFonts w:cs="Calibri"/>
                <w:b/>
                <w:bCs/>
                <w:color w:val="FFFFFF"/>
                <w:sz w:val="20"/>
                <w:szCs w:val="20"/>
              </w:rPr>
              <w:t>Avg. Temp (°F)</w:t>
            </w:r>
          </w:p>
        </w:tc>
      </w:tr>
      <w:tr w:rsidR="00B30FDF" w:rsidRPr="00B30FDF" w14:paraId="1AEE9CB3" w14:textId="77777777" w:rsidTr="00B30FDF">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F9743" w14:textId="77777777" w:rsidR="00B30FDF" w:rsidRPr="00B30FDF" w:rsidRDefault="00B30FDF" w:rsidP="00B30FDF">
            <w:pPr>
              <w:jc w:val="right"/>
              <w:rPr>
                <w:rFonts w:cs="Calibri"/>
                <w:sz w:val="22"/>
                <w:szCs w:val="22"/>
              </w:rPr>
            </w:pPr>
            <w:r w:rsidRPr="00B30FDF">
              <w:rPr>
                <w:rFonts w:cs="Calibri"/>
                <w:sz w:val="22"/>
                <w:szCs w:val="22"/>
              </w:rPr>
              <w:t>8/8/2018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C387" w14:textId="77777777" w:rsidR="00B30FDF" w:rsidRPr="00B30FDF" w:rsidRDefault="00B30FDF" w:rsidP="00B30FDF">
            <w:pPr>
              <w:jc w:val="center"/>
              <w:rPr>
                <w:rFonts w:cs="Calibri"/>
                <w:sz w:val="22"/>
                <w:szCs w:val="22"/>
              </w:rPr>
            </w:pPr>
            <w:r w:rsidRPr="00B30FDF">
              <w:rPr>
                <w:rFonts w:cs="Calibri"/>
                <w:sz w:val="22"/>
                <w:szCs w:val="22"/>
              </w:rPr>
              <w:t>PGEB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9BD1E1"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DCF9BA6"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931342" w14:textId="77777777" w:rsidR="00B30FDF" w:rsidRPr="00B30FDF" w:rsidRDefault="00B30FDF" w:rsidP="00B30FDF">
            <w:pPr>
              <w:jc w:val="right"/>
              <w:rPr>
                <w:rFonts w:cs="Calibri"/>
                <w:sz w:val="22"/>
                <w:szCs w:val="22"/>
              </w:rPr>
            </w:pPr>
            <w:r w:rsidRPr="00B30FDF">
              <w:rPr>
                <w:rFonts w:cs="Calibri"/>
                <w:sz w:val="22"/>
                <w:szCs w:val="22"/>
              </w:rPr>
              <w:t>21,077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56B0A8" w14:textId="77777777" w:rsidR="00B30FDF" w:rsidRPr="00B30FDF" w:rsidRDefault="00B30FDF" w:rsidP="00B30FDF">
            <w:pPr>
              <w:jc w:val="right"/>
              <w:rPr>
                <w:rFonts w:cs="Calibri"/>
                <w:sz w:val="22"/>
                <w:szCs w:val="22"/>
              </w:rPr>
            </w:pPr>
            <w:r w:rsidRPr="00B30FDF">
              <w:rPr>
                <w:rFonts w:cs="Calibri"/>
                <w:sz w:val="22"/>
                <w:szCs w:val="22"/>
              </w:rPr>
              <w:t>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C3E329" w14:textId="77777777" w:rsidR="00B30FDF" w:rsidRPr="00B30FDF" w:rsidRDefault="00B30FDF" w:rsidP="00B30FDF">
            <w:pPr>
              <w:jc w:val="right"/>
              <w:rPr>
                <w:rFonts w:cs="Calibri"/>
                <w:sz w:val="22"/>
                <w:szCs w:val="22"/>
              </w:rPr>
            </w:pPr>
            <w:r w:rsidRPr="00B30FDF">
              <w:rPr>
                <w:rFonts w:cs="Calibri"/>
                <w:sz w:val="22"/>
                <w:szCs w:val="22"/>
              </w:rPr>
              <w:t>90.6</w:t>
            </w:r>
          </w:p>
        </w:tc>
      </w:tr>
      <w:tr w:rsidR="00B30FDF" w:rsidRPr="00B30FDF" w14:paraId="40683688"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EFE3BB8" w14:textId="77777777" w:rsidR="00B30FDF" w:rsidRPr="00B30FDF" w:rsidRDefault="00B30FDF" w:rsidP="00B30FDF">
            <w:pPr>
              <w:jc w:val="right"/>
              <w:rPr>
                <w:rFonts w:cs="Calibri"/>
                <w:sz w:val="22"/>
                <w:szCs w:val="22"/>
              </w:rPr>
            </w:pPr>
            <w:r w:rsidRPr="00B30FDF">
              <w:rPr>
                <w:rFonts w:cs="Calibri"/>
                <w:sz w:val="22"/>
                <w:szCs w:val="22"/>
              </w:rPr>
              <w:t>8/9/2018</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A45E0A2"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35C751B6"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3A968910"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3C14EB67" w14:textId="77777777" w:rsidR="00B30FDF" w:rsidRPr="00B30FDF" w:rsidRDefault="00B30FDF" w:rsidP="00B30FDF">
            <w:pPr>
              <w:jc w:val="right"/>
              <w:rPr>
                <w:rFonts w:cs="Calibri"/>
                <w:sz w:val="22"/>
                <w:szCs w:val="22"/>
              </w:rPr>
            </w:pPr>
            <w:r w:rsidRPr="00B30FDF">
              <w:rPr>
                <w:rFonts w:cs="Calibri"/>
                <w:sz w:val="22"/>
                <w:szCs w:val="22"/>
              </w:rPr>
              <w:t>21,061</w:t>
            </w:r>
          </w:p>
        </w:tc>
        <w:tc>
          <w:tcPr>
            <w:tcW w:w="960" w:type="dxa"/>
            <w:tcBorders>
              <w:top w:val="nil"/>
              <w:left w:val="nil"/>
              <w:bottom w:val="single" w:sz="4" w:space="0" w:color="auto"/>
              <w:right w:val="single" w:sz="4" w:space="0" w:color="auto"/>
            </w:tcBorders>
            <w:shd w:val="clear" w:color="auto" w:fill="auto"/>
            <w:noWrap/>
            <w:vAlign w:val="bottom"/>
            <w:hideMark/>
          </w:tcPr>
          <w:p w14:paraId="099797ED" w14:textId="77777777" w:rsidR="00B30FDF" w:rsidRPr="00B30FDF" w:rsidRDefault="00B30FDF" w:rsidP="00B30FDF">
            <w:pPr>
              <w:jc w:val="right"/>
              <w:rPr>
                <w:rFonts w:cs="Calibri"/>
                <w:sz w:val="22"/>
                <w:szCs w:val="22"/>
              </w:rPr>
            </w:pPr>
            <w:r w:rsidRPr="00B30FDF">
              <w:rPr>
                <w:rFonts w:cs="Calibri"/>
                <w:sz w:val="22"/>
                <w:szCs w:val="22"/>
              </w:rPr>
              <w:t>0.37</w:t>
            </w:r>
          </w:p>
        </w:tc>
        <w:tc>
          <w:tcPr>
            <w:tcW w:w="960" w:type="dxa"/>
            <w:tcBorders>
              <w:top w:val="nil"/>
              <w:left w:val="nil"/>
              <w:bottom w:val="single" w:sz="4" w:space="0" w:color="auto"/>
              <w:right w:val="single" w:sz="4" w:space="0" w:color="auto"/>
            </w:tcBorders>
            <w:shd w:val="clear" w:color="auto" w:fill="auto"/>
            <w:noWrap/>
            <w:vAlign w:val="bottom"/>
            <w:hideMark/>
          </w:tcPr>
          <w:p w14:paraId="17AC19D8" w14:textId="77777777" w:rsidR="00B30FDF" w:rsidRPr="00B30FDF" w:rsidRDefault="00B30FDF" w:rsidP="00B30FDF">
            <w:pPr>
              <w:jc w:val="right"/>
              <w:rPr>
                <w:rFonts w:cs="Calibri"/>
                <w:sz w:val="22"/>
                <w:szCs w:val="22"/>
              </w:rPr>
            </w:pPr>
            <w:r w:rsidRPr="00B30FDF">
              <w:rPr>
                <w:rFonts w:cs="Calibri"/>
                <w:sz w:val="22"/>
                <w:szCs w:val="22"/>
              </w:rPr>
              <w:t>96.8</w:t>
            </w:r>
          </w:p>
        </w:tc>
      </w:tr>
      <w:tr w:rsidR="00B30FDF" w:rsidRPr="00B30FDF" w14:paraId="3C6A6B7A"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900C8AF" w14:textId="77777777" w:rsidR="00B30FDF" w:rsidRPr="00B30FDF" w:rsidRDefault="00B30FDF" w:rsidP="00B30FDF">
            <w:pPr>
              <w:jc w:val="right"/>
              <w:rPr>
                <w:rFonts w:cs="Calibri"/>
                <w:sz w:val="22"/>
                <w:szCs w:val="22"/>
              </w:rPr>
            </w:pPr>
            <w:r w:rsidRPr="00B30FDF">
              <w:rPr>
                <w:rFonts w:cs="Calibri"/>
                <w:sz w:val="22"/>
                <w:szCs w:val="22"/>
              </w:rPr>
              <w:t>7/23/2018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1FD424" w14:textId="77777777" w:rsidR="00B30FDF" w:rsidRPr="00B30FDF" w:rsidRDefault="00B30FDF" w:rsidP="00B30FDF">
            <w:pPr>
              <w:jc w:val="center"/>
              <w:rPr>
                <w:rFonts w:cs="Calibri"/>
                <w:sz w:val="22"/>
                <w:szCs w:val="22"/>
              </w:rPr>
            </w:pPr>
            <w:r w:rsidRPr="00B30FDF">
              <w:rPr>
                <w:rFonts w:cs="Calibri"/>
                <w:sz w:val="22"/>
                <w:szCs w:val="22"/>
              </w:rPr>
              <w:t>PGF1</w:t>
            </w:r>
          </w:p>
        </w:tc>
        <w:tc>
          <w:tcPr>
            <w:tcW w:w="960" w:type="dxa"/>
            <w:tcBorders>
              <w:top w:val="nil"/>
              <w:left w:val="nil"/>
              <w:bottom w:val="single" w:sz="4" w:space="0" w:color="auto"/>
              <w:right w:val="single" w:sz="4" w:space="0" w:color="auto"/>
            </w:tcBorders>
            <w:shd w:val="clear" w:color="auto" w:fill="auto"/>
            <w:noWrap/>
            <w:vAlign w:val="center"/>
            <w:hideMark/>
          </w:tcPr>
          <w:p w14:paraId="161A3894" w14:textId="77777777" w:rsidR="00B30FDF" w:rsidRPr="00B30FDF" w:rsidRDefault="00B30FDF" w:rsidP="00B30FDF">
            <w:pPr>
              <w:jc w:val="center"/>
              <w:rPr>
                <w:rFonts w:cs="Calibri"/>
                <w:sz w:val="22"/>
                <w:szCs w:val="22"/>
              </w:rPr>
            </w:pPr>
            <w:r w:rsidRPr="00B30FDF">
              <w:rPr>
                <w:rFonts w:cs="Calibri"/>
                <w:sz w:val="22"/>
                <w:szCs w:val="22"/>
              </w:rPr>
              <w:t>4-8 p.m.</w:t>
            </w:r>
          </w:p>
        </w:tc>
        <w:tc>
          <w:tcPr>
            <w:tcW w:w="960" w:type="dxa"/>
            <w:tcBorders>
              <w:top w:val="nil"/>
              <w:left w:val="nil"/>
              <w:bottom w:val="single" w:sz="4" w:space="0" w:color="auto"/>
              <w:right w:val="single" w:sz="4" w:space="0" w:color="auto"/>
            </w:tcBorders>
            <w:shd w:val="clear" w:color="auto" w:fill="auto"/>
            <w:noWrap/>
            <w:vAlign w:val="center"/>
            <w:hideMark/>
          </w:tcPr>
          <w:p w14:paraId="06F954E5"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263A817A" w14:textId="77777777" w:rsidR="00B30FDF" w:rsidRPr="00B30FDF" w:rsidRDefault="00B30FDF" w:rsidP="00B30FDF">
            <w:pPr>
              <w:jc w:val="right"/>
              <w:rPr>
                <w:rFonts w:cs="Calibri"/>
                <w:sz w:val="22"/>
                <w:szCs w:val="22"/>
              </w:rPr>
            </w:pPr>
            <w:r w:rsidRPr="00B30FDF">
              <w:rPr>
                <w:rFonts w:cs="Calibri"/>
                <w:sz w:val="22"/>
                <w:szCs w:val="22"/>
              </w:rPr>
              <w:t>17,471</w:t>
            </w:r>
          </w:p>
        </w:tc>
        <w:tc>
          <w:tcPr>
            <w:tcW w:w="960" w:type="dxa"/>
            <w:tcBorders>
              <w:top w:val="nil"/>
              <w:left w:val="nil"/>
              <w:bottom w:val="single" w:sz="4" w:space="0" w:color="auto"/>
              <w:right w:val="single" w:sz="4" w:space="0" w:color="auto"/>
            </w:tcBorders>
            <w:shd w:val="clear" w:color="auto" w:fill="auto"/>
            <w:noWrap/>
            <w:vAlign w:val="bottom"/>
            <w:hideMark/>
          </w:tcPr>
          <w:p w14:paraId="2D85E636" w14:textId="77777777" w:rsidR="00B30FDF" w:rsidRPr="00B30FDF" w:rsidRDefault="00B30FDF" w:rsidP="00B30FDF">
            <w:pPr>
              <w:jc w:val="right"/>
              <w:rPr>
                <w:rFonts w:cs="Calibri"/>
                <w:sz w:val="22"/>
                <w:szCs w:val="22"/>
              </w:rPr>
            </w:pPr>
            <w:r w:rsidRPr="00B30FDF">
              <w:rPr>
                <w:rFonts w:cs="Calibri"/>
                <w:sz w:val="22"/>
                <w:szCs w:val="22"/>
              </w:rPr>
              <w:t>0.32</w:t>
            </w:r>
          </w:p>
        </w:tc>
        <w:tc>
          <w:tcPr>
            <w:tcW w:w="960" w:type="dxa"/>
            <w:tcBorders>
              <w:top w:val="nil"/>
              <w:left w:val="nil"/>
              <w:bottom w:val="single" w:sz="4" w:space="0" w:color="auto"/>
              <w:right w:val="single" w:sz="4" w:space="0" w:color="auto"/>
            </w:tcBorders>
            <w:shd w:val="clear" w:color="auto" w:fill="auto"/>
            <w:noWrap/>
            <w:vAlign w:val="bottom"/>
            <w:hideMark/>
          </w:tcPr>
          <w:p w14:paraId="04DD64A3" w14:textId="77777777" w:rsidR="00B30FDF" w:rsidRPr="00B30FDF" w:rsidRDefault="00B30FDF" w:rsidP="00B30FDF">
            <w:pPr>
              <w:jc w:val="right"/>
              <w:rPr>
                <w:rFonts w:cs="Calibri"/>
                <w:sz w:val="22"/>
                <w:szCs w:val="22"/>
              </w:rPr>
            </w:pPr>
            <w:r w:rsidRPr="00B30FDF">
              <w:rPr>
                <w:rFonts w:cs="Calibri"/>
                <w:sz w:val="22"/>
                <w:szCs w:val="22"/>
              </w:rPr>
              <w:t>99.1</w:t>
            </w:r>
          </w:p>
        </w:tc>
      </w:tr>
      <w:tr w:rsidR="00B30FDF" w:rsidRPr="00B30FDF" w14:paraId="0B5FD65A"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9A9EBE1" w14:textId="77777777" w:rsidR="00B30FDF" w:rsidRPr="00B30FDF" w:rsidRDefault="00B30FDF" w:rsidP="00B30FDF">
            <w:pPr>
              <w:jc w:val="right"/>
              <w:rPr>
                <w:rFonts w:cs="Calibri"/>
                <w:sz w:val="22"/>
                <w:szCs w:val="22"/>
              </w:rPr>
            </w:pPr>
            <w:r w:rsidRPr="00B30FDF">
              <w:rPr>
                <w:rFonts w:cs="Calibri"/>
                <w:sz w:val="22"/>
                <w:szCs w:val="22"/>
              </w:rPr>
              <w:t>7/24/2018</w:t>
            </w:r>
          </w:p>
        </w:tc>
        <w:tc>
          <w:tcPr>
            <w:tcW w:w="960" w:type="dxa"/>
            <w:vMerge/>
            <w:tcBorders>
              <w:top w:val="nil"/>
              <w:left w:val="single" w:sz="4" w:space="0" w:color="auto"/>
              <w:bottom w:val="single" w:sz="4" w:space="0" w:color="auto"/>
              <w:right w:val="single" w:sz="4" w:space="0" w:color="auto"/>
            </w:tcBorders>
            <w:vAlign w:val="center"/>
            <w:hideMark/>
          </w:tcPr>
          <w:p w14:paraId="66CAF84B"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13A4421F" w14:textId="77777777" w:rsidR="00B30FDF" w:rsidRPr="00B30FDF" w:rsidRDefault="00B30FDF" w:rsidP="00B30FDF">
            <w:pPr>
              <w:jc w:val="center"/>
              <w:rPr>
                <w:rFonts w:cs="Calibri"/>
                <w:sz w:val="22"/>
                <w:szCs w:val="22"/>
              </w:rPr>
            </w:pPr>
            <w:r w:rsidRPr="00B30FDF">
              <w:rPr>
                <w:rFonts w:cs="Calibri"/>
                <w:sz w:val="22"/>
                <w:szCs w:val="22"/>
              </w:rPr>
              <w:t>4-8 p.m.</w:t>
            </w:r>
          </w:p>
        </w:tc>
        <w:tc>
          <w:tcPr>
            <w:tcW w:w="960" w:type="dxa"/>
            <w:tcBorders>
              <w:top w:val="nil"/>
              <w:left w:val="nil"/>
              <w:bottom w:val="single" w:sz="4" w:space="0" w:color="auto"/>
              <w:right w:val="single" w:sz="4" w:space="0" w:color="auto"/>
            </w:tcBorders>
            <w:shd w:val="clear" w:color="auto" w:fill="auto"/>
            <w:noWrap/>
            <w:vAlign w:val="center"/>
            <w:hideMark/>
          </w:tcPr>
          <w:p w14:paraId="1F894FD1"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71C7D35F" w14:textId="77777777" w:rsidR="00B30FDF" w:rsidRPr="00B30FDF" w:rsidRDefault="00B30FDF" w:rsidP="00B30FDF">
            <w:pPr>
              <w:jc w:val="right"/>
              <w:rPr>
                <w:rFonts w:cs="Calibri"/>
                <w:sz w:val="22"/>
                <w:szCs w:val="22"/>
              </w:rPr>
            </w:pPr>
            <w:r w:rsidRPr="00B30FDF">
              <w:rPr>
                <w:rFonts w:cs="Calibri"/>
                <w:sz w:val="22"/>
                <w:szCs w:val="22"/>
              </w:rPr>
              <w:t>17,442</w:t>
            </w:r>
          </w:p>
        </w:tc>
        <w:tc>
          <w:tcPr>
            <w:tcW w:w="960" w:type="dxa"/>
            <w:tcBorders>
              <w:top w:val="nil"/>
              <w:left w:val="nil"/>
              <w:bottom w:val="single" w:sz="4" w:space="0" w:color="auto"/>
              <w:right w:val="single" w:sz="4" w:space="0" w:color="auto"/>
            </w:tcBorders>
            <w:shd w:val="clear" w:color="auto" w:fill="auto"/>
            <w:noWrap/>
            <w:vAlign w:val="bottom"/>
            <w:hideMark/>
          </w:tcPr>
          <w:p w14:paraId="1A04EA89" w14:textId="77777777" w:rsidR="00B30FDF" w:rsidRPr="00B30FDF" w:rsidRDefault="00B30FDF" w:rsidP="00B30FDF">
            <w:pPr>
              <w:jc w:val="right"/>
              <w:rPr>
                <w:rFonts w:cs="Calibri"/>
                <w:sz w:val="22"/>
                <w:szCs w:val="22"/>
              </w:rPr>
            </w:pPr>
            <w:r w:rsidRPr="00B30FDF">
              <w:rPr>
                <w:rFonts w:cs="Calibri"/>
                <w:sz w:val="22"/>
                <w:szCs w:val="22"/>
              </w:rPr>
              <w:t>0.37</w:t>
            </w:r>
          </w:p>
        </w:tc>
        <w:tc>
          <w:tcPr>
            <w:tcW w:w="960" w:type="dxa"/>
            <w:tcBorders>
              <w:top w:val="nil"/>
              <w:left w:val="nil"/>
              <w:bottom w:val="single" w:sz="4" w:space="0" w:color="auto"/>
              <w:right w:val="single" w:sz="4" w:space="0" w:color="auto"/>
            </w:tcBorders>
            <w:shd w:val="clear" w:color="auto" w:fill="auto"/>
            <w:noWrap/>
            <w:vAlign w:val="bottom"/>
            <w:hideMark/>
          </w:tcPr>
          <w:p w14:paraId="49A64989" w14:textId="77777777" w:rsidR="00B30FDF" w:rsidRPr="00B30FDF" w:rsidRDefault="00B30FDF" w:rsidP="00B30FDF">
            <w:pPr>
              <w:jc w:val="right"/>
              <w:rPr>
                <w:rFonts w:cs="Calibri"/>
                <w:sz w:val="22"/>
                <w:szCs w:val="22"/>
              </w:rPr>
            </w:pPr>
            <w:r w:rsidRPr="00B30FDF">
              <w:rPr>
                <w:rFonts w:cs="Calibri"/>
                <w:sz w:val="22"/>
                <w:szCs w:val="22"/>
              </w:rPr>
              <w:t>103.3</w:t>
            </w:r>
          </w:p>
        </w:tc>
      </w:tr>
      <w:tr w:rsidR="00B30FDF" w:rsidRPr="00B30FDF" w14:paraId="696BA27A"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AEFC68" w14:textId="77777777" w:rsidR="00B30FDF" w:rsidRPr="00B30FDF" w:rsidRDefault="00B30FDF" w:rsidP="00B30FDF">
            <w:pPr>
              <w:jc w:val="right"/>
              <w:rPr>
                <w:rFonts w:cs="Calibri"/>
                <w:sz w:val="22"/>
                <w:szCs w:val="22"/>
              </w:rPr>
            </w:pPr>
            <w:r w:rsidRPr="00B30FDF">
              <w:rPr>
                <w:rFonts w:cs="Calibri"/>
                <w:sz w:val="22"/>
                <w:szCs w:val="22"/>
              </w:rPr>
              <w:t>8/8/2018</w:t>
            </w:r>
          </w:p>
        </w:tc>
        <w:tc>
          <w:tcPr>
            <w:tcW w:w="960" w:type="dxa"/>
            <w:vMerge/>
            <w:tcBorders>
              <w:top w:val="nil"/>
              <w:left w:val="single" w:sz="4" w:space="0" w:color="auto"/>
              <w:bottom w:val="single" w:sz="4" w:space="0" w:color="auto"/>
              <w:right w:val="single" w:sz="4" w:space="0" w:color="auto"/>
            </w:tcBorders>
            <w:vAlign w:val="center"/>
            <w:hideMark/>
          </w:tcPr>
          <w:p w14:paraId="32160716"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121AA0A6"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2291C8FD"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4DD84CBA" w14:textId="77777777" w:rsidR="00B30FDF" w:rsidRPr="00B30FDF" w:rsidRDefault="00B30FDF" w:rsidP="00B30FDF">
            <w:pPr>
              <w:jc w:val="right"/>
              <w:rPr>
                <w:rFonts w:cs="Calibri"/>
                <w:sz w:val="22"/>
                <w:szCs w:val="22"/>
              </w:rPr>
            </w:pPr>
            <w:r w:rsidRPr="00B30FDF">
              <w:rPr>
                <w:rFonts w:cs="Calibri"/>
                <w:sz w:val="22"/>
                <w:szCs w:val="22"/>
              </w:rPr>
              <w:t>17,325</w:t>
            </w:r>
          </w:p>
        </w:tc>
        <w:tc>
          <w:tcPr>
            <w:tcW w:w="960" w:type="dxa"/>
            <w:tcBorders>
              <w:top w:val="nil"/>
              <w:left w:val="nil"/>
              <w:bottom w:val="single" w:sz="4" w:space="0" w:color="auto"/>
              <w:right w:val="single" w:sz="4" w:space="0" w:color="auto"/>
            </w:tcBorders>
            <w:shd w:val="clear" w:color="auto" w:fill="auto"/>
            <w:noWrap/>
            <w:vAlign w:val="bottom"/>
            <w:hideMark/>
          </w:tcPr>
          <w:p w14:paraId="7E046BF6" w14:textId="77777777" w:rsidR="00B30FDF" w:rsidRPr="00B30FDF" w:rsidRDefault="00B30FDF" w:rsidP="00B30FDF">
            <w:pPr>
              <w:jc w:val="right"/>
              <w:rPr>
                <w:rFonts w:cs="Calibri"/>
                <w:sz w:val="22"/>
                <w:szCs w:val="22"/>
              </w:rPr>
            </w:pPr>
            <w:r w:rsidRPr="00B30FDF">
              <w:rPr>
                <w:rFonts w:cs="Calibri"/>
                <w:sz w:val="22"/>
                <w:szCs w:val="22"/>
              </w:rPr>
              <w:t>0.35</w:t>
            </w:r>
          </w:p>
        </w:tc>
        <w:tc>
          <w:tcPr>
            <w:tcW w:w="960" w:type="dxa"/>
            <w:tcBorders>
              <w:top w:val="nil"/>
              <w:left w:val="nil"/>
              <w:bottom w:val="single" w:sz="4" w:space="0" w:color="auto"/>
              <w:right w:val="single" w:sz="4" w:space="0" w:color="auto"/>
            </w:tcBorders>
            <w:shd w:val="clear" w:color="auto" w:fill="auto"/>
            <w:noWrap/>
            <w:vAlign w:val="bottom"/>
            <w:hideMark/>
          </w:tcPr>
          <w:p w14:paraId="0AAEA7E5" w14:textId="77777777" w:rsidR="00B30FDF" w:rsidRPr="00B30FDF" w:rsidRDefault="00B30FDF" w:rsidP="00B30FDF">
            <w:pPr>
              <w:jc w:val="right"/>
              <w:rPr>
                <w:rFonts w:cs="Calibri"/>
                <w:sz w:val="22"/>
                <w:szCs w:val="22"/>
              </w:rPr>
            </w:pPr>
            <w:r w:rsidRPr="00B30FDF">
              <w:rPr>
                <w:rFonts w:cs="Calibri"/>
                <w:sz w:val="22"/>
                <w:szCs w:val="22"/>
              </w:rPr>
              <w:t>101.4</w:t>
            </w:r>
          </w:p>
        </w:tc>
      </w:tr>
      <w:tr w:rsidR="00B30FDF" w:rsidRPr="00B30FDF" w14:paraId="1E918A8D"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1451B8D" w14:textId="77777777" w:rsidR="00B30FDF" w:rsidRPr="00B30FDF" w:rsidRDefault="00B30FDF" w:rsidP="00B30FDF">
            <w:pPr>
              <w:jc w:val="right"/>
              <w:rPr>
                <w:rFonts w:cs="Calibri"/>
                <w:sz w:val="22"/>
                <w:szCs w:val="22"/>
              </w:rPr>
            </w:pPr>
            <w:r w:rsidRPr="00B30FDF">
              <w:rPr>
                <w:rFonts w:cs="Calibri"/>
                <w:sz w:val="22"/>
                <w:szCs w:val="22"/>
              </w:rPr>
              <w:t>8/9/2018</w:t>
            </w:r>
          </w:p>
        </w:tc>
        <w:tc>
          <w:tcPr>
            <w:tcW w:w="960" w:type="dxa"/>
            <w:vMerge/>
            <w:tcBorders>
              <w:top w:val="nil"/>
              <w:left w:val="single" w:sz="4" w:space="0" w:color="auto"/>
              <w:bottom w:val="single" w:sz="4" w:space="0" w:color="auto"/>
              <w:right w:val="single" w:sz="4" w:space="0" w:color="auto"/>
            </w:tcBorders>
            <w:vAlign w:val="center"/>
            <w:hideMark/>
          </w:tcPr>
          <w:p w14:paraId="333EEC61"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0FFF1E42"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4938755C"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15FB2AC8" w14:textId="77777777" w:rsidR="00B30FDF" w:rsidRPr="00B30FDF" w:rsidRDefault="00B30FDF" w:rsidP="00B30FDF">
            <w:pPr>
              <w:jc w:val="right"/>
              <w:rPr>
                <w:rFonts w:cs="Calibri"/>
                <w:sz w:val="22"/>
                <w:szCs w:val="22"/>
              </w:rPr>
            </w:pPr>
            <w:r w:rsidRPr="00B30FDF">
              <w:rPr>
                <w:rFonts w:cs="Calibri"/>
                <w:sz w:val="22"/>
                <w:szCs w:val="22"/>
              </w:rPr>
              <w:t>17,316</w:t>
            </w:r>
          </w:p>
        </w:tc>
        <w:tc>
          <w:tcPr>
            <w:tcW w:w="960" w:type="dxa"/>
            <w:tcBorders>
              <w:top w:val="nil"/>
              <w:left w:val="nil"/>
              <w:bottom w:val="single" w:sz="4" w:space="0" w:color="auto"/>
              <w:right w:val="single" w:sz="4" w:space="0" w:color="auto"/>
            </w:tcBorders>
            <w:shd w:val="clear" w:color="auto" w:fill="auto"/>
            <w:noWrap/>
            <w:vAlign w:val="bottom"/>
            <w:hideMark/>
          </w:tcPr>
          <w:p w14:paraId="5FA504C2" w14:textId="77777777" w:rsidR="00B30FDF" w:rsidRPr="00B30FDF" w:rsidRDefault="00B30FDF" w:rsidP="00B30FDF">
            <w:pPr>
              <w:jc w:val="right"/>
              <w:rPr>
                <w:rFonts w:cs="Calibri"/>
                <w:sz w:val="22"/>
                <w:szCs w:val="22"/>
              </w:rPr>
            </w:pPr>
            <w:r w:rsidRPr="00B30FDF">
              <w:rPr>
                <w:rFonts w:cs="Calibri"/>
                <w:sz w:val="22"/>
                <w:szCs w:val="22"/>
              </w:rPr>
              <w:t>0.39</w:t>
            </w:r>
          </w:p>
        </w:tc>
        <w:tc>
          <w:tcPr>
            <w:tcW w:w="960" w:type="dxa"/>
            <w:tcBorders>
              <w:top w:val="nil"/>
              <w:left w:val="nil"/>
              <w:bottom w:val="single" w:sz="4" w:space="0" w:color="auto"/>
              <w:right w:val="single" w:sz="4" w:space="0" w:color="auto"/>
            </w:tcBorders>
            <w:shd w:val="clear" w:color="auto" w:fill="auto"/>
            <w:noWrap/>
            <w:vAlign w:val="bottom"/>
            <w:hideMark/>
          </w:tcPr>
          <w:p w14:paraId="58B478F7" w14:textId="77777777" w:rsidR="00B30FDF" w:rsidRPr="00B30FDF" w:rsidRDefault="00B30FDF" w:rsidP="00B30FDF">
            <w:pPr>
              <w:jc w:val="right"/>
              <w:rPr>
                <w:rFonts w:cs="Calibri"/>
                <w:sz w:val="22"/>
                <w:szCs w:val="22"/>
              </w:rPr>
            </w:pPr>
            <w:r w:rsidRPr="00B30FDF">
              <w:rPr>
                <w:rFonts w:cs="Calibri"/>
                <w:sz w:val="22"/>
                <w:szCs w:val="22"/>
              </w:rPr>
              <w:t>103.5</w:t>
            </w:r>
          </w:p>
        </w:tc>
      </w:tr>
      <w:tr w:rsidR="00B30FDF" w:rsidRPr="00B30FDF" w14:paraId="19628CD8"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7D0F80" w14:textId="77777777" w:rsidR="00B30FDF" w:rsidRPr="00B30FDF" w:rsidRDefault="00B30FDF" w:rsidP="00B30FDF">
            <w:pPr>
              <w:jc w:val="right"/>
              <w:rPr>
                <w:rFonts w:cs="Calibri"/>
                <w:sz w:val="22"/>
                <w:szCs w:val="22"/>
              </w:rPr>
            </w:pPr>
            <w:r w:rsidRPr="00B30FDF">
              <w:rPr>
                <w:rFonts w:cs="Calibri"/>
                <w:sz w:val="22"/>
                <w:szCs w:val="22"/>
              </w:rPr>
              <w:t>8/10/2018</w:t>
            </w:r>
          </w:p>
        </w:tc>
        <w:tc>
          <w:tcPr>
            <w:tcW w:w="960" w:type="dxa"/>
            <w:vMerge/>
            <w:tcBorders>
              <w:top w:val="nil"/>
              <w:left w:val="single" w:sz="4" w:space="0" w:color="auto"/>
              <w:bottom w:val="single" w:sz="4" w:space="0" w:color="auto"/>
              <w:right w:val="single" w:sz="4" w:space="0" w:color="auto"/>
            </w:tcBorders>
            <w:vAlign w:val="center"/>
            <w:hideMark/>
          </w:tcPr>
          <w:p w14:paraId="68C877E4"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6DAC5039"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068E9837"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2772330D" w14:textId="77777777" w:rsidR="00B30FDF" w:rsidRPr="00B30FDF" w:rsidRDefault="00B30FDF" w:rsidP="00B30FDF">
            <w:pPr>
              <w:jc w:val="right"/>
              <w:rPr>
                <w:rFonts w:cs="Calibri"/>
                <w:sz w:val="22"/>
                <w:szCs w:val="22"/>
              </w:rPr>
            </w:pPr>
            <w:r w:rsidRPr="00B30FDF">
              <w:rPr>
                <w:rFonts w:cs="Calibri"/>
                <w:sz w:val="22"/>
                <w:szCs w:val="22"/>
              </w:rPr>
              <w:t>17,297</w:t>
            </w:r>
          </w:p>
        </w:tc>
        <w:tc>
          <w:tcPr>
            <w:tcW w:w="960" w:type="dxa"/>
            <w:tcBorders>
              <w:top w:val="nil"/>
              <w:left w:val="nil"/>
              <w:bottom w:val="single" w:sz="4" w:space="0" w:color="auto"/>
              <w:right w:val="single" w:sz="4" w:space="0" w:color="auto"/>
            </w:tcBorders>
            <w:shd w:val="clear" w:color="auto" w:fill="auto"/>
            <w:noWrap/>
            <w:vAlign w:val="bottom"/>
            <w:hideMark/>
          </w:tcPr>
          <w:p w14:paraId="631D2E9F" w14:textId="77777777" w:rsidR="00B30FDF" w:rsidRPr="00B30FDF" w:rsidRDefault="00B30FDF" w:rsidP="00B30FDF">
            <w:pPr>
              <w:jc w:val="right"/>
              <w:rPr>
                <w:rFonts w:cs="Calibri"/>
                <w:sz w:val="22"/>
                <w:szCs w:val="22"/>
              </w:rPr>
            </w:pPr>
            <w:r w:rsidRPr="00B30FDF">
              <w:rPr>
                <w:rFonts w:cs="Calibri"/>
                <w:sz w:val="22"/>
                <w:szCs w:val="22"/>
              </w:rPr>
              <w:t>0.28</w:t>
            </w:r>
          </w:p>
        </w:tc>
        <w:tc>
          <w:tcPr>
            <w:tcW w:w="960" w:type="dxa"/>
            <w:tcBorders>
              <w:top w:val="nil"/>
              <w:left w:val="nil"/>
              <w:bottom w:val="single" w:sz="4" w:space="0" w:color="auto"/>
              <w:right w:val="single" w:sz="4" w:space="0" w:color="auto"/>
            </w:tcBorders>
            <w:shd w:val="clear" w:color="auto" w:fill="auto"/>
            <w:noWrap/>
            <w:vAlign w:val="bottom"/>
            <w:hideMark/>
          </w:tcPr>
          <w:p w14:paraId="71926CBD" w14:textId="77777777" w:rsidR="00B30FDF" w:rsidRPr="00B30FDF" w:rsidRDefault="00B30FDF" w:rsidP="00B30FDF">
            <w:pPr>
              <w:jc w:val="right"/>
              <w:rPr>
                <w:rFonts w:cs="Calibri"/>
                <w:sz w:val="22"/>
                <w:szCs w:val="22"/>
              </w:rPr>
            </w:pPr>
            <w:r w:rsidRPr="00B30FDF">
              <w:rPr>
                <w:rFonts w:cs="Calibri"/>
                <w:sz w:val="22"/>
                <w:szCs w:val="22"/>
              </w:rPr>
              <w:t>102.5</w:t>
            </w:r>
          </w:p>
        </w:tc>
      </w:tr>
      <w:tr w:rsidR="00B30FDF" w:rsidRPr="00B30FDF" w14:paraId="7A665EAE"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C1E972" w14:textId="77777777" w:rsidR="00B30FDF" w:rsidRPr="00B30FDF" w:rsidRDefault="00B30FDF" w:rsidP="00B30FDF">
            <w:pPr>
              <w:jc w:val="right"/>
              <w:rPr>
                <w:rFonts w:cs="Calibri"/>
                <w:sz w:val="22"/>
                <w:szCs w:val="22"/>
              </w:rPr>
            </w:pPr>
            <w:r w:rsidRPr="00B30FDF">
              <w:rPr>
                <w:rFonts w:cs="Calibri"/>
                <w:sz w:val="22"/>
                <w:szCs w:val="22"/>
              </w:rPr>
              <w:t>7/23/2018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25B658" w14:textId="77777777" w:rsidR="00B30FDF" w:rsidRPr="00B30FDF" w:rsidRDefault="00B30FDF" w:rsidP="00B30FDF">
            <w:pPr>
              <w:jc w:val="center"/>
              <w:rPr>
                <w:rFonts w:cs="Calibri"/>
                <w:sz w:val="22"/>
                <w:szCs w:val="22"/>
              </w:rPr>
            </w:pPr>
            <w:r w:rsidRPr="00B30FDF">
              <w:rPr>
                <w:rFonts w:cs="Calibri"/>
                <w:sz w:val="22"/>
                <w:szCs w:val="22"/>
              </w:rPr>
              <w:t>PGNP</w:t>
            </w:r>
          </w:p>
        </w:tc>
        <w:tc>
          <w:tcPr>
            <w:tcW w:w="960" w:type="dxa"/>
            <w:tcBorders>
              <w:top w:val="nil"/>
              <w:left w:val="nil"/>
              <w:bottom w:val="single" w:sz="4" w:space="0" w:color="auto"/>
              <w:right w:val="single" w:sz="4" w:space="0" w:color="auto"/>
            </w:tcBorders>
            <w:shd w:val="clear" w:color="auto" w:fill="auto"/>
            <w:noWrap/>
            <w:vAlign w:val="center"/>
            <w:hideMark/>
          </w:tcPr>
          <w:p w14:paraId="17D13898" w14:textId="77777777" w:rsidR="00B30FDF" w:rsidRPr="00B30FDF" w:rsidRDefault="00B30FDF" w:rsidP="00B30FDF">
            <w:pPr>
              <w:jc w:val="center"/>
              <w:rPr>
                <w:rFonts w:cs="Calibri"/>
                <w:sz w:val="22"/>
                <w:szCs w:val="22"/>
              </w:rPr>
            </w:pPr>
            <w:r w:rsidRPr="00B30FDF">
              <w:rPr>
                <w:rFonts w:cs="Calibri"/>
                <w:sz w:val="22"/>
                <w:szCs w:val="22"/>
              </w:rPr>
              <w:t>4-8 p.m.</w:t>
            </w:r>
          </w:p>
        </w:tc>
        <w:tc>
          <w:tcPr>
            <w:tcW w:w="960" w:type="dxa"/>
            <w:tcBorders>
              <w:top w:val="nil"/>
              <w:left w:val="nil"/>
              <w:bottom w:val="single" w:sz="4" w:space="0" w:color="auto"/>
              <w:right w:val="single" w:sz="4" w:space="0" w:color="auto"/>
            </w:tcBorders>
            <w:shd w:val="clear" w:color="auto" w:fill="auto"/>
            <w:noWrap/>
            <w:vAlign w:val="center"/>
            <w:hideMark/>
          </w:tcPr>
          <w:p w14:paraId="5074E4E7"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2F7E48E9" w14:textId="77777777" w:rsidR="00B30FDF" w:rsidRPr="00B30FDF" w:rsidRDefault="00B30FDF" w:rsidP="00B30FDF">
            <w:pPr>
              <w:jc w:val="right"/>
              <w:rPr>
                <w:rFonts w:cs="Calibri"/>
                <w:sz w:val="22"/>
                <w:szCs w:val="22"/>
              </w:rPr>
            </w:pPr>
            <w:r w:rsidRPr="00B30FDF">
              <w:rPr>
                <w:rFonts w:cs="Calibri"/>
                <w:sz w:val="22"/>
                <w:szCs w:val="22"/>
              </w:rPr>
              <w:t>15,195</w:t>
            </w:r>
          </w:p>
        </w:tc>
        <w:tc>
          <w:tcPr>
            <w:tcW w:w="960" w:type="dxa"/>
            <w:tcBorders>
              <w:top w:val="nil"/>
              <w:left w:val="nil"/>
              <w:bottom w:val="single" w:sz="4" w:space="0" w:color="auto"/>
              <w:right w:val="single" w:sz="4" w:space="0" w:color="auto"/>
            </w:tcBorders>
            <w:shd w:val="clear" w:color="auto" w:fill="auto"/>
            <w:noWrap/>
            <w:vAlign w:val="bottom"/>
            <w:hideMark/>
          </w:tcPr>
          <w:p w14:paraId="1ABFE811" w14:textId="77777777" w:rsidR="00B30FDF" w:rsidRPr="00B30FDF" w:rsidRDefault="00B30FDF" w:rsidP="00B30FDF">
            <w:pPr>
              <w:jc w:val="right"/>
              <w:rPr>
                <w:rFonts w:cs="Calibri"/>
                <w:sz w:val="22"/>
                <w:szCs w:val="22"/>
              </w:rPr>
            </w:pPr>
            <w:r w:rsidRPr="00B30FDF">
              <w:rPr>
                <w:rFonts w:cs="Calibri"/>
                <w:sz w:val="22"/>
                <w:szCs w:val="22"/>
              </w:rPr>
              <w:t>0.20</w:t>
            </w:r>
          </w:p>
        </w:tc>
        <w:tc>
          <w:tcPr>
            <w:tcW w:w="960" w:type="dxa"/>
            <w:tcBorders>
              <w:top w:val="nil"/>
              <w:left w:val="nil"/>
              <w:bottom w:val="single" w:sz="4" w:space="0" w:color="auto"/>
              <w:right w:val="single" w:sz="4" w:space="0" w:color="auto"/>
            </w:tcBorders>
            <w:shd w:val="clear" w:color="auto" w:fill="auto"/>
            <w:noWrap/>
            <w:vAlign w:val="bottom"/>
            <w:hideMark/>
          </w:tcPr>
          <w:p w14:paraId="4F368A59" w14:textId="77777777" w:rsidR="00B30FDF" w:rsidRPr="00B30FDF" w:rsidRDefault="00B30FDF" w:rsidP="00B30FDF">
            <w:pPr>
              <w:jc w:val="right"/>
              <w:rPr>
                <w:rFonts w:cs="Calibri"/>
                <w:sz w:val="22"/>
                <w:szCs w:val="22"/>
              </w:rPr>
            </w:pPr>
            <w:r w:rsidRPr="00B30FDF">
              <w:rPr>
                <w:rFonts w:cs="Calibri"/>
                <w:sz w:val="22"/>
                <w:szCs w:val="22"/>
              </w:rPr>
              <w:t>97.0</w:t>
            </w:r>
          </w:p>
        </w:tc>
      </w:tr>
      <w:tr w:rsidR="00B30FDF" w:rsidRPr="00B30FDF" w14:paraId="5F410E45"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4B3E0F" w14:textId="77777777" w:rsidR="00B30FDF" w:rsidRPr="00B30FDF" w:rsidRDefault="00B30FDF" w:rsidP="00B30FDF">
            <w:pPr>
              <w:jc w:val="right"/>
              <w:rPr>
                <w:rFonts w:cs="Calibri"/>
                <w:sz w:val="22"/>
                <w:szCs w:val="22"/>
              </w:rPr>
            </w:pPr>
            <w:r w:rsidRPr="00B30FDF">
              <w:rPr>
                <w:rFonts w:cs="Calibri"/>
                <w:sz w:val="22"/>
                <w:szCs w:val="22"/>
              </w:rPr>
              <w:t>7/24/2018</w:t>
            </w:r>
          </w:p>
        </w:tc>
        <w:tc>
          <w:tcPr>
            <w:tcW w:w="960" w:type="dxa"/>
            <w:vMerge/>
            <w:tcBorders>
              <w:top w:val="nil"/>
              <w:left w:val="single" w:sz="4" w:space="0" w:color="auto"/>
              <w:bottom w:val="single" w:sz="4" w:space="0" w:color="auto"/>
              <w:right w:val="single" w:sz="4" w:space="0" w:color="auto"/>
            </w:tcBorders>
            <w:vAlign w:val="center"/>
            <w:hideMark/>
          </w:tcPr>
          <w:p w14:paraId="1598A13D"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1B6E6832" w14:textId="77777777" w:rsidR="00B30FDF" w:rsidRPr="00B30FDF" w:rsidRDefault="00B30FDF" w:rsidP="00B30FDF">
            <w:pPr>
              <w:jc w:val="center"/>
              <w:rPr>
                <w:rFonts w:cs="Calibri"/>
                <w:sz w:val="22"/>
                <w:szCs w:val="22"/>
              </w:rPr>
            </w:pPr>
            <w:r w:rsidRPr="00B30FDF">
              <w:rPr>
                <w:rFonts w:cs="Calibri"/>
                <w:sz w:val="22"/>
                <w:szCs w:val="22"/>
              </w:rPr>
              <w:t>4-8 p.m.</w:t>
            </w:r>
          </w:p>
        </w:tc>
        <w:tc>
          <w:tcPr>
            <w:tcW w:w="960" w:type="dxa"/>
            <w:tcBorders>
              <w:top w:val="nil"/>
              <w:left w:val="nil"/>
              <w:bottom w:val="single" w:sz="4" w:space="0" w:color="auto"/>
              <w:right w:val="single" w:sz="4" w:space="0" w:color="auto"/>
            </w:tcBorders>
            <w:shd w:val="clear" w:color="auto" w:fill="auto"/>
            <w:noWrap/>
            <w:vAlign w:val="center"/>
            <w:hideMark/>
          </w:tcPr>
          <w:p w14:paraId="75A00121"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16584D52" w14:textId="77777777" w:rsidR="00B30FDF" w:rsidRPr="00B30FDF" w:rsidRDefault="00B30FDF" w:rsidP="00B30FDF">
            <w:pPr>
              <w:jc w:val="right"/>
              <w:rPr>
                <w:rFonts w:cs="Calibri"/>
                <w:sz w:val="22"/>
                <w:szCs w:val="22"/>
              </w:rPr>
            </w:pPr>
            <w:r w:rsidRPr="00B30FDF">
              <w:rPr>
                <w:rFonts w:cs="Calibri"/>
                <w:sz w:val="22"/>
                <w:szCs w:val="22"/>
              </w:rPr>
              <w:t>15,170</w:t>
            </w:r>
          </w:p>
        </w:tc>
        <w:tc>
          <w:tcPr>
            <w:tcW w:w="960" w:type="dxa"/>
            <w:tcBorders>
              <w:top w:val="nil"/>
              <w:left w:val="nil"/>
              <w:bottom w:val="single" w:sz="4" w:space="0" w:color="auto"/>
              <w:right w:val="single" w:sz="4" w:space="0" w:color="auto"/>
            </w:tcBorders>
            <w:shd w:val="clear" w:color="auto" w:fill="auto"/>
            <w:noWrap/>
            <w:vAlign w:val="bottom"/>
            <w:hideMark/>
          </w:tcPr>
          <w:p w14:paraId="549AFFDB" w14:textId="77777777" w:rsidR="00B30FDF" w:rsidRPr="00B30FDF" w:rsidRDefault="00B30FDF" w:rsidP="00B30FDF">
            <w:pPr>
              <w:jc w:val="right"/>
              <w:rPr>
                <w:rFonts w:cs="Calibri"/>
                <w:sz w:val="22"/>
                <w:szCs w:val="22"/>
              </w:rPr>
            </w:pPr>
            <w:r w:rsidRPr="00B30FDF">
              <w:rPr>
                <w:rFonts w:cs="Calibri"/>
                <w:sz w:val="22"/>
                <w:szCs w:val="22"/>
              </w:rPr>
              <w:t>0.21</w:t>
            </w:r>
          </w:p>
        </w:tc>
        <w:tc>
          <w:tcPr>
            <w:tcW w:w="960" w:type="dxa"/>
            <w:tcBorders>
              <w:top w:val="nil"/>
              <w:left w:val="nil"/>
              <w:bottom w:val="single" w:sz="4" w:space="0" w:color="auto"/>
              <w:right w:val="single" w:sz="4" w:space="0" w:color="auto"/>
            </w:tcBorders>
            <w:shd w:val="clear" w:color="auto" w:fill="auto"/>
            <w:noWrap/>
            <w:vAlign w:val="bottom"/>
            <w:hideMark/>
          </w:tcPr>
          <w:p w14:paraId="59564FD2" w14:textId="77777777" w:rsidR="00B30FDF" w:rsidRPr="00B30FDF" w:rsidRDefault="00B30FDF" w:rsidP="00B30FDF">
            <w:pPr>
              <w:jc w:val="right"/>
              <w:rPr>
                <w:rFonts w:cs="Calibri"/>
                <w:sz w:val="22"/>
                <w:szCs w:val="22"/>
              </w:rPr>
            </w:pPr>
            <w:r w:rsidRPr="00B30FDF">
              <w:rPr>
                <w:rFonts w:cs="Calibri"/>
                <w:sz w:val="22"/>
                <w:szCs w:val="22"/>
              </w:rPr>
              <w:t>98.5</w:t>
            </w:r>
          </w:p>
        </w:tc>
      </w:tr>
      <w:tr w:rsidR="00B30FDF" w:rsidRPr="00B30FDF" w14:paraId="1973D1E3"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DCD44E2" w14:textId="77777777" w:rsidR="00B30FDF" w:rsidRPr="00B30FDF" w:rsidRDefault="00B30FDF" w:rsidP="00B30FDF">
            <w:pPr>
              <w:jc w:val="right"/>
              <w:rPr>
                <w:rFonts w:cs="Calibri"/>
                <w:sz w:val="22"/>
                <w:szCs w:val="22"/>
              </w:rPr>
            </w:pPr>
            <w:r w:rsidRPr="00B30FDF">
              <w:rPr>
                <w:rFonts w:cs="Calibri"/>
                <w:sz w:val="22"/>
                <w:szCs w:val="22"/>
              </w:rPr>
              <w:t>7/23/2018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D86772" w14:textId="77777777" w:rsidR="00B30FDF" w:rsidRPr="00B30FDF" w:rsidRDefault="00B30FDF" w:rsidP="00B30FDF">
            <w:pPr>
              <w:jc w:val="center"/>
              <w:rPr>
                <w:rFonts w:cs="Calibri"/>
                <w:sz w:val="22"/>
                <w:szCs w:val="22"/>
              </w:rPr>
            </w:pPr>
            <w:r w:rsidRPr="00B30FDF">
              <w:rPr>
                <w:rFonts w:cs="Calibri"/>
                <w:sz w:val="22"/>
                <w:szCs w:val="22"/>
              </w:rPr>
              <w:t>PGSI</w:t>
            </w:r>
          </w:p>
        </w:tc>
        <w:tc>
          <w:tcPr>
            <w:tcW w:w="960" w:type="dxa"/>
            <w:tcBorders>
              <w:top w:val="nil"/>
              <w:left w:val="nil"/>
              <w:bottom w:val="single" w:sz="4" w:space="0" w:color="auto"/>
              <w:right w:val="single" w:sz="4" w:space="0" w:color="auto"/>
            </w:tcBorders>
            <w:shd w:val="clear" w:color="auto" w:fill="auto"/>
            <w:noWrap/>
            <w:vAlign w:val="center"/>
            <w:hideMark/>
          </w:tcPr>
          <w:p w14:paraId="570555FB" w14:textId="77777777" w:rsidR="00B30FDF" w:rsidRPr="00B30FDF" w:rsidRDefault="00B30FDF" w:rsidP="00B30FDF">
            <w:pPr>
              <w:jc w:val="center"/>
              <w:rPr>
                <w:rFonts w:cs="Calibri"/>
                <w:sz w:val="22"/>
                <w:szCs w:val="22"/>
              </w:rPr>
            </w:pPr>
            <w:r w:rsidRPr="00B30FDF">
              <w:rPr>
                <w:rFonts w:cs="Calibri"/>
                <w:sz w:val="22"/>
                <w:szCs w:val="22"/>
              </w:rPr>
              <w:t>4-8 p.m.</w:t>
            </w:r>
          </w:p>
        </w:tc>
        <w:tc>
          <w:tcPr>
            <w:tcW w:w="960" w:type="dxa"/>
            <w:tcBorders>
              <w:top w:val="nil"/>
              <w:left w:val="nil"/>
              <w:bottom w:val="single" w:sz="4" w:space="0" w:color="auto"/>
              <w:right w:val="single" w:sz="4" w:space="0" w:color="auto"/>
            </w:tcBorders>
            <w:shd w:val="clear" w:color="auto" w:fill="auto"/>
            <w:noWrap/>
            <w:vAlign w:val="center"/>
            <w:hideMark/>
          </w:tcPr>
          <w:p w14:paraId="02C068A9"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2A7BD325" w14:textId="77777777" w:rsidR="00B30FDF" w:rsidRPr="00B30FDF" w:rsidRDefault="00B30FDF" w:rsidP="00B30FDF">
            <w:pPr>
              <w:jc w:val="right"/>
              <w:rPr>
                <w:rFonts w:cs="Calibri"/>
                <w:sz w:val="22"/>
                <w:szCs w:val="22"/>
              </w:rPr>
            </w:pPr>
            <w:r w:rsidRPr="00B30FDF">
              <w:rPr>
                <w:rFonts w:cs="Calibri"/>
                <w:sz w:val="22"/>
                <w:szCs w:val="22"/>
              </w:rPr>
              <w:t>16,716</w:t>
            </w:r>
          </w:p>
        </w:tc>
        <w:tc>
          <w:tcPr>
            <w:tcW w:w="960" w:type="dxa"/>
            <w:tcBorders>
              <w:top w:val="nil"/>
              <w:left w:val="nil"/>
              <w:bottom w:val="single" w:sz="4" w:space="0" w:color="auto"/>
              <w:right w:val="single" w:sz="4" w:space="0" w:color="auto"/>
            </w:tcBorders>
            <w:shd w:val="clear" w:color="auto" w:fill="auto"/>
            <w:noWrap/>
            <w:vAlign w:val="bottom"/>
            <w:hideMark/>
          </w:tcPr>
          <w:p w14:paraId="6B5FEB50" w14:textId="77777777" w:rsidR="00B30FDF" w:rsidRPr="00B30FDF" w:rsidRDefault="00B30FDF" w:rsidP="00B30FDF">
            <w:pPr>
              <w:jc w:val="right"/>
              <w:rPr>
                <w:rFonts w:cs="Calibri"/>
                <w:sz w:val="22"/>
                <w:szCs w:val="22"/>
              </w:rPr>
            </w:pPr>
            <w:r w:rsidRPr="00B30FDF">
              <w:rPr>
                <w:rFonts w:cs="Calibri"/>
                <w:sz w:val="22"/>
                <w:szCs w:val="22"/>
              </w:rPr>
              <w:t>0.34</w:t>
            </w:r>
          </w:p>
        </w:tc>
        <w:tc>
          <w:tcPr>
            <w:tcW w:w="960" w:type="dxa"/>
            <w:tcBorders>
              <w:top w:val="nil"/>
              <w:left w:val="nil"/>
              <w:bottom w:val="single" w:sz="4" w:space="0" w:color="auto"/>
              <w:right w:val="single" w:sz="4" w:space="0" w:color="auto"/>
            </w:tcBorders>
            <w:shd w:val="clear" w:color="auto" w:fill="auto"/>
            <w:noWrap/>
            <w:vAlign w:val="bottom"/>
            <w:hideMark/>
          </w:tcPr>
          <w:p w14:paraId="59D347BC" w14:textId="77777777" w:rsidR="00B30FDF" w:rsidRPr="00B30FDF" w:rsidRDefault="00B30FDF" w:rsidP="00B30FDF">
            <w:pPr>
              <w:jc w:val="right"/>
              <w:rPr>
                <w:rFonts w:cs="Calibri"/>
                <w:sz w:val="22"/>
                <w:szCs w:val="22"/>
              </w:rPr>
            </w:pPr>
            <w:r w:rsidRPr="00B30FDF">
              <w:rPr>
                <w:rFonts w:cs="Calibri"/>
                <w:sz w:val="22"/>
                <w:szCs w:val="22"/>
              </w:rPr>
              <w:t>97.7</w:t>
            </w:r>
          </w:p>
        </w:tc>
      </w:tr>
      <w:tr w:rsidR="00B30FDF" w:rsidRPr="00B30FDF" w14:paraId="116F1D9F"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B47BC19" w14:textId="77777777" w:rsidR="00B30FDF" w:rsidRPr="00B30FDF" w:rsidRDefault="00B30FDF" w:rsidP="00B30FDF">
            <w:pPr>
              <w:jc w:val="right"/>
              <w:rPr>
                <w:rFonts w:cs="Calibri"/>
                <w:sz w:val="22"/>
                <w:szCs w:val="22"/>
              </w:rPr>
            </w:pPr>
            <w:r w:rsidRPr="00B30FDF">
              <w:rPr>
                <w:rFonts w:cs="Calibri"/>
                <w:sz w:val="22"/>
                <w:szCs w:val="22"/>
              </w:rPr>
              <w:t>7/24/2018</w:t>
            </w:r>
          </w:p>
        </w:tc>
        <w:tc>
          <w:tcPr>
            <w:tcW w:w="960" w:type="dxa"/>
            <w:vMerge/>
            <w:tcBorders>
              <w:top w:val="nil"/>
              <w:left w:val="single" w:sz="4" w:space="0" w:color="auto"/>
              <w:bottom w:val="single" w:sz="4" w:space="0" w:color="auto"/>
              <w:right w:val="single" w:sz="4" w:space="0" w:color="auto"/>
            </w:tcBorders>
            <w:vAlign w:val="center"/>
            <w:hideMark/>
          </w:tcPr>
          <w:p w14:paraId="5A07BB42"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75A7CB4F" w14:textId="77777777" w:rsidR="00B30FDF" w:rsidRPr="00B30FDF" w:rsidRDefault="00B30FDF" w:rsidP="00B30FDF">
            <w:pPr>
              <w:jc w:val="center"/>
              <w:rPr>
                <w:rFonts w:cs="Calibri"/>
                <w:sz w:val="22"/>
                <w:szCs w:val="22"/>
              </w:rPr>
            </w:pPr>
            <w:r w:rsidRPr="00B30FDF">
              <w:rPr>
                <w:rFonts w:cs="Calibri"/>
                <w:sz w:val="22"/>
                <w:szCs w:val="22"/>
              </w:rPr>
              <w:t>4-8 p.m.</w:t>
            </w:r>
          </w:p>
        </w:tc>
        <w:tc>
          <w:tcPr>
            <w:tcW w:w="960" w:type="dxa"/>
            <w:tcBorders>
              <w:top w:val="nil"/>
              <w:left w:val="nil"/>
              <w:bottom w:val="single" w:sz="4" w:space="0" w:color="auto"/>
              <w:right w:val="single" w:sz="4" w:space="0" w:color="auto"/>
            </w:tcBorders>
            <w:shd w:val="clear" w:color="auto" w:fill="auto"/>
            <w:noWrap/>
            <w:vAlign w:val="center"/>
            <w:hideMark/>
          </w:tcPr>
          <w:p w14:paraId="412F8AF6"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57F2E38C" w14:textId="77777777" w:rsidR="00B30FDF" w:rsidRPr="00B30FDF" w:rsidRDefault="00B30FDF" w:rsidP="00B30FDF">
            <w:pPr>
              <w:jc w:val="right"/>
              <w:rPr>
                <w:rFonts w:cs="Calibri"/>
                <w:sz w:val="22"/>
                <w:szCs w:val="22"/>
              </w:rPr>
            </w:pPr>
            <w:r w:rsidRPr="00B30FDF">
              <w:rPr>
                <w:rFonts w:cs="Calibri"/>
                <w:sz w:val="22"/>
                <w:szCs w:val="22"/>
              </w:rPr>
              <w:t>16,652</w:t>
            </w:r>
          </w:p>
        </w:tc>
        <w:tc>
          <w:tcPr>
            <w:tcW w:w="960" w:type="dxa"/>
            <w:tcBorders>
              <w:top w:val="nil"/>
              <w:left w:val="nil"/>
              <w:bottom w:val="single" w:sz="4" w:space="0" w:color="auto"/>
              <w:right w:val="single" w:sz="4" w:space="0" w:color="auto"/>
            </w:tcBorders>
            <w:shd w:val="clear" w:color="auto" w:fill="auto"/>
            <w:noWrap/>
            <w:vAlign w:val="bottom"/>
            <w:hideMark/>
          </w:tcPr>
          <w:p w14:paraId="1C104615" w14:textId="77777777" w:rsidR="00B30FDF" w:rsidRPr="00B30FDF" w:rsidRDefault="00B30FDF" w:rsidP="00B30FDF">
            <w:pPr>
              <w:jc w:val="right"/>
              <w:rPr>
                <w:rFonts w:cs="Calibri"/>
                <w:sz w:val="22"/>
                <w:szCs w:val="22"/>
              </w:rPr>
            </w:pPr>
            <w:r w:rsidRPr="00B30FDF">
              <w:rPr>
                <w:rFonts w:cs="Calibri"/>
                <w:sz w:val="22"/>
                <w:szCs w:val="22"/>
              </w:rPr>
              <w:t>0.37</w:t>
            </w:r>
          </w:p>
        </w:tc>
        <w:tc>
          <w:tcPr>
            <w:tcW w:w="960" w:type="dxa"/>
            <w:tcBorders>
              <w:top w:val="nil"/>
              <w:left w:val="nil"/>
              <w:bottom w:val="single" w:sz="4" w:space="0" w:color="auto"/>
              <w:right w:val="single" w:sz="4" w:space="0" w:color="auto"/>
            </w:tcBorders>
            <w:shd w:val="clear" w:color="auto" w:fill="auto"/>
            <w:noWrap/>
            <w:vAlign w:val="bottom"/>
            <w:hideMark/>
          </w:tcPr>
          <w:p w14:paraId="375D4D66" w14:textId="77777777" w:rsidR="00B30FDF" w:rsidRPr="00B30FDF" w:rsidRDefault="00B30FDF" w:rsidP="00B30FDF">
            <w:pPr>
              <w:jc w:val="right"/>
              <w:rPr>
                <w:rFonts w:cs="Calibri"/>
                <w:sz w:val="22"/>
                <w:szCs w:val="22"/>
              </w:rPr>
            </w:pPr>
            <w:r w:rsidRPr="00B30FDF">
              <w:rPr>
                <w:rFonts w:cs="Calibri"/>
                <w:sz w:val="22"/>
                <w:szCs w:val="22"/>
              </w:rPr>
              <w:t>99.8</w:t>
            </w:r>
          </w:p>
        </w:tc>
      </w:tr>
      <w:tr w:rsidR="00B30FDF" w:rsidRPr="00B30FDF" w14:paraId="61A13B13"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D00EE3" w14:textId="77777777" w:rsidR="00B30FDF" w:rsidRPr="00B30FDF" w:rsidRDefault="00B30FDF" w:rsidP="00B30FDF">
            <w:pPr>
              <w:jc w:val="right"/>
              <w:rPr>
                <w:rFonts w:cs="Calibri"/>
                <w:sz w:val="22"/>
                <w:szCs w:val="22"/>
              </w:rPr>
            </w:pPr>
            <w:r w:rsidRPr="00B30FDF">
              <w:rPr>
                <w:rFonts w:cs="Calibri"/>
                <w:sz w:val="22"/>
                <w:szCs w:val="22"/>
              </w:rPr>
              <w:t>7/25/2018</w:t>
            </w:r>
          </w:p>
        </w:tc>
        <w:tc>
          <w:tcPr>
            <w:tcW w:w="960" w:type="dxa"/>
            <w:vMerge/>
            <w:tcBorders>
              <w:top w:val="nil"/>
              <w:left w:val="single" w:sz="4" w:space="0" w:color="auto"/>
              <w:bottom w:val="single" w:sz="4" w:space="0" w:color="auto"/>
              <w:right w:val="single" w:sz="4" w:space="0" w:color="auto"/>
            </w:tcBorders>
            <w:vAlign w:val="center"/>
            <w:hideMark/>
          </w:tcPr>
          <w:p w14:paraId="3ED80829"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00BDE3BE" w14:textId="77777777" w:rsidR="00B30FDF" w:rsidRPr="00B30FDF" w:rsidRDefault="00B30FDF" w:rsidP="00B30FDF">
            <w:pPr>
              <w:jc w:val="center"/>
              <w:rPr>
                <w:rFonts w:cs="Calibri"/>
                <w:sz w:val="22"/>
                <w:szCs w:val="22"/>
              </w:rPr>
            </w:pPr>
            <w:r w:rsidRPr="00B30FDF">
              <w:rPr>
                <w:rFonts w:cs="Calibri"/>
                <w:sz w:val="22"/>
                <w:szCs w:val="22"/>
              </w:rPr>
              <w:t>6-7 p.m.</w:t>
            </w:r>
          </w:p>
        </w:tc>
        <w:tc>
          <w:tcPr>
            <w:tcW w:w="960" w:type="dxa"/>
            <w:tcBorders>
              <w:top w:val="nil"/>
              <w:left w:val="nil"/>
              <w:bottom w:val="single" w:sz="4" w:space="0" w:color="auto"/>
              <w:right w:val="single" w:sz="4" w:space="0" w:color="auto"/>
            </w:tcBorders>
            <w:shd w:val="clear" w:color="auto" w:fill="auto"/>
            <w:noWrap/>
            <w:vAlign w:val="center"/>
            <w:hideMark/>
          </w:tcPr>
          <w:p w14:paraId="0FD69125" w14:textId="77777777" w:rsidR="00B30FDF" w:rsidRPr="00B30FDF" w:rsidRDefault="00B30FDF" w:rsidP="00B30FDF">
            <w:pPr>
              <w:jc w:val="center"/>
              <w:rPr>
                <w:rFonts w:cs="Calibri"/>
                <w:sz w:val="22"/>
                <w:szCs w:val="22"/>
              </w:rPr>
            </w:pPr>
            <w:r w:rsidRPr="00B30FDF">
              <w:rPr>
                <w:rFonts w:cs="Calibri"/>
                <w:sz w:val="22"/>
                <w:szCs w:val="22"/>
              </w:rPr>
              <w:t>Yes</w:t>
            </w:r>
          </w:p>
        </w:tc>
        <w:tc>
          <w:tcPr>
            <w:tcW w:w="960" w:type="dxa"/>
            <w:tcBorders>
              <w:top w:val="nil"/>
              <w:left w:val="nil"/>
              <w:bottom w:val="single" w:sz="4" w:space="0" w:color="auto"/>
              <w:right w:val="single" w:sz="4" w:space="0" w:color="auto"/>
            </w:tcBorders>
            <w:shd w:val="clear" w:color="auto" w:fill="auto"/>
            <w:noWrap/>
            <w:vAlign w:val="bottom"/>
            <w:hideMark/>
          </w:tcPr>
          <w:p w14:paraId="358AF6DC" w14:textId="77777777" w:rsidR="00B30FDF" w:rsidRPr="00B30FDF" w:rsidRDefault="00B30FDF" w:rsidP="00B30FDF">
            <w:pPr>
              <w:jc w:val="right"/>
              <w:rPr>
                <w:rFonts w:cs="Calibri"/>
                <w:sz w:val="22"/>
                <w:szCs w:val="22"/>
              </w:rPr>
            </w:pPr>
            <w:r w:rsidRPr="00B30FDF">
              <w:rPr>
                <w:rFonts w:cs="Calibri"/>
                <w:sz w:val="22"/>
                <w:szCs w:val="22"/>
              </w:rPr>
              <w:t>14,478</w:t>
            </w:r>
          </w:p>
        </w:tc>
        <w:tc>
          <w:tcPr>
            <w:tcW w:w="960" w:type="dxa"/>
            <w:tcBorders>
              <w:top w:val="nil"/>
              <w:left w:val="nil"/>
              <w:bottom w:val="single" w:sz="4" w:space="0" w:color="auto"/>
              <w:right w:val="single" w:sz="4" w:space="0" w:color="auto"/>
            </w:tcBorders>
            <w:shd w:val="clear" w:color="auto" w:fill="auto"/>
            <w:noWrap/>
            <w:vAlign w:val="bottom"/>
            <w:hideMark/>
          </w:tcPr>
          <w:p w14:paraId="2F2D20AA" w14:textId="77777777" w:rsidR="00B30FDF" w:rsidRPr="00B30FDF" w:rsidRDefault="00B30FDF" w:rsidP="00B30FDF">
            <w:pPr>
              <w:jc w:val="right"/>
              <w:rPr>
                <w:rFonts w:cs="Calibri"/>
                <w:sz w:val="22"/>
                <w:szCs w:val="22"/>
              </w:rPr>
            </w:pPr>
            <w:r w:rsidRPr="00B30FDF">
              <w:rPr>
                <w:rFonts w:cs="Calibri"/>
                <w:sz w:val="22"/>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14:paraId="714AE788" w14:textId="77777777" w:rsidR="00B30FDF" w:rsidRPr="00B30FDF" w:rsidRDefault="00B30FDF" w:rsidP="00B30FDF">
            <w:pPr>
              <w:jc w:val="right"/>
              <w:rPr>
                <w:rFonts w:cs="Calibri"/>
                <w:sz w:val="22"/>
                <w:szCs w:val="22"/>
              </w:rPr>
            </w:pPr>
            <w:r w:rsidRPr="00B30FDF">
              <w:rPr>
                <w:rFonts w:cs="Calibri"/>
                <w:sz w:val="22"/>
                <w:szCs w:val="22"/>
              </w:rPr>
              <w:t>102.7</w:t>
            </w:r>
          </w:p>
        </w:tc>
      </w:tr>
      <w:tr w:rsidR="00B30FDF" w:rsidRPr="00B30FDF" w14:paraId="7CE3991B"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1642CAF" w14:textId="77777777" w:rsidR="00B30FDF" w:rsidRPr="00B30FDF" w:rsidRDefault="00B30FDF" w:rsidP="00B30FDF">
            <w:pPr>
              <w:jc w:val="right"/>
              <w:rPr>
                <w:rFonts w:cs="Calibri"/>
                <w:sz w:val="22"/>
                <w:szCs w:val="22"/>
              </w:rPr>
            </w:pPr>
            <w:r w:rsidRPr="00B30FDF">
              <w:rPr>
                <w:rFonts w:cs="Calibri"/>
                <w:sz w:val="22"/>
                <w:szCs w:val="22"/>
              </w:rPr>
              <w:t>7/25/2018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12F4CF" w14:textId="77777777" w:rsidR="00B30FDF" w:rsidRPr="00B30FDF" w:rsidRDefault="00B30FDF" w:rsidP="00B30FDF">
            <w:pPr>
              <w:jc w:val="center"/>
              <w:rPr>
                <w:rFonts w:cs="Calibri"/>
                <w:sz w:val="22"/>
                <w:szCs w:val="22"/>
              </w:rPr>
            </w:pPr>
            <w:r w:rsidRPr="00B30FDF">
              <w:rPr>
                <w:rFonts w:cs="Calibri"/>
                <w:sz w:val="22"/>
                <w:szCs w:val="22"/>
              </w:rPr>
              <w:t>PGST</w:t>
            </w:r>
          </w:p>
        </w:tc>
        <w:tc>
          <w:tcPr>
            <w:tcW w:w="960" w:type="dxa"/>
            <w:tcBorders>
              <w:top w:val="nil"/>
              <w:left w:val="nil"/>
              <w:bottom w:val="single" w:sz="4" w:space="0" w:color="auto"/>
              <w:right w:val="single" w:sz="4" w:space="0" w:color="auto"/>
            </w:tcBorders>
            <w:shd w:val="clear" w:color="auto" w:fill="auto"/>
            <w:noWrap/>
            <w:vAlign w:val="center"/>
            <w:hideMark/>
          </w:tcPr>
          <w:p w14:paraId="2146B518"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309E1D88" w14:textId="77777777" w:rsidR="00B30FDF" w:rsidRPr="00B30FDF" w:rsidRDefault="00B30FDF" w:rsidP="00B30FDF">
            <w:pPr>
              <w:jc w:val="center"/>
              <w:rPr>
                <w:rFonts w:cs="Calibri"/>
                <w:sz w:val="22"/>
                <w:szCs w:val="22"/>
              </w:rPr>
            </w:pPr>
            <w:r w:rsidRPr="00B30FDF">
              <w:rPr>
                <w:rFonts w:cs="Calibri"/>
                <w:sz w:val="22"/>
                <w:szCs w:val="22"/>
              </w:rPr>
              <w:t>Yes</w:t>
            </w:r>
          </w:p>
        </w:tc>
        <w:tc>
          <w:tcPr>
            <w:tcW w:w="960" w:type="dxa"/>
            <w:tcBorders>
              <w:top w:val="nil"/>
              <w:left w:val="nil"/>
              <w:bottom w:val="single" w:sz="4" w:space="0" w:color="auto"/>
              <w:right w:val="single" w:sz="4" w:space="0" w:color="auto"/>
            </w:tcBorders>
            <w:shd w:val="clear" w:color="auto" w:fill="auto"/>
            <w:noWrap/>
            <w:vAlign w:val="bottom"/>
            <w:hideMark/>
          </w:tcPr>
          <w:p w14:paraId="3CDFACA5" w14:textId="77777777" w:rsidR="00B30FDF" w:rsidRPr="00B30FDF" w:rsidRDefault="00B30FDF" w:rsidP="00B30FDF">
            <w:pPr>
              <w:jc w:val="right"/>
              <w:rPr>
                <w:rFonts w:cs="Calibri"/>
                <w:sz w:val="22"/>
                <w:szCs w:val="22"/>
              </w:rPr>
            </w:pPr>
            <w:r w:rsidRPr="00B30FDF">
              <w:rPr>
                <w:rFonts w:cs="Calibri"/>
                <w:sz w:val="22"/>
                <w:szCs w:val="22"/>
              </w:rPr>
              <w:t>5,791</w:t>
            </w:r>
          </w:p>
        </w:tc>
        <w:tc>
          <w:tcPr>
            <w:tcW w:w="960" w:type="dxa"/>
            <w:tcBorders>
              <w:top w:val="nil"/>
              <w:left w:val="nil"/>
              <w:bottom w:val="single" w:sz="4" w:space="0" w:color="auto"/>
              <w:right w:val="single" w:sz="4" w:space="0" w:color="auto"/>
            </w:tcBorders>
            <w:shd w:val="clear" w:color="auto" w:fill="auto"/>
            <w:noWrap/>
            <w:vAlign w:val="bottom"/>
            <w:hideMark/>
          </w:tcPr>
          <w:p w14:paraId="6BEEFF4B" w14:textId="77777777" w:rsidR="00B30FDF" w:rsidRPr="00B30FDF" w:rsidRDefault="00B30FDF" w:rsidP="00B30FDF">
            <w:pPr>
              <w:jc w:val="right"/>
              <w:rPr>
                <w:rFonts w:cs="Calibri"/>
                <w:sz w:val="22"/>
                <w:szCs w:val="22"/>
              </w:rPr>
            </w:pPr>
            <w:r w:rsidRPr="00B30FDF">
              <w:rPr>
                <w:rFonts w:cs="Calibri"/>
                <w:sz w:val="22"/>
                <w:szCs w:val="22"/>
              </w:rPr>
              <w:t>0.46</w:t>
            </w:r>
          </w:p>
        </w:tc>
        <w:tc>
          <w:tcPr>
            <w:tcW w:w="960" w:type="dxa"/>
            <w:tcBorders>
              <w:top w:val="nil"/>
              <w:left w:val="nil"/>
              <w:bottom w:val="single" w:sz="4" w:space="0" w:color="auto"/>
              <w:right w:val="single" w:sz="4" w:space="0" w:color="auto"/>
            </w:tcBorders>
            <w:shd w:val="clear" w:color="auto" w:fill="auto"/>
            <w:noWrap/>
            <w:vAlign w:val="bottom"/>
            <w:hideMark/>
          </w:tcPr>
          <w:p w14:paraId="4AC4D9C8" w14:textId="77777777" w:rsidR="00B30FDF" w:rsidRPr="00B30FDF" w:rsidRDefault="00B30FDF" w:rsidP="00B30FDF">
            <w:pPr>
              <w:jc w:val="right"/>
              <w:rPr>
                <w:rFonts w:cs="Calibri"/>
                <w:sz w:val="22"/>
                <w:szCs w:val="22"/>
              </w:rPr>
            </w:pPr>
            <w:r w:rsidRPr="00B30FDF">
              <w:rPr>
                <w:rFonts w:cs="Calibri"/>
                <w:sz w:val="22"/>
                <w:szCs w:val="22"/>
              </w:rPr>
              <w:t>99.3</w:t>
            </w:r>
          </w:p>
        </w:tc>
      </w:tr>
      <w:tr w:rsidR="00B30FDF" w:rsidRPr="00B30FDF" w14:paraId="5B314A4A"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2759DA4" w14:textId="77777777" w:rsidR="00B30FDF" w:rsidRPr="00B30FDF" w:rsidRDefault="00B30FDF" w:rsidP="00B30FDF">
            <w:pPr>
              <w:jc w:val="right"/>
              <w:rPr>
                <w:rFonts w:cs="Calibri"/>
                <w:sz w:val="22"/>
                <w:szCs w:val="22"/>
              </w:rPr>
            </w:pPr>
            <w:r w:rsidRPr="00B30FDF">
              <w:rPr>
                <w:rFonts w:cs="Calibri"/>
                <w:sz w:val="22"/>
                <w:szCs w:val="22"/>
              </w:rPr>
              <w:t>7/26/2018</w:t>
            </w:r>
          </w:p>
        </w:tc>
        <w:tc>
          <w:tcPr>
            <w:tcW w:w="960" w:type="dxa"/>
            <w:vMerge/>
            <w:tcBorders>
              <w:top w:val="nil"/>
              <w:left w:val="single" w:sz="4" w:space="0" w:color="auto"/>
              <w:bottom w:val="single" w:sz="4" w:space="0" w:color="auto"/>
              <w:right w:val="single" w:sz="4" w:space="0" w:color="auto"/>
            </w:tcBorders>
            <w:vAlign w:val="center"/>
            <w:hideMark/>
          </w:tcPr>
          <w:p w14:paraId="352D67BB"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29F151E4"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29DF7351" w14:textId="77777777" w:rsidR="00B30FDF" w:rsidRPr="00B30FDF" w:rsidRDefault="00B30FDF" w:rsidP="00B30FDF">
            <w:pPr>
              <w:jc w:val="center"/>
              <w:rPr>
                <w:rFonts w:cs="Calibri"/>
                <w:sz w:val="22"/>
                <w:szCs w:val="22"/>
              </w:rPr>
            </w:pPr>
            <w:r w:rsidRPr="00B30FDF">
              <w:rPr>
                <w:rFonts w:cs="Calibri"/>
                <w:sz w:val="22"/>
                <w:szCs w:val="22"/>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C57BBF2" w14:textId="77777777" w:rsidR="00B30FDF" w:rsidRPr="00B30FDF" w:rsidRDefault="00B30FDF" w:rsidP="00B30FDF">
            <w:pPr>
              <w:jc w:val="right"/>
              <w:rPr>
                <w:rFonts w:cs="Calibri"/>
                <w:sz w:val="22"/>
                <w:szCs w:val="22"/>
              </w:rPr>
            </w:pPr>
            <w:r w:rsidRPr="00B30FDF">
              <w:rPr>
                <w:rFonts w:cs="Calibri"/>
                <w:sz w:val="22"/>
                <w:szCs w:val="22"/>
              </w:rPr>
              <w:t>5,787</w:t>
            </w:r>
          </w:p>
        </w:tc>
        <w:tc>
          <w:tcPr>
            <w:tcW w:w="960" w:type="dxa"/>
            <w:tcBorders>
              <w:top w:val="nil"/>
              <w:left w:val="nil"/>
              <w:bottom w:val="single" w:sz="4" w:space="0" w:color="auto"/>
              <w:right w:val="single" w:sz="4" w:space="0" w:color="auto"/>
            </w:tcBorders>
            <w:shd w:val="clear" w:color="auto" w:fill="auto"/>
            <w:noWrap/>
            <w:vAlign w:val="bottom"/>
            <w:hideMark/>
          </w:tcPr>
          <w:p w14:paraId="4CD224BB" w14:textId="77777777" w:rsidR="00B30FDF" w:rsidRPr="00B30FDF" w:rsidRDefault="00B30FDF" w:rsidP="00B30FDF">
            <w:pPr>
              <w:jc w:val="right"/>
              <w:rPr>
                <w:rFonts w:cs="Calibri"/>
                <w:sz w:val="22"/>
                <w:szCs w:val="22"/>
              </w:rPr>
            </w:pPr>
            <w:r w:rsidRPr="00B30FDF">
              <w:rPr>
                <w:rFonts w:cs="Calibri"/>
                <w:sz w:val="22"/>
                <w:szCs w:val="22"/>
              </w:rPr>
              <w:t>0.46</w:t>
            </w:r>
          </w:p>
        </w:tc>
        <w:tc>
          <w:tcPr>
            <w:tcW w:w="960" w:type="dxa"/>
            <w:tcBorders>
              <w:top w:val="nil"/>
              <w:left w:val="nil"/>
              <w:bottom w:val="single" w:sz="4" w:space="0" w:color="auto"/>
              <w:right w:val="single" w:sz="4" w:space="0" w:color="auto"/>
            </w:tcBorders>
            <w:shd w:val="clear" w:color="auto" w:fill="auto"/>
            <w:noWrap/>
            <w:vAlign w:val="bottom"/>
            <w:hideMark/>
          </w:tcPr>
          <w:p w14:paraId="34D7F07A" w14:textId="77777777" w:rsidR="00B30FDF" w:rsidRPr="00B30FDF" w:rsidRDefault="00B30FDF" w:rsidP="00B30FDF">
            <w:pPr>
              <w:jc w:val="right"/>
              <w:rPr>
                <w:rFonts w:cs="Calibri"/>
                <w:sz w:val="22"/>
                <w:szCs w:val="22"/>
              </w:rPr>
            </w:pPr>
            <w:r w:rsidRPr="00B30FDF">
              <w:rPr>
                <w:rFonts w:cs="Calibri"/>
                <w:sz w:val="22"/>
                <w:szCs w:val="22"/>
              </w:rPr>
              <w:t>99.0</w:t>
            </w:r>
          </w:p>
        </w:tc>
      </w:tr>
      <w:tr w:rsidR="00B30FDF" w:rsidRPr="00B30FDF" w14:paraId="752167D7"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FBEE26" w14:textId="77777777" w:rsidR="00B30FDF" w:rsidRPr="00B30FDF" w:rsidRDefault="00B30FDF" w:rsidP="00B30FDF">
            <w:pPr>
              <w:jc w:val="right"/>
              <w:rPr>
                <w:rFonts w:cs="Calibri"/>
                <w:sz w:val="22"/>
                <w:szCs w:val="22"/>
              </w:rPr>
            </w:pPr>
            <w:r w:rsidRPr="00B30FDF">
              <w:rPr>
                <w:rFonts w:cs="Calibri"/>
                <w:sz w:val="22"/>
                <w:szCs w:val="22"/>
              </w:rPr>
              <w:t>8/8/2018</w:t>
            </w:r>
          </w:p>
        </w:tc>
        <w:tc>
          <w:tcPr>
            <w:tcW w:w="960" w:type="dxa"/>
            <w:vMerge/>
            <w:tcBorders>
              <w:top w:val="nil"/>
              <w:left w:val="single" w:sz="4" w:space="0" w:color="auto"/>
              <w:bottom w:val="single" w:sz="4" w:space="0" w:color="auto"/>
              <w:right w:val="single" w:sz="4" w:space="0" w:color="auto"/>
            </w:tcBorders>
            <w:vAlign w:val="center"/>
            <w:hideMark/>
          </w:tcPr>
          <w:p w14:paraId="37EBE58C"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6FD1F91C"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654E8B6D"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1147AFF0" w14:textId="77777777" w:rsidR="00B30FDF" w:rsidRPr="00B30FDF" w:rsidRDefault="00B30FDF" w:rsidP="00B30FDF">
            <w:pPr>
              <w:jc w:val="right"/>
              <w:rPr>
                <w:rFonts w:cs="Calibri"/>
                <w:sz w:val="22"/>
                <w:szCs w:val="22"/>
              </w:rPr>
            </w:pPr>
            <w:r w:rsidRPr="00B30FDF">
              <w:rPr>
                <w:rFonts w:cs="Calibri"/>
                <w:sz w:val="22"/>
                <w:szCs w:val="22"/>
              </w:rPr>
              <w:t>7,545</w:t>
            </w:r>
          </w:p>
        </w:tc>
        <w:tc>
          <w:tcPr>
            <w:tcW w:w="960" w:type="dxa"/>
            <w:tcBorders>
              <w:top w:val="nil"/>
              <w:left w:val="nil"/>
              <w:bottom w:val="single" w:sz="4" w:space="0" w:color="auto"/>
              <w:right w:val="single" w:sz="4" w:space="0" w:color="auto"/>
            </w:tcBorders>
            <w:shd w:val="clear" w:color="auto" w:fill="auto"/>
            <w:noWrap/>
            <w:vAlign w:val="bottom"/>
            <w:hideMark/>
          </w:tcPr>
          <w:p w14:paraId="06354DC7" w14:textId="77777777" w:rsidR="00B30FDF" w:rsidRPr="00B30FDF" w:rsidRDefault="00B30FDF" w:rsidP="00B30FDF">
            <w:pPr>
              <w:jc w:val="right"/>
              <w:rPr>
                <w:rFonts w:cs="Calibri"/>
                <w:sz w:val="22"/>
                <w:szCs w:val="22"/>
              </w:rPr>
            </w:pPr>
            <w:r w:rsidRPr="00B30FDF">
              <w:rPr>
                <w:rFonts w:cs="Calibri"/>
                <w:sz w:val="22"/>
                <w:szCs w:val="22"/>
              </w:rPr>
              <w:t>0.31</w:t>
            </w:r>
          </w:p>
        </w:tc>
        <w:tc>
          <w:tcPr>
            <w:tcW w:w="960" w:type="dxa"/>
            <w:tcBorders>
              <w:top w:val="nil"/>
              <w:left w:val="nil"/>
              <w:bottom w:val="single" w:sz="4" w:space="0" w:color="auto"/>
              <w:right w:val="single" w:sz="4" w:space="0" w:color="auto"/>
            </w:tcBorders>
            <w:shd w:val="clear" w:color="auto" w:fill="auto"/>
            <w:noWrap/>
            <w:vAlign w:val="bottom"/>
            <w:hideMark/>
          </w:tcPr>
          <w:p w14:paraId="45F578A0" w14:textId="77777777" w:rsidR="00B30FDF" w:rsidRPr="00B30FDF" w:rsidRDefault="00B30FDF" w:rsidP="00B30FDF">
            <w:pPr>
              <w:jc w:val="right"/>
              <w:rPr>
                <w:rFonts w:cs="Calibri"/>
                <w:sz w:val="22"/>
                <w:szCs w:val="22"/>
              </w:rPr>
            </w:pPr>
            <w:r w:rsidRPr="00B30FDF">
              <w:rPr>
                <w:rFonts w:cs="Calibri"/>
                <w:sz w:val="22"/>
                <w:szCs w:val="22"/>
              </w:rPr>
              <w:t>93.0</w:t>
            </w:r>
          </w:p>
        </w:tc>
      </w:tr>
      <w:tr w:rsidR="00B30FDF" w:rsidRPr="00B30FDF" w14:paraId="7C267409"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D999B85" w14:textId="77777777" w:rsidR="00B30FDF" w:rsidRPr="00B30FDF" w:rsidRDefault="00B30FDF" w:rsidP="00B30FDF">
            <w:pPr>
              <w:jc w:val="right"/>
              <w:rPr>
                <w:rFonts w:cs="Calibri"/>
                <w:sz w:val="22"/>
                <w:szCs w:val="22"/>
              </w:rPr>
            </w:pPr>
            <w:r w:rsidRPr="00B30FDF">
              <w:rPr>
                <w:rFonts w:cs="Calibri"/>
                <w:sz w:val="22"/>
                <w:szCs w:val="22"/>
              </w:rPr>
              <w:t>8/9/2018</w:t>
            </w:r>
          </w:p>
        </w:tc>
        <w:tc>
          <w:tcPr>
            <w:tcW w:w="960" w:type="dxa"/>
            <w:vMerge/>
            <w:tcBorders>
              <w:top w:val="nil"/>
              <w:left w:val="single" w:sz="4" w:space="0" w:color="auto"/>
              <w:bottom w:val="single" w:sz="4" w:space="0" w:color="auto"/>
              <w:right w:val="single" w:sz="4" w:space="0" w:color="auto"/>
            </w:tcBorders>
            <w:vAlign w:val="center"/>
            <w:hideMark/>
          </w:tcPr>
          <w:p w14:paraId="28EFECE6"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175FF425"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5725F8F2"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66CC3D05" w14:textId="77777777" w:rsidR="00B30FDF" w:rsidRPr="00B30FDF" w:rsidRDefault="00B30FDF" w:rsidP="00B30FDF">
            <w:pPr>
              <w:jc w:val="right"/>
              <w:rPr>
                <w:rFonts w:cs="Calibri"/>
                <w:sz w:val="22"/>
                <w:szCs w:val="22"/>
              </w:rPr>
            </w:pPr>
            <w:r w:rsidRPr="00B30FDF">
              <w:rPr>
                <w:rFonts w:cs="Calibri"/>
                <w:sz w:val="22"/>
                <w:szCs w:val="22"/>
              </w:rPr>
              <w:t>7,539</w:t>
            </w:r>
          </w:p>
        </w:tc>
        <w:tc>
          <w:tcPr>
            <w:tcW w:w="960" w:type="dxa"/>
            <w:tcBorders>
              <w:top w:val="nil"/>
              <w:left w:val="nil"/>
              <w:bottom w:val="single" w:sz="4" w:space="0" w:color="auto"/>
              <w:right w:val="single" w:sz="4" w:space="0" w:color="auto"/>
            </w:tcBorders>
            <w:shd w:val="clear" w:color="auto" w:fill="auto"/>
            <w:noWrap/>
            <w:vAlign w:val="bottom"/>
            <w:hideMark/>
          </w:tcPr>
          <w:p w14:paraId="444DD23E" w14:textId="77777777" w:rsidR="00B30FDF" w:rsidRPr="00B30FDF" w:rsidRDefault="00B30FDF" w:rsidP="00B30FDF">
            <w:pPr>
              <w:jc w:val="right"/>
              <w:rPr>
                <w:rFonts w:cs="Calibri"/>
                <w:sz w:val="22"/>
                <w:szCs w:val="22"/>
              </w:rPr>
            </w:pPr>
            <w:r w:rsidRPr="00B30FDF">
              <w:rPr>
                <w:rFonts w:cs="Calibri"/>
                <w:sz w:val="22"/>
                <w:szCs w:val="22"/>
              </w:rPr>
              <w:t>0.42</w:t>
            </w:r>
          </w:p>
        </w:tc>
        <w:tc>
          <w:tcPr>
            <w:tcW w:w="960" w:type="dxa"/>
            <w:tcBorders>
              <w:top w:val="nil"/>
              <w:left w:val="nil"/>
              <w:bottom w:val="single" w:sz="4" w:space="0" w:color="auto"/>
              <w:right w:val="single" w:sz="4" w:space="0" w:color="auto"/>
            </w:tcBorders>
            <w:shd w:val="clear" w:color="auto" w:fill="auto"/>
            <w:noWrap/>
            <w:vAlign w:val="bottom"/>
            <w:hideMark/>
          </w:tcPr>
          <w:p w14:paraId="78875DCD" w14:textId="77777777" w:rsidR="00B30FDF" w:rsidRPr="00B30FDF" w:rsidRDefault="00B30FDF" w:rsidP="00B30FDF">
            <w:pPr>
              <w:jc w:val="right"/>
              <w:rPr>
                <w:rFonts w:cs="Calibri"/>
                <w:sz w:val="22"/>
                <w:szCs w:val="22"/>
              </w:rPr>
            </w:pPr>
            <w:r w:rsidRPr="00B30FDF">
              <w:rPr>
                <w:rFonts w:cs="Calibri"/>
                <w:sz w:val="22"/>
                <w:szCs w:val="22"/>
              </w:rPr>
              <w:t>99.2</w:t>
            </w:r>
          </w:p>
        </w:tc>
      </w:tr>
      <w:tr w:rsidR="00B30FDF" w:rsidRPr="00B30FDF" w14:paraId="6D7D1230"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3E7321" w14:textId="77777777" w:rsidR="00B30FDF" w:rsidRPr="00B30FDF" w:rsidRDefault="00B30FDF" w:rsidP="00B30FDF">
            <w:pPr>
              <w:jc w:val="right"/>
              <w:rPr>
                <w:rFonts w:cs="Calibri"/>
                <w:sz w:val="22"/>
                <w:szCs w:val="22"/>
              </w:rPr>
            </w:pPr>
            <w:r w:rsidRPr="00B30FDF">
              <w:rPr>
                <w:rFonts w:cs="Calibri"/>
                <w:sz w:val="22"/>
                <w:szCs w:val="22"/>
              </w:rPr>
              <w:t>8/8/2018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D3AE8C" w14:textId="77777777" w:rsidR="00B30FDF" w:rsidRPr="00B30FDF" w:rsidRDefault="00B30FDF" w:rsidP="00B30FDF">
            <w:pPr>
              <w:jc w:val="center"/>
              <w:rPr>
                <w:rFonts w:cs="Calibri"/>
                <w:sz w:val="22"/>
                <w:szCs w:val="22"/>
              </w:rPr>
            </w:pPr>
            <w:r w:rsidRPr="00B30FDF">
              <w:rPr>
                <w:rFonts w:cs="Calibri"/>
                <w:sz w:val="22"/>
                <w:szCs w:val="22"/>
              </w:rPr>
              <w:t>PGZP</w:t>
            </w:r>
          </w:p>
        </w:tc>
        <w:tc>
          <w:tcPr>
            <w:tcW w:w="960" w:type="dxa"/>
            <w:tcBorders>
              <w:top w:val="nil"/>
              <w:left w:val="nil"/>
              <w:bottom w:val="single" w:sz="4" w:space="0" w:color="auto"/>
              <w:right w:val="single" w:sz="4" w:space="0" w:color="auto"/>
            </w:tcBorders>
            <w:shd w:val="clear" w:color="auto" w:fill="auto"/>
            <w:noWrap/>
            <w:vAlign w:val="center"/>
            <w:hideMark/>
          </w:tcPr>
          <w:p w14:paraId="6BDC30D6"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794A64DF"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360CA4D7" w14:textId="77777777" w:rsidR="00B30FDF" w:rsidRPr="00B30FDF" w:rsidRDefault="00B30FDF" w:rsidP="00B30FDF">
            <w:pPr>
              <w:jc w:val="right"/>
              <w:rPr>
                <w:rFonts w:cs="Calibri"/>
                <w:sz w:val="22"/>
                <w:szCs w:val="22"/>
              </w:rPr>
            </w:pPr>
            <w:r w:rsidRPr="00B30FDF">
              <w:rPr>
                <w:rFonts w:cs="Calibri"/>
                <w:sz w:val="22"/>
                <w:szCs w:val="22"/>
              </w:rPr>
              <w:t>2,263</w:t>
            </w:r>
          </w:p>
        </w:tc>
        <w:tc>
          <w:tcPr>
            <w:tcW w:w="960" w:type="dxa"/>
            <w:tcBorders>
              <w:top w:val="nil"/>
              <w:left w:val="nil"/>
              <w:bottom w:val="single" w:sz="4" w:space="0" w:color="auto"/>
              <w:right w:val="single" w:sz="4" w:space="0" w:color="auto"/>
            </w:tcBorders>
            <w:shd w:val="clear" w:color="auto" w:fill="auto"/>
            <w:noWrap/>
            <w:vAlign w:val="bottom"/>
            <w:hideMark/>
          </w:tcPr>
          <w:p w14:paraId="1E1CA041" w14:textId="77777777" w:rsidR="00B30FDF" w:rsidRPr="00B30FDF" w:rsidRDefault="00B30FDF" w:rsidP="00B30FDF">
            <w:pPr>
              <w:jc w:val="right"/>
              <w:rPr>
                <w:rFonts w:cs="Calibri"/>
                <w:sz w:val="22"/>
                <w:szCs w:val="22"/>
              </w:rPr>
            </w:pPr>
            <w:r w:rsidRPr="00B30FDF">
              <w:rPr>
                <w:rFonts w:cs="Calibri"/>
                <w:sz w:val="22"/>
                <w:szCs w:val="22"/>
              </w:rPr>
              <w:t>0.17</w:t>
            </w:r>
          </w:p>
        </w:tc>
        <w:tc>
          <w:tcPr>
            <w:tcW w:w="960" w:type="dxa"/>
            <w:tcBorders>
              <w:top w:val="nil"/>
              <w:left w:val="nil"/>
              <w:bottom w:val="single" w:sz="4" w:space="0" w:color="auto"/>
              <w:right w:val="single" w:sz="4" w:space="0" w:color="auto"/>
            </w:tcBorders>
            <w:shd w:val="clear" w:color="auto" w:fill="auto"/>
            <w:noWrap/>
            <w:vAlign w:val="bottom"/>
            <w:hideMark/>
          </w:tcPr>
          <w:p w14:paraId="4B3C906A" w14:textId="77777777" w:rsidR="00B30FDF" w:rsidRPr="00B30FDF" w:rsidRDefault="00B30FDF" w:rsidP="00B30FDF">
            <w:pPr>
              <w:jc w:val="right"/>
              <w:rPr>
                <w:rFonts w:cs="Calibri"/>
                <w:sz w:val="22"/>
                <w:szCs w:val="22"/>
              </w:rPr>
            </w:pPr>
            <w:r w:rsidRPr="00B30FDF">
              <w:rPr>
                <w:rFonts w:cs="Calibri"/>
                <w:sz w:val="22"/>
                <w:szCs w:val="22"/>
              </w:rPr>
              <w:t>98.3</w:t>
            </w:r>
          </w:p>
        </w:tc>
      </w:tr>
      <w:tr w:rsidR="00B30FDF" w:rsidRPr="00B30FDF" w14:paraId="12BFE78A"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2FB9EA" w14:textId="77777777" w:rsidR="00B30FDF" w:rsidRPr="00B30FDF" w:rsidRDefault="00B30FDF" w:rsidP="00B30FDF">
            <w:pPr>
              <w:jc w:val="right"/>
              <w:rPr>
                <w:rFonts w:cs="Calibri"/>
                <w:sz w:val="22"/>
                <w:szCs w:val="22"/>
              </w:rPr>
            </w:pPr>
            <w:r w:rsidRPr="00B30FDF">
              <w:rPr>
                <w:rFonts w:cs="Calibri"/>
                <w:sz w:val="22"/>
                <w:szCs w:val="22"/>
              </w:rPr>
              <w:t>8/9/2018</w:t>
            </w:r>
          </w:p>
        </w:tc>
        <w:tc>
          <w:tcPr>
            <w:tcW w:w="960" w:type="dxa"/>
            <w:vMerge/>
            <w:tcBorders>
              <w:top w:val="nil"/>
              <w:left w:val="single" w:sz="4" w:space="0" w:color="auto"/>
              <w:bottom w:val="single" w:sz="4" w:space="0" w:color="auto"/>
              <w:right w:val="single" w:sz="4" w:space="0" w:color="auto"/>
            </w:tcBorders>
            <w:vAlign w:val="center"/>
            <w:hideMark/>
          </w:tcPr>
          <w:p w14:paraId="2BFC373A"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05DF713C"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6807B102"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0A1E8BFF" w14:textId="77777777" w:rsidR="00B30FDF" w:rsidRPr="00B30FDF" w:rsidRDefault="00B30FDF" w:rsidP="00B30FDF">
            <w:pPr>
              <w:jc w:val="right"/>
              <w:rPr>
                <w:rFonts w:cs="Calibri"/>
                <w:sz w:val="22"/>
                <w:szCs w:val="22"/>
              </w:rPr>
            </w:pPr>
            <w:r w:rsidRPr="00B30FDF">
              <w:rPr>
                <w:rFonts w:cs="Calibri"/>
                <w:sz w:val="22"/>
                <w:szCs w:val="22"/>
              </w:rPr>
              <w:t>2,263</w:t>
            </w:r>
          </w:p>
        </w:tc>
        <w:tc>
          <w:tcPr>
            <w:tcW w:w="960" w:type="dxa"/>
            <w:tcBorders>
              <w:top w:val="nil"/>
              <w:left w:val="nil"/>
              <w:bottom w:val="single" w:sz="4" w:space="0" w:color="auto"/>
              <w:right w:val="single" w:sz="4" w:space="0" w:color="auto"/>
            </w:tcBorders>
            <w:shd w:val="clear" w:color="auto" w:fill="auto"/>
            <w:noWrap/>
            <w:vAlign w:val="bottom"/>
            <w:hideMark/>
          </w:tcPr>
          <w:p w14:paraId="50ED6930" w14:textId="77777777" w:rsidR="00B30FDF" w:rsidRPr="00B30FDF" w:rsidRDefault="00B30FDF" w:rsidP="00B30FDF">
            <w:pPr>
              <w:jc w:val="right"/>
              <w:rPr>
                <w:rFonts w:cs="Calibri"/>
                <w:sz w:val="22"/>
                <w:szCs w:val="22"/>
              </w:rPr>
            </w:pPr>
            <w:r w:rsidRPr="00B30FDF">
              <w:rPr>
                <w:rFonts w:cs="Calibri"/>
                <w:sz w:val="22"/>
                <w:szCs w:val="22"/>
              </w:rPr>
              <w:t>0.19</w:t>
            </w:r>
          </w:p>
        </w:tc>
        <w:tc>
          <w:tcPr>
            <w:tcW w:w="960" w:type="dxa"/>
            <w:tcBorders>
              <w:top w:val="nil"/>
              <w:left w:val="nil"/>
              <w:bottom w:val="single" w:sz="4" w:space="0" w:color="auto"/>
              <w:right w:val="single" w:sz="4" w:space="0" w:color="auto"/>
            </w:tcBorders>
            <w:shd w:val="clear" w:color="auto" w:fill="auto"/>
            <w:noWrap/>
            <w:vAlign w:val="bottom"/>
            <w:hideMark/>
          </w:tcPr>
          <w:p w14:paraId="3EE92F14" w14:textId="77777777" w:rsidR="00B30FDF" w:rsidRPr="00B30FDF" w:rsidRDefault="00B30FDF" w:rsidP="00B30FDF">
            <w:pPr>
              <w:jc w:val="right"/>
              <w:rPr>
                <w:rFonts w:cs="Calibri"/>
                <w:sz w:val="22"/>
                <w:szCs w:val="22"/>
              </w:rPr>
            </w:pPr>
            <w:r w:rsidRPr="00B30FDF">
              <w:rPr>
                <w:rFonts w:cs="Calibri"/>
                <w:sz w:val="22"/>
                <w:szCs w:val="22"/>
              </w:rPr>
              <w:t>98.3</w:t>
            </w:r>
          </w:p>
        </w:tc>
      </w:tr>
      <w:tr w:rsidR="00B30FDF" w:rsidRPr="00B30FDF" w14:paraId="343547BD" w14:textId="77777777" w:rsidTr="00B30FD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22415E" w14:textId="77777777" w:rsidR="00B30FDF" w:rsidRPr="00B30FDF" w:rsidRDefault="00B30FDF" w:rsidP="00B30FDF">
            <w:pPr>
              <w:jc w:val="right"/>
              <w:rPr>
                <w:rFonts w:cs="Calibri"/>
                <w:sz w:val="22"/>
                <w:szCs w:val="22"/>
              </w:rPr>
            </w:pPr>
            <w:r w:rsidRPr="00B30FDF">
              <w:rPr>
                <w:rFonts w:cs="Calibri"/>
                <w:sz w:val="22"/>
                <w:szCs w:val="22"/>
              </w:rPr>
              <w:t>8/10/2018</w:t>
            </w:r>
          </w:p>
        </w:tc>
        <w:tc>
          <w:tcPr>
            <w:tcW w:w="960" w:type="dxa"/>
            <w:vMerge/>
            <w:tcBorders>
              <w:top w:val="nil"/>
              <w:left w:val="single" w:sz="4" w:space="0" w:color="auto"/>
              <w:bottom w:val="single" w:sz="4" w:space="0" w:color="auto"/>
              <w:right w:val="single" w:sz="4" w:space="0" w:color="auto"/>
            </w:tcBorders>
            <w:vAlign w:val="center"/>
            <w:hideMark/>
          </w:tcPr>
          <w:p w14:paraId="2832A1BF" w14:textId="77777777" w:rsidR="00B30FDF" w:rsidRPr="00B30FDF" w:rsidRDefault="00B30FDF" w:rsidP="00B30FDF">
            <w:pPr>
              <w:rPr>
                <w:rFonts w:cs="Calibri"/>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3973D3C2" w14:textId="77777777" w:rsidR="00B30FDF" w:rsidRPr="00B30FDF" w:rsidRDefault="00B30FDF" w:rsidP="00B30FDF">
            <w:pPr>
              <w:jc w:val="center"/>
              <w:rPr>
                <w:rFonts w:cs="Calibri"/>
                <w:sz w:val="22"/>
                <w:szCs w:val="22"/>
              </w:rPr>
            </w:pPr>
            <w:r w:rsidRPr="00B30FDF">
              <w:rPr>
                <w:rFonts w:cs="Calibri"/>
                <w:sz w:val="22"/>
                <w:szCs w:val="22"/>
              </w:rPr>
              <w:t>4-7 p.m.</w:t>
            </w:r>
          </w:p>
        </w:tc>
        <w:tc>
          <w:tcPr>
            <w:tcW w:w="960" w:type="dxa"/>
            <w:tcBorders>
              <w:top w:val="nil"/>
              <w:left w:val="nil"/>
              <w:bottom w:val="single" w:sz="4" w:space="0" w:color="auto"/>
              <w:right w:val="single" w:sz="4" w:space="0" w:color="auto"/>
            </w:tcBorders>
            <w:shd w:val="clear" w:color="auto" w:fill="auto"/>
            <w:noWrap/>
            <w:vAlign w:val="center"/>
            <w:hideMark/>
          </w:tcPr>
          <w:p w14:paraId="2B8F9C3C" w14:textId="77777777" w:rsidR="00B30FDF" w:rsidRPr="00B30FDF" w:rsidRDefault="00B30FDF" w:rsidP="00B30FDF">
            <w:pPr>
              <w:jc w:val="center"/>
              <w:rPr>
                <w:rFonts w:cs="Calibri"/>
                <w:sz w:val="22"/>
                <w:szCs w:val="22"/>
              </w:rPr>
            </w:pPr>
            <w:r w:rsidRPr="00B30FDF">
              <w:rPr>
                <w:rFonts w:cs="Calibri"/>
                <w:sz w:val="22"/>
                <w:szCs w:val="22"/>
              </w:rPr>
              <w:t>No</w:t>
            </w:r>
          </w:p>
        </w:tc>
        <w:tc>
          <w:tcPr>
            <w:tcW w:w="960" w:type="dxa"/>
            <w:tcBorders>
              <w:top w:val="nil"/>
              <w:left w:val="nil"/>
              <w:bottom w:val="single" w:sz="4" w:space="0" w:color="auto"/>
              <w:right w:val="single" w:sz="4" w:space="0" w:color="auto"/>
            </w:tcBorders>
            <w:shd w:val="clear" w:color="auto" w:fill="auto"/>
            <w:noWrap/>
            <w:vAlign w:val="bottom"/>
            <w:hideMark/>
          </w:tcPr>
          <w:p w14:paraId="3F696CB5" w14:textId="77777777" w:rsidR="00B30FDF" w:rsidRPr="00B30FDF" w:rsidRDefault="00B30FDF" w:rsidP="00B30FDF">
            <w:pPr>
              <w:jc w:val="right"/>
              <w:rPr>
                <w:rFonts w:cs="Calibri"/>
                <w:sz w:val="22"/>
                <w:szCs w:val="22"/>
              </w:rPr>
            </w:pPr>
            <w:r w:rsidRPr="00B30FDF">
              <w:rPr>
                <w:rFonts w:cs="Calibri"/>
                <w:sz w:val="22"/>
                <w:szCs w:val="22"/>
              </w:rPr>
              <w:t>2,262</w:t>
            </w:r>
          </w:p>
        </w:tc>
        <w:tc>
          <w:tcPr>
            <w:tcW w:w="960" w:type="dxa"/>
            <w:tcBorders>
              <w:top w:val="nil"/>
              <w:left w:val="nil"/>
              <w:bottom w:val="single" w:sz="4" w:space="0" w:color="auto"/>
              <w:right w:val="single" w:sz="4" w:space="0" w:color="auto"/>
            </w:tcBorders>
            <w:shd w:val="clear" w:color="auto" w:fill="auto"/>
            <w:noWrap/>
            <w:vAlign w:val="bottom"/>
            <w:hideMark/>
          </w:tcPr>
          <w:p w14:paraId="4A7C3D76" w14:textId="77777777" w:rsidR="00B30FDF" w:rsidRPr="00B30FDF" w:rsidRDefault="00B30FDF" w:rsidP="00B30FDF">
            <w:pPr>
              <w:jc w:val="right"/>
              <w:rPr>
                <w:rFonts w:cs="Calibri"/>
                <w:sz w:val="22"/>
                <w:szCs w:val="22"/>
              </w:rPr>
            </w:pPr>
            <w:r w:rsidRPr="00B30FDF">
              <w:rPr>
                <w:rFonts w:cs="Calibri"/>
                <w:sz w:val="22"/>
                <w:szCs w:val="22"/>
              </w:rPr>
              <w:t>0.11</w:t>
            </w:r>
          </w:p>
        </w:tc>
        <w:tc>
          <w:tcPr>
            <w:tcW w:w="960" w:type="dxa"/>
            <w:tcBorders>
              <w:top w:val="nil"/>
              <w:left w:val="nil"/>
              <w:bottom w:val="single" w:sz="4" w:space="0" w:color="auto"/>
              <w:right w:val="single" w:sz="4" w:space="0" w:color="auto"/>
            </w:tcBorders>
            <w:shd w:val="clear" w:color="auto" w:fill="auto"/>
            <w:noWrap/>
            <w:vAlign w:val="bottom"/>
            <w:hideMark/>
          </w:tcPr>
          <w:p w14:paraId="1B4EAC50" w14:textId="77777777" w:rsidR="00B30FDF" w:rsidRPr="00B30FDF" w:rsidRDefault="00B30FDF" w:rsidP="00B30FDF">
            <w:pPr>
              <w:jc w:val="right"/>
              <w:rPr>
                <w:rFonts w:cs="Calibri"/>
                <w:sz w:val="22"/>
                <w:szCs w:val="22"/>
              </w:rPr>
            </w:pPr>
            <w:r w:rsidRPr="00B30FDF">
              <w:rPr>
                <w:rFonts w:cs="Calibri"/>
                <w:sz w:val="22"/>
                <w:szCs w:val="22"/>
              </w:rPr>
              <w:t>94.9</w:t>
            </w:r>
          </w:p>
        </w:tc>
      </w:tr>
    </w:tbl>
    <w:p w14:paraId="1E0CAB6C" w14:textId="77777777" w:rsidR="0014595D" w:rsidRDefault="0014595D" w:rsidP="00AB4C37">
      <w:pPr>
        <w:spacing w:after="120"/>
        <w:rPr>
          <w:szCs w:val="32"/>
        </w:rPr>
      </w:pPr>
    </w:p>
    <w:p w14:paraId="04C48EFA" w14:textId="77777777" w:rsidR="009B0A71" w:rsidRPr="009B0A71" w:rsidRDefault="009B0A71" w:rsidP="00AB4C37">
      <w:pPr>
        <w:spacing w:after="120"/>
        <w:rPr>
          <w:b/>
          <w:i/>
          <w:szCs w:val="32"/>
        </w:rPr>
      </w:pPr>
      <w:r w:rsidRPr="009B0A71">
        <w:rPr>
          <w:b/>
          <w:i/>
          <w:szCs w:val="32"/>
        </w:rPr>
        <w:t xml:space="preserve">PGEB, PGF1, and PGSI produced 76 percent of the PY2018 load reductions </w:t>
      </w:r>
    </w:p>
    <w:p w14:paraId="74E8AE2E" w14:textId="580E0C22" w:rsidR="00AB4C37" w:rsidRDefault="007E0924" w:rsidP="00AB4C37">
      <w:pPr>
        <w:spacing w:after="120"/>
        <w:rPr>
          <w:szCs w:val="32"/>
        </w:rPr>
      </w:pPr>
      <w:r>
        <w:rPr>
          <w:szCs w:val="32"/>
        </w:rPr>
        <w:t>N</w:t>
      </w:r>
      <w:r w:rsidR="00AB4C37">
        <w:rPr>
          <w:szCs w:val="32"/>
        </w:rPr>
        <w:t>ext, we look at</w:t>
      </w:r>
      <w:r w:rsidR="000C5D98">
        <w:rPr>
          <w:szCs w:val="32"/>
        </w:rPr>
        <w:t xml:space="preserve"> how load impacts are distributed across sub-LAPs. </w:t>
      </w:r>
      <w:r w:rsidR="000C5D98" w:rsidRPr="00635030">
        <w:rPr>
          <w:szCs w:val="32"/>
        </w:rPr>
        <w:fldChar w:fldCharType="begin"/>
      </w:r>
      <w:r w:rsidR="000C5D98" w:rsidRPr="00635030">
        <w:rPr>
          <w:szCs w:val="32"/>
        </w:rPr>
        <w:instrText xml:space="preserve"> REF _Ref506903022 \h </w:instrText>
      </w:r>
      <w:r w:rsidR="00635030">
        <w:rPr>
          <w:szCs w:val="32"/>
        </w:rPr>
        <w:instrText xml:space="preserve"> \* MERGEFORMAT </w:instrText>
      </w:r>
      <w:r w:rsidR="000C5D98" w:rsidRPr="00635030">
        <w:rPr>
          <w:szCs w:val="32"/>
        </w:rPr>
      </w:r>
      <w:r w:rsidR="000C5D98" w:rsidRPr="00635030">
        <w:rPr>
          <w:szCs w:val="32"/>
        </w:rPr>
        <w:fldChar w:fldCharType="separate"/>
      </w:r>
      <w:r w:rsidR="00445DF3" w:rsidRPr="00635030">
        <w:t xml:space="preserve">Figure </w:t>
      </w:r>
      <w:r w:rsidR="00445DF3">
        <w:rPr>
          <w:noProof/>
        </w:rPr>
        <w:t>3</w:t>
      </w:r>
      <w:r w:rsidR="00445DF3">
        <w:rPr>
          <w:noProof/>
        </w:rPr>
        <w:noBreakHyphen/>
        <w:t>4</w:t>
      </w:r>
      <w:r w:rsidR="000C5D98" w:rsidRPr="00635030">
        <w:rPr>
          <w:szCs w:val="32"/>
        </w:rPr>
        <w:fldChar w:fldCharType="end"/>
      </w:r>
      <w:r w:rsidR="000C5D98" w:rsidRPr="00635030">
        <w:rPr>
          <w:szCs w:val="32"/>
        </w:rPr>
        <w:t xml:space="preserve"> compares</w:t>
      </w:r>
      <w:r w:rsidR="000C5D98">
        <w:rPr>
          <w:szCs w:val="32"/>
        </w:rPr>
        <w:t xml:space="preserve"> </w:t>
      </w:r>
      <w:r w:rsidR="00AB4C37">
        <w:rPr>
          <w:szCs w:val="32"/>
        </w:rPr>
        <w:t>the</w:t>
      </w:r>
      <w:r w:rsidR="000C5D98">
        <w:rPr>
          <w:szCs w:val="32"/>
        </w:rPr>
        <w:t xml:space="preserve"> sub-LAP</w:t>
      </w:r>
      <w:r w:rsidR="00AB4C37">
        <w:rPr>
          <w:szCs w:val="32"/>
        </w:rPr>
        <w:t xml:space="preserve"> share</w:t>
      </w:r>
      <w:r w:rsidR="000C5D98">
        <w:rPr>
          <w:szCs w:val="32"/>
        </w:rPr>
        <w:t>s</w:t>
      </w:r>
      <w:r w:rsidR="0052432C">
        <w:rPr>
          <w:szCs w:val="32"/>
        </w:rPr>
        <w:t xml:space="preserve"> of </w:t>
      </w:r>
      <w:r w:rsidR="00F650FC">
        <w:rPr>
          <w:szCs w:val="32"/>
        </w:rPr>
        <w:t xml:space="preserve">estimated </w:t>
      </w:r>
      <w:r w:rsidR="000C5D98">
        <w:rPr>
          <w:szCs w:val="32"/>
        </w:rPr>
        <w:t>aggregate event-ho</w:t>
      </w:r>
      <w:r w:rsidR="0052432C">
        <w:rPr>
          <w:szCs w:val="32"/>
        </w:rPr>
        <w:t xml:space="preserve">ur </w:t>
      </w:r>
      <w:r w:rsidR="00AB4C37">
        <w:rPr>
          <w:szCs w:val="32"/>
        </w:rPr>
        <w:t>load impacts, reference loads, and enrollments</w:t>
      </w:r>
      <w:r w:rsidR="000C5D98">
        <w:rPr>
          <w:szCs w:val="32"/>
        </w:rPr>
        <w:t xml:space="preserve"> multiplied by the number of hours that</w:t>
      </w:r>
      <w:r w:rsidR="00AB4C37">
        <w:rPr>
          <w:szCs w:val="32"/>
        </w:rPr>
        <w:t xml:space="preserve"> </w:t>
      </w:r>
      <w:r w:rsidR="000C5D98">
        <w:rPr>
          <w:szCs w:val="32"/>
        </w:rPr>
        <w:t xml:space="preserve">the </w:t>
      </w:r>
      <w:r w:rsidR="00AB4C37">
        <w:rPr>
          <w:szCs w:val="32"/>
        </w:rPr>
        <w:t>sub-LAP</w:t>
      </w:r>
      <w:r w:rsidR="000C5D98">
        <w:rPr>
          <w:szCs w:val="32"/>
        </w:rPr>
        <w:t xml:space="preserve"> was called for </w:t>
      </w:r>
      <w:r w:rsidR="00546AFB">
        <w:rPr>
          <w:szCs w:val="32"/>
        </w:rPr>
        <w:t>SmartAC™</w:t>
      </w:r>
      <w:r w:rsidR="000C5D98">
        <w:rPr>
          <w:szCs w:val="32"/>
        </w:rPr>
        <w:t xml:space="preserve"> events. </w:t>
      </w:r>
      <w:r w:rsidR="00AB4C37">
        <w:rPr>
          <w:szCs w:val="32"/>
        </w:rPr>
        <w:t xml:space="preserve">The load impacts for </w:t>
      </w:r>
      <w:r w:rsidR="00546AFB">
        <w:rPr>
          <w:szCs w:val="32"/>
        </w:rPr>
        <w:t>SmartAC™</w:t>
      </w:r>
      <w:r w:rsidR="0052432C">
        <w:rPr>
          <w:szCs w:val="32"/>
        </w:rPr>
        <w:t xml:space="preserve"> customers </w:t>
      </w:r>
      <w:r w:rsidR="00AB4C37">
        <w:rPr>
          <w:szCs w:val="32"/>
        </w:rPr>
        <w:t xml:space="preserve">are mainly driven by </w:t>
      </w:r>
      <w:r w:rsidR="002354AC">
        <w:rPr>
          <w:szCs w:val="32"/>
        </w:rPr>
        <w:t xml:space="preserve">three </w:t>
      </w:r>
      <w:r w:rsidR="0052432C">
        <w:rPr>
          <w:szCs w:val="32"/>
        </w:rPr>
        <w:t>sub-LAPs</w:t>
      </w:r>
      <w:r w:rsidR="000C5D98">
        <w:rPr>
          <w:szCs w:val="32"/>
        </w:rPr>
        <w:t xml:space="preserve"> (</w:t>
      </w:r>
      <w:r w:rsidR="0052432C">
        <w:rPr>
          <w:szCs w:val="32"/>
        </w:rPr>
        <w:t xml:space="preserve">PGEB, PGF1, </w:t>
      </w:r>
      <w:r w:rsidR="002354AC">
        <w:rPr>
          <w:szCs w:val="32"/>
        </w:rPr>
        <w:t xml:space="preserve">and </w:t>
      </w:r>
      <w:r w:rsidR="0052432C">
        <w:rPr>
          <w:szCs w:val="32"/>
        </w:rPr>
        <w:t>PGSI</w:t>
      </w:r>
      <w:r w:rsidR="000C5D98">
        <w:rPr>
          <w:szCs w:val="32"/>
        </w:rPr>
        <w:t xml:space="preserve">), which </w:t>
      </w:r>
      <w:r w:rsidR="002354AC">
        <w:rPr>
          <w:szCs w:val="32"/>
        </w:rPr>
        <w:t>collectively</w:t>
      </w:r>
      <w:r w:rsidR="00F624EE">
        <w:rPr>
          <w:szCs w:val="32"/>
        </w:rPr>
        <w:t xml:space="preserve"> pro</w:t>
      </w:r>
      <w:r w:rsidR="009B0A71">
        <w:rPr>
          <w:szCs w:val="32"/>
        </w:rPr>
        <w:t>duced</w:t>
      </w:r>
      <w:r w:rsidR="002354AC">
        <w:rPr>
          <w:szCs w:val="32"/>
        </w:rPr>
        <w:t xml:space="preserve"> 7</w:t>
      </w:r>
      <w:r w:rsidR="00515934">
        <w:rPr>
          <w:szCs w:val="32"/>
        </w:rPr>
        <w:t>6</w:t>
      </w:r>
      <w:r w:rsidR="002354AC">
        <w:rPr>
          <w:szCs w:val="32"/>
        </w:rPr>
        <w:t xml:space="preserve"> percent of the PY2018 load reductions.</w:t>
      </w:r>
      <w:r w:rsidR="00F054CB">
        <w:rPr>
          <w:szCs w:val="32"/>
        </w:rPr>
        <w:t xml:space="preserve"> Furthermore, these three sub-LAP areas</w:t>
      </w:r>
      <w:r w:rsidR="00515934">
        <w:rPr>
          <w:szCs w:val="32"/>
        </w:rPr>
        <w:t xml:space="preserve"> as well as PGST</w:t>
      </w:r>
      <w:r w:rsidR="00F054CB">
        <w:rPr>
          <w:szCs w:val="32"/>
        </w:rPr>
        <w:t xml:space="preserve"> have </w:t>
      </w:r>
      <w:r w:rsidR="000C5D98">
        <w:rPr>
          <w:szCs w:val="32"/>
        </w:rPr>
        <w:t>a</w:t>
      </w:r>
      <w:r w:rsidR="00AB4C37">
        <w:rPr>
          <w:szCs w:val="32"/>
        </w:rPr>
        <w:t xml:space="preserve"> higher share of load impacts than of enrollments or reference loads.</w:t>
      </w:r>
      <w:r w:rsidR="00F054CB">
        <w:rPr>
          <w:szCs w:val="32"/>
        </w:rPr>
        <w:t xml:space="preserve"> </w:t>
      </w:r>
      <w:r w:rsidR="00AB4C37">
        <w:rPr>
          <w:szCs w:val="32"/>
        </w:rPr>
        <w:t xml:space="preserve">All other </w:t>
      </w:r>
      <w:r w:rsidR="0052432C">
        <w:rPr>
          <w:szCs w:val="32"/>
        </w:rPr>
        <w:t>sub-LAPs</w:t>
      </w:r>
      <w:r w:rsidR="00AB4C37">
        <w:rPr>
          <w:szCs w:val="32"/>
        </w:rPr>
        <w:t xml:space="preserve"> have a lower share of load impact</w:t>
      </w:r>
      <w:r w:rsidR="00C45755">
        <w:rPr>
          <w:szCs w:val="32"/>
        </w:rPr>
        <w:t>s compared to the share of</w:t>
      </w:r>
      <w:r w:rsidR="00AB4C37">
        <w:rPr>
          <w:szCs w:val="32"/>
        </w:rPr>
        <w:t xml:space="preserve"> enrollments</w:t>
      </w:r>
      <w:r w:rsidR="0052432C">
        <w:rPr>
          <w:szCs w:val="32"/>
        </w:rPr>
        <w:t xml:space="preserve"> </w:t>
      </w:r>
      <w:r w:rsidR="006F4D19">
        <w:rPr>
          <w:szCs w:val="32"/>
        </w:rPr>
        <w:t>and r</w:t>
      </w:r>
      <w:r w:rsidR="00AB4C37">
        <w:rPr>
          <w:szCs w:val="32"/>
        </w:rPr>
        <w:t xml:space="preserve">eference loads. </w:t>
      </w:r>
    </w:p>
    <w:p w14:paraId="6EBE816E" w14:textId="3D41E912" w:rsidR="004A0F8A" w:rsidRDefault="00025EDD" w:rsidP="000C5D98">
      <w:pPr>
        <w:pStyle w:val="FigureCaption"/>
      </w:pPr>
      <w:bookmarkStart w:id="103" w:name="_Ref506903022"/>
      <w:bookmarkStart w:id="104" w:name="_Toc506907188"/>
      <w:bookmarkStart w:id="105" w:name="_Toc4578197"/>
      <w:r w:rsidRPr="00635030">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3</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4</w:t>
      </w:r>
      <w:r w:rsidR="00002E97">
        <w:rPr>
          <w:noProof/>
        </w:rPr>
        <w:fldChar w:fldCharType="end"/>
      </w:r>
      <w:bookmarkEnd w:id="103"/>
      <w:r w:rsidRPr="00635030">
        <w:t xml:space="preserve">: </w:t>
      </w:r>
      <w:bookmarkEnd w:id="104"/>
      <w:r w:rsidR="007D6B1D" w:rsidRPr="00635030">
        <w:t xml:space="preserve">All </w:t>
      </w:r>
      <w:r w:rsidR="008F2736" w:rsidRPr="00635030">
        <w:t>Event</w:t>
      </w:r>
      <w:r w:rsidR="007D6B1D" w:rsidRPr="00635030">
        <w:t>-Hour</w:t>
      </w:r>
      <w:r w:rsidR="008F2736" w:rsidRPr="00635030">
        <w:t xml:space="preserve"> </w:t>
      </w:r>
      <w:r w:rsidR="007753D3" w:rsidRPr="00635030">
        <w:t>Load Impacts by Sub-LAP</w:t>
      </w:r>
      <w:bookmarkEnd w:id="105"/>
    </w:p>
    <w:p w14:paraId="6A3BE13C" w14:textId="647B66B6" w:rsidR="003A1013" w:rsidRDefault="003A1013" w:rsidP="007E0924">
      <w:r>
        <w:rPr>
          <w:noProof/>
        </w:rPr>
        <w:drawing>
          <wp:inline distT="0" distB="0" distL="0" distR="0" wp14:anchorId="6D204D80" wp14:editId="2FFFFEF5">
            <wp:extent cx="5486400" cy="3982720"/>
            <wp:effectExtent l="0" t="0" r="0" b="0"/>
            <wp:docPr id="22" name="Chart 22">
              <a:extLst xmlns:a="http://schemas.openxmlformats.org/drawingml/2006/main">
                <a:ext uri="{FF2B5EF4-FFF2-40B4-BE49-F238E27FC236}">
                  <a16:creationId xmlns:a16="http://schemas.microsoft.com/office/drawing/2014/main" id="{82999D77-0BB6-42DB-B398-1C69A3D8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89EE46" w14:textId="0AE4C4A4" w:rsidR="003A1013" w:rsidRDefault="003A1013" w:rsidP="007E0924"/>
    <w:p w14:paraId="39F0C9B7" w14:textId="48B66D6D" w:rsidR="009B0A71" w:rsidRPr="009B0A71" w:rsidRDefault="009B0A71" w:rsidP="009B0A71">
      <w:pPr>
        <w:spacing w:after="120"/>
        <w:rPr>
          <w:b/>
          <w:i/>
        </w:rPr>
      </w:pPr>
      <w:r>
        <w:rPr>
          <w:b/>
          <w:i/>
        </w:rPr>
        <w:t>Load impacts peak during second hour of event with significant post-event snapback</w:t>
      </w:r>
    </w:p>
    <w:p w14:paraId="3BF179E5" w14:textId="220EA64E" w:rsidR="007753D3" w:rsidRPr="00554A35" w:rsidRDefault="007753D3" w:rsidP="009B0A71">
      <w:pPr>
        <w:spacing w:after="120"/>
      </w:pPr>
      <w:r>
        <w:fldChar w:fldCharType="begin"/>
      </w:r>
      <w:r>
        <w:instrText xml:space="preserve"> REF _Ref706718 \h </w:instrText>
      </w:r>
      <w:r w:rsidR="007E0924">
        <w:instrText xml:space="preserve"> \* MERGEFORMAT </w:instrText>
      </w:r>
      <w:r>
        <w:fldChar w:fldCharType="separate"/>
      </w:r>
      <w:r w:rsidR="00445DF3" w:rsidRPr="00554A35">
        <w:t xml:space="preserve">Figure </w:t>
      </w:r>
      <w:r w:rsidR="00445DF3">
        <w:rPr>
          <w:noProof/>
        </w:rPr>
        <w:t>3</w:t>
      </w:r>
      <w:r w:rsidR="00445DF3">
        <w:rPr>
          <w:noProof/>
        </w:rPr>
        <w:noBreakHyphen/>
        <w:t>5</w:t>
      </w:r>
      <w:r>
        <w:fldChar w:fldCharType="end"/>
      </w:r>
      <w:r>
        <w:t xml:space="preserve"> shows an </w:t>
      </w:r>
      <w:r w:rsidRPr="00554A35">
        <w:t xml:space="preserve">example of the aggregate hourly reference loads, observed loads, and estimated load impacts </w:t>
      </w:r>
      <w:r w:rsidR="003E01A2">
        <w:t xml:space="preserve">using the </w:t>
      </w:r>
      <w:r w:rsidRPr="00554A35">
        <w:t>August 9</w:t>
      </w:r>
      <w:r w:rsidRPr="00554A35">
        <w:rPr>
          <w:vertAlign w:val="superscript"/>
        </w:rPr>
        <w:t>th</w:t>
      </w:r>
      <w:r w:rsidR="003E01A2">
        <w:t xml:space="preserve"> event.</w:t>
      </w:r>
      <w:r w:rsidRPr="00554A35">
        <w:t xml:space="preserve"> Since there is no typical event day, we have selected a </w:t>
      </w:r>
      <w:r w:rsidR="00546AFB">
        <w:t>SmartAC™</w:t>
      </w:r>
      <w:r w:rsidRPr="00554A35">
        <w:t xml:space="preserve">-only event in which a large share of enrolled </w:t>
      </w:r>
      <w:r w:rsidR="00546AFB">
        <w:t>SmartAC™</w:t>
      </w:r>
      <w:r w:rsidRPr="00554A35">
        <w:t xml:space="preserve"> customers were called for the event. On August 9</w:t>
      </w:r>
      <w:r w:rsidRPr="00554A35">
        <w:rPr>
          <w:vertAlign w:val="superscript"/>
        </w:rPr>
        <w:t>th</w:t>
      </w:r>
      <w:r w:rsidRPr="00554A35">
        <w:t xml:space="preserve">, 70,251 or 69 percent of enrolled </w:t>
      </w:r>
      <w:r w:rsidR="00546AFB">
        <w:t>SmartAC™</w:t>
      </w:r>
      <w:r w:rsidRPr="00554A35">
        <w:t xml:space="preserve"> customers were called for the event. </w:t>
      </w:r>
      <w:r w:rsidRPr="00554A35">
        <w:fldChar w:fldCharType="begin"/>
      </w:r>
      <w:r w:rsidRPr="00554A35">
        <w:instrText xml:space="preserve"> REF _Ref506901552 \h </w:instrText>
      </w:r>
      <w:r w:rsidR="007E0924" w:rsidRPr="00554A35">
        <w:instrText xml:space="preserve"> \* MERGEFORMAT </w:instrText>
      </w:r>
      <w:r w:rsidRPr="00554A35">
        <w:fldChar w:fldCharType="separate"/>
      </w:r>
      <w:r w:rsidR="00445DF3" w:rsidRPr="00152889">
        <w:t xml:space="preserve">Table </w:t>
      </w:r>
      <w:r w:rsidR="00445DF3">
        <w:rPr>
          <w:noProof/>
        </w:rPr>
        <w:t>3</w:t>
      </w:r>
      <w:r w:rsidR="00445DF3">
        <w:rPr>
          <w:noProof/>
        </w:rPr>
        <w:noBreakHyphen/>
        <w:t>5</w:t>
      </w:r>
      <w:r w:rsidRPr="00554A35">
        <w:fldChar w:fldCharType="end"/>
      </w:r>
      <w:r w:rsidRPr="00554A35">
        <w:t xml:space="preserve"> contains the hourly results for August 9</w:t>
      </w:r>
      <w:r w:rsidRPr="00554A35">
        <w:rPr>
          <w:vertAlign w:val="superscript"/>
        </w:rPr>
        <w:t>th</w:t>
      </w:r>
      <w:r w:rsidRPr="00554A35">
        <w:t xml:space="preserve"> in the manner required by the Protocols, including hourly temperatures and uncertainty adjusted load impacts. Notice that the load impacts peak at </w:t>
      </w:r>
      <w:r w:rsidR="00713E15">
        <w:t>27.7</w:t>
      </w:r>
      <w:r w:rsidRPr="00554A35">
        <w:t xml:space="preserve"> MWh during the second hour of this event (5:00 to 6:00 p.m.). Furthermore, there is significant post-event snapback, when loads increase by </w:t>
      </w:r>
      <w:r w:rsidR="00713E15">
        <w:t>19.2</w:t>
      </w:r>
      <w:r w:rsidRPr="00554A35">
        <w:t xml:space="preserve"> MWh the first hour after the eve</w:t>
      </w:r>
      <w:r w:rsidR="00713E15">
        <w:t>nt</w:t>
      </w:r>
      <w:r w:rsidR="003E01A2">
        <w:t>. S</w:t>
      </w:r>
      <w:r w:rsidR="00713E15">
        <w:t>napback peaks at 20.2 MWh the second hour after the event</w:t>
      </w:r>
      <w:r w:rsidRPr="00554A35">
        <w:t xml:space="preserve"> and declines over the course of the evening. </w:t>
      </w:r>
    </w:p>
    <w:p w14:paraId="030FA96F" w14:textId="77777777" w:rsidR="007753D3" w:rsidRPr="00554A35" w:rsidRDefault="007753D3" w:rsidP="007753D3"/>
    <w:p w14:paraId="1F0AF567" w14:textId="0D6CB0D7" w:rsidR="007753D3" w:rsidRDefault="007753D3" w:rsidP="007753D3">
      <w:pPr>
        <w:pStyle w:val="FigureCaption"/>
      </w:pPr>
      <w:bookmarkStart w:id="106" w:name="_Ref706718"/>
      <w:bookmarkStart w:id="107" w:name="_Toc4578198"/>
      <w:r w:rsidRPr="00554A35">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3</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5</w:t>
      </w:r>
      <w:r w:rsidR="00002E97">
        <w:rPr>
          <w:noProof/>
        </w:rPr>
        <w:fldChar w:fldCharType="end"/>
      </w:r>
      <w:bookmarkEnd w:id="106"/>
      <w:r w:rsidRPr="00554A35">
        <w:t>: Hourly Load Impacts and Uncertainty Adjusted Estimates on August 9, 2018</w:t>
      </w:r>
      <w:bookmarkEnd w:id="107"/>
    </w:p>
    <w:p w14:paraId="413A88FB" w14:textId="79FE9657" w:rsidR="00C2155B" w:rsidRDefault="00C2155B" w:rsidP="007E0924">
      <w:r>
        <w:rPr>
          <w:noProof/>
        </w:rPr>
        <w:drawing>
          <wp:inline distT="0" distB="0" distL="0" distR="0" wp14:anchorId="36DA7EE4" wp14:editId="6485557A">
            <wp:extent cx="5486400" cy="3985895"/>
            <wp:effectExtent l="0" t="0" r="0" b="0"/>
            <wp:docPr id="7" name="Chart 7">
              <a:extLst xmlns:a="http://schemas.openxmlformats.org/drawingml/2006/main">
                <a:ext uri="{FF2B5EF4-FFF2-40B4-BE49-F238E27FC236}">
                  <a16:creationId xmlns:a16="http://schemas.microsoft.com/office/drawing/2014/main" id="{AA242F62-AF6D-41CC-A259-C237EEAAD3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6D3041" w14:textId="230AC531" w:rsidR="009F3D9C" w:rsidRDefault="009F3D9C" w:rsidP="007E0924"/>
    <w:p w14:paraId="5194AE1C" w14:textId="50783D88" w:rsidR="009C58FD" w:rsidRDefault="009C58FD" w:rsidP="007E0924"/>
    <w:p w14:paraId="71D14BF0" w14:textId="31A74A70" w:rsidR="00067D1E" w:rsidRDefault="00067D1E" w:rsidP="007E0924"/>
    <w:p w14:paraId="6C284F35" w14:textId="222D5811" w:rsidR="00554A35" w:rsidRDefault="00554A35" w:rsidP="007E0924"/>
    <w:p w14:paraId="60B0EE4D" w14:textId="4D40463E" w:rsidR="00554A35" w:rsidRDefault="00554A35" w:rsidP="007E0924"/>
    <w:p w14:paraId="214F69F8" w14:textId="35D39463" w:rsidR="007E0924" w:rsidRDefault="007E0924" w:rsidP="007E0924"/>
    <w:p w14:paraId="1DF49FCE" w14:textId="24C3108A" w:rsidR="007E0924" w:rsidRDefault="007E0924" w:rsidP="007E0924"/>
    <w:p w14:paraId="184A10A3" w14:textId="6A5E31AE" w:rsidR="00C734D6" w:rsidRDefault="00C734D6" w:rsidP="007E0924"/>
    <w:p w14:paraId="7F237905" w14:textId="585C17C8" w:rsidR="00F911F1" w:rsidRDefault="00F911F1" w:rsidP="00BC589E"/>
    <w:p w14:paraId="405BCC69" w14:textId="447936AD" w:rsidR="00FD4BEF" w:rsidRDefault="00FD4BEF" w:rsidP="00025EDD">
      <w:pPr>
        <w:spacing w:after="120"/>
        <w:rPr>
          <w:szCs w:val="32"/>
        </w:rPr>
      </w:pPr>
    </w:p>
    <w:p w14:paraId="7C97CEC9" w14:textId="54A21A31" w:rsidR="001E35F9" w:rsidRDefault="001E35F9" w:rsidP="001E35F9">
      <w:pPr>
        <w:pStyle w:val="TableCaption"/>
      </w:pPr>
      <w:bookmarkStart w:id="108" w:name="_Ref506901552"/>
      <w:bookmarkStart w:id="109" w:name="_Ref506901547"/>
      <w:bookmarkStart w:id="110" w:name="_Toc506907160"/>
      <w:bookmarkStart w:id="111" w:name="_Toc4578180"/>
      <w:r w:rsidRPr="00152889">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3</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5</w:t>
      </w:r>
      <w:r w:rsidR="005D5F52">
        <w:rPr>
          <w:noProof/>
        </w:rPr>
        <w:fldChar w:fldCharType="end"/>
      </w:r>
      <w:bookmarkEnd w:id="108"/>
      <w:r w:rsidRPr="00152889">
        <w:t xml:space="preserve">: </w:t>
      </w:r>
      <w:bookmarkEnd w:id="109"/>
      <w:bookmarkEnd w:id="110"/>
      <w:r w:rsidRPr="00152889">
        <w:t>Hourly Load Impacts and Uncertainty Adjusted Estimates on August 9, 2018</w:t>
      </w:r>
      <w:bookmarkEnd w:id="111"/>
    </w:p>
    <w:p w14:paraId="5A1C84EA" w14:textId="42A2DD85" w:rsidR="003A1013" w:rsidRDefault="003A1013" w:rsidP="00D54E05">
      <w:pPr>
        <w:jc w:val="center"/>
      </w:pPr>
      <w:r w:rsidRPr="003A1013">
        <w:rPr>
          <w:noProof/>
        </w:rPr>
        <w:drawing>
          <wp:inline distT="0" distB="0" distL="0" distR="0" wp14:anchorId="04E1F2D6" wp14:editId="16851400">
            <wp:extent cx="6010275" cy="47490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5671" cy="4761256"/>
                    </a:xfrm>
                    <a:prstGeom prst="rect">
                      <a:avLst/>
                    </a:prstGeom>
                    <a:noFill/>
                    <a:ln>
                      <a:noFill/>
                    </a:ln>
                  </pic:spPr>
                </pic:pic>
              </a:graphicData>
            </a:graphic>
          </wp:inline>
        </w:drawing>
      </w:r>
    </w:p>
    <w:p w14:paraId="19632C8A" w14:textId="1034F4FB" w:rsidR="00152889" w:rsidRDefault="00152889" w:rsidP="00A151A2"/>
    <w:p w14:paraId="366E6096" w14:textId="5C4DE241" w:rsidR="006D207D" w:rsidRDefault="00954AAF" w:rsidP="002E7153">
      <w:pPr>
        <w:pStyle w:val="Heading2"/>
      </w:pPr>
      <w:bookmarkStart w:id="112" w:name="_Toc4578158"/>
      <w:r>
        <w:t xml:space="preserve">Subgroup </w:t>
      </w:r>
      <w:r w:rsidR="00A2663D">
        <w:t>Load Impacts</w:t>
      </w:r>
      <w:bookmarkEnd w:id="112"/>
    </w:p>
    <w:p w14:paraId="631914BF" w14:textId="6AC602DD" w:rsidR="000A131B" w:rsidRDefault="006E321C" w:rsidP="00A04F42">
      <w:pPr>
        <w:spacing w:after="120"/>
        <w:rPr>
          <w:szCs w:val="32"/>
        </w:rPr>
      </w:pPr>
      <w:r>
        <w:rPr>
          <w:szCs w:val="32"/>
        </w:rPr>
        <w:t xml:space="preserve">This section summarizes how </w:t>
      </w:r>
      <w:r w:rsidR="00546AFB">
        <w:rPr>
          <w:szCs w:val="32"/>
        </w:rPr>
        <w:t>SmartAC™</w:t>
      </w:r>
      <w:r w:rsidR="008134AF">
        <w:rPr>
          <w:szCs w:val="32"/>
        </w:rPr>
        <w:t xml:space="preserve"> </w:t>
      </w:r>
      <w:r>
        <w:rPr>
          <w:szCs w:val="32"/>
        </w:rPr>
        <w:t>load impacts are distributed across subgroups of interest including</w:t>
      </w:r>
      <w:r w:rsidR="004F1EEC">
        <w:rPr>
          <w:szCs w:val="32"/>
        </w:rPr>
        <w:t>:</w:t>
      </w:r>
      <w:r>
        <w:rPr>
          <w:szCs w:val="32"/>
        </w:rPr>
        <w:t xml:space="preserve"> </w:t>
      </w:r>
      <w:r w:rsidR="008134AF" w:rsidRPr="008134AF">
        <w:rPr>
          <w:szCs w:val="32"/>
        </w:rPr>
        <w:t>CARE/non-CARE customers,</w:t>
      </w:r>
      <w:r w:rsidR="008134AF">
        <w:rPr>
          <w:szCs w:val="32"/>
        </w:rPr>
        <w:t xml:space="preserve"> </w:t>
      </w:r>
      <w:r w:rsidR="008134AF" w:rsidRPr="008134AF">
        <w:rPr>
          <w:szCs w:val="32"/>
        </w:rPr>
        <w:t>NEM</w:t>
      </w:r>
      <w:r w:rsidR="008134AF">
        <w:rPr>
          <w:szCs w:val="32"/>
        </w:rPr>
        <w:t>/non-NEM customers</w:t>
      </w:r>
      <w:r w:rsidR="008134AF" w:rsidRPr="008134AF">
        <w:rPr>
          <w:szCs w:val="32"/>
        </w:rPr>
        <w:t>, housing type, AC usage intensity, device type, customers with multiple devices, and by marketing cohort</w:t>
      </w:r>
      <w:r w:rsidRPr="007A00EE">
        <w:rPr>
          <w:szCs w:val="32"/>
        </w:rPr>
        <w:t xml:space="preserve">. </w:t>
      </w:r>
      <w:r w:rsidR="008134AF">
        <w:rPr>
          <w:szCs w:val="32"/>
        </w:rPr>
        <w:t xml:space="preserve">We also compare load impacts for customers who are only enrolled in </w:t>
      </w:r>
      <w:r w:rsidR="00546AFB">
        <w:rPr>
          <w:szCs w:val="32"/>
        </w:rPr>
        <w:t>SmartAC™</w:t>
      </w:r>
      <w:r w:rsidR="008134AF">
        <w:rPr>
          <w:szCs w:val="32"/>
        </w:rPr>
        <w:t xml:space="preserve"> to customers who are also enrolled in SmartRate</w:t>
      </w:r>
      <w:r w:rsidR="001566D4">
        <w:rPr>
          <w:rFonts w:cs="Calibri"/>
        </w:rPr>
        <w:t>™</w:t>
      </w:r>
      <w:r w:rsidR="008134AF">
        <w:rPr>
          <w:szCs w:val="32"/>
        </w:rPr>
        <w:t xml:space="preserve">. </w:t>
      </w:r>
      <w:r w:rsidR="001A75E2">
        <w:rPr>
          <w:szCs w:val="32"/>
        </w:rPr>
        <w:t>T</w:t>
      </w:r>
      <w:r w:rsidR="008134AF">
        <w:rPr>
          <w:szCs w:val="32"/>
        </w:rPr>
        <w:t>hese comparisons are based on average load impacts within each subgroup across a representative event hour, HE</w:t>
      </w:r>
      <w:r w:rsidR="007F1C38">
        <w:rPr>
          <w:szCs w:val="32"/>
        </w:rPr>
        <w:t xml:space="preserve"> </w:t>
      </w:r>
      <w:r w:rsidR="008134AF">
        <w:rPr>
          <w:szCs w:val="32"/>
        </w:rPr>
        <w:t>18 (5-6 p.m.), since there</w:t>
      </w:r>
      <w:r>
        <w:rPr>
          <w:szCs w:val="32"/>
        </w:rPr>
        <w:t xml:space="preserve"> </w:t>
      </w:r>
      <w:r w:rsidR="008134AF">
        <w:rPr>
          <w:szCs w:val="32"/>
        </w:rPr>
        <w:t>is no typical event</w:t>
      </w:r>
      <w:r w:rsidR="00C56B04">
        <w:rPr>
          <w:szCs w:val="32"/>
        </w:rPr>
        <w:t xml:space="preserve">. </w:t>
      </w:r>
      <w:r w:rsidR="007818E2">
        <w:rPr>
          <w:szCs w:val="32"/>
        </w:rPr>
        <w:t xml:space="preserve">Additional results for these subgroups, including the load profiles, can be found in </w:t>
      </w:r>
      <w:r w:rsidR="007818E2" w:rsidRPr="00822514">
        <w:t>electronic form in Protocol table generators provided along with this report</w:t>
      </w:r>
      <w:r w:rsidR="007818E2">
        <w:rPr>
          <w:szCs w:val="32"/>
        </w:rPr>
        <w:t>.</w:t>
      </w:r>
    </w:p>
    <w:p w14:paraId="0588A09E" w14:textId="598F0311" w:rsidR="00C56B04" w:rsidRPr="00C20017" w:rsidRDefault="00C56B04" w:rsidP="00A04F42">
      <w:pPr>
        <w:spacing w:after="120"/>
        <w:rPr>
          <w:szCs w:val="32"/>
        </w:rPr>
      </w:pPr>
      <w:r>
        <w:rPr>
          <w:szCs w:val="32"/>
        </w:rPr>
        <w:t xml:space="preserve">One </w:t>
      </w:r>
      <w:r w:rsidR="00DA7A9E">
        <w:rPr>
          <w:szCs w:val="32"/>
        </w:rPr>
        <w:t xml:space="preserve">factor to consider when </w:t>
      </w:r>
      <w:r>
        <w:rPr>
          <w:szCs w:val="32"/>
        </w:rPr>
        <w:t>making subgroup comparisons is that customers within a given subgroup may disproportionately reside within certain sub-LAPs.</w:t>
      </w:r>
      <w:r w:rsidR="000A131B">
        <w:rPr>
          <w:szCs w:val="32"/>
        </w:rPr>
        <w:t xml:space="preserve"> </w:t>
      </w:r>
      <w:r w:rsidR="001A75E2">
        <w:rPr>
          <w:szCs w:val="32"/>
        </w:rPr>
        <w:t>For example, CARE customers tend to live in hotter locations and therefore have more AC load to curtail</w:t>
      </w:r>
      <w:r w:rsidR="004B1351">
        <w:rPr>
          <w:szCs w:val="32"/>
        </w:rPr>
        <w:t xml:space="preserve"> than non-CARE customers. Thus</w:t>
      </w:r>
      <w:r w:rsidR="0064359C">
        <w:rPr>
          <w:szCs w:val="32"/>
        </w:rPr>
        <w:t>,</w:t>
      </w:r>
      <w:r w:rsidR="004B1351">
        <w:rPr>
          <w:szCs w:val="32"/>
        </w:rPr>
        <w:t xml:space="preserve"> a finding that CARE customers have higher load impacts may not reflect a behavioral difference </w:t>
      </w:r>
      <w:r w:rsidR="00DA7A9E">
        <w:rPr>
          <w:szCs w:val="32"/>
        </w:rPr>
        <w:t xml:space="preserve">from non-CARE customers </w:t>
      </w:r>
      <w:r w:rsidR="004B1351">
        <w:rPr>
          <w:szCs w:val="32"/>
        </w:rPr>
        <w:t xml:space="preserve">as much as a difference in circumstances. </w:t>
      </w:r>
    </w:p>
    <w:p w14:paraId="71307278" w14:textId="7751C8C2" w:rsidR="002328BF" w:rsidRDefault="00BD57B0" w:rsidP="00A04F42">
      <w:pPr>
        <w:spacing w:after="120"/>
        <w:rPr>
          <w:szCs w:val="32"/>
        </w:rPr>
      </w:pPr>
      <w:r w:rsidRPr="00C20017">
        <w:rPr>
          <w:szCs w:val="32"/>
        </w:rPr>
        <w:t xml:space="preserve">The </w:t>
      </w:r>
      <w:r w:rsidRPr="00C20017">
        <w:rPr>
          <w:i/>
          <w:szCs w:val="32"/>
        </w:rPr>
        <w:t>ex-post</w:t>
      </w:r>
      <w:r w:rsidRPr="00C20017">
        <w:rPr>
          <w:szCs w:val="32"/>
        </w:rPr>
        <w:t xml:space="preserve"> load impacts </w:t>
      </w:r>
      <w:r w:rsidR="00D33ACC" w:rsidRPr="00C20017">
        <w:rPr>
          <w:szCs w:val="32"/>
        </w:rPr>
        <w:t xml:space="preserve">during HE 18 (5-6 p.m.) across all events </w:t>
      </w:r>
      <w:r w:rsidR="00DA7A9E">
        <w:rPr>
          <w:szCs w:val="32"/>
        </w:rPr>
        <w:t xml:space="preserve">in which that hour was called </w:t>
      </w:r>
      <w:r w:rsidRPr="00C20017">
        <w:rPr>
          <w:szCs w:val="32"/>
        </w:rPr>
        <w:t>are summarized for</w:t>
      </w:r>
      <w:r w:rsidR="00D33ACC" w:rsidRPr="00C20017">
        <w:rPr>
          <w:szCs w:val="32"/>
        </w:rPr>
        <w:t xml:space="preserve"> each subgroup of interest in</w:t>
      </w:r>
      <w:r w:rsidRPr="00C20017">
        <w:rPr>
          <w:szCs w:val="32"/>
        </w:rPr>
        <w:t xml:space="preserve"> </w:t>
      </w:r>
      <w:r w:rsidRPr="00C20017">
        <w:rPr>
          <w:szCs w:val="32"/>
        </w:rPr>
        <w:fldChar w:fldCharType="begin"/>
      </w:r>
      <w:r w:rsidRPr="00C20017">
        <w:rPr>
          <w:szCs w:val="32"/>
        </w:rPr>
        <w:instrText xml:space="preserve"> REF _Ref506910369 \h </w:instrText>
      </w:r>
      <w:r w:rsidR="00FE5990" w:rsidRPr="00C20017">
        <w:rPr>
          <w:szCs w:val="32"/>
        </w:rPr>
        <w:instrText xml:space="preserve"> \* MERGEFORMAT </w:instrText>
      </w:r>
      <w:r w:rsidRPr="00C20017">
        <w:rPr>
          <w:szCs w:val="32"/>
        </w:rPr>
      </w:r>
      <w:r w:rsidRPr="00C20017">
        <w:rPr>
          <w:szCs w:val="32"/>
        </w:rPr>
        <w:fldChar w:fldCharType="separate"/>
      </w:r>
      <w:r w:rsidR="00445DF3" w:rsidRPr="00C20017">
        <w:t xml:space="preserve">Figure </w:t>
      </w:r>
      <w:r w:rsidR="00445DF3">
        <w:rPr>
          <w:noProof/>
        </w:rPr>
        <w:t>3</w:t>
      </w:r>
      <w:r w:rsidR="00445DF3">
        <w:rPr>
          <w:noProof/>
        </w:rPr>
        <w:noBreakHyphen/>
        <w:t>6</w:t>
      </w:r>
      <w:r w:rsidRPr="00C20017">
        <w:rPr>
          <w:szCs w:val="32"/>
        </w:rPr>
        <w:fldChar w:fldCharType="end"/>
      </w:r>
      <w:r w:rsidRPr="00C20017">
        <w:rPr>
          <w:szCs w:val="32"/>
        </w:rPr>
        <w:t>.</w:t>
      </w:r>
      <w:r w:rsidR="00C20017" w:rsidRPr="00C20017">
        <w:rPr>
          <w:szCs w:val="32"/>
        </w:rPr>
        <w:t xml:space="preserve"> These results exclude PGKN due to </w:t>
      </w:r>
      <w:r w:rsidR="00B25A26">
        <w:rPr>
          <w:szCs w:val="32"/>
        </w:rPr>
        <w:t xml:space="preserve">the </w:t>
      </w:r>
      <w:r w:rsidR="00C20017" w:rsidRPr="00C20017">
        <w:rPr>
          <w:szCs w:val="32"/>
        </w:rPr>
        <w:t xml:space="preserve">previously described issue with dispatching this sub-LAP during 2018. </w:t>
      </w:r>
      <w:r w:rsidR="002328BF" w:rsidRPr="00C20017">
        <w:rPr>
          <w:szCs w:val="32"/>
        </w:rPr>
        <w:t>The blue bars indicate the magnitude of the average per customer load impact (in kWh/customer/hour) within each subgroup. The green bands correspond to 80 percent confidence intervals around these estimates. The orange line represents the average temperatures experienced by the customers in each subgroup during HE 18 across all events that include HE 18.</w:t>
      </w:r>
    </w:p>
    <w:p w14:paraId="6A6AA432" w14:textId="7B183814" w:rsidR="009B0A71" w:rsidRPr="00BF26BB" w:rsidRDefault="009B0A71" w:rsidP="003866F6">
      <w:pPr>
        <w:spacing w:after="120"/>
        <w:rPr>
          <w:b/>
          <w:i/>
          <w:szCs w:val="32"/>
        </w:rPr>
      </w:pPr>
      <w:r w:rsidRPr="00BF26BB">
        <w:rPr>
          <w:b/>
          <w:i/>
          <w:szCs w:val="32"/>
        </w:rPr>
        <w:t>Most sub-group comparisons are consistent with PY2017 results</w:t>
      </w:r>
    </w:p>
    <w:p w14:paraId="0D521169" w14:textId="0F7E037A" w:rsidR="00970A33" w:rsidRDefault="003866F6" w:rsidP="003866F6">
      <w:pPr>
        <w:spacing w:after="120"/>
        <w:rPr>
          <w:szCs w:val="32"/>
        </w:rPr>
      </w:pPr>
      <w:r w:rsidRPr="00C20017">
        <w:rPr>
          <w:szCs w:val="32"/>
        </w:rPr>
        <w:t xml:space="preserve">There are statistically significant load impacts for every subgroup except for </w:t>
      </w:r>
      <w:r w:rsidR="00B25A26">
        <w:rPr>
          <w:szCs w:val="32"/>
        </w:rPr>
        <w:t xml:space="preserve">customers with </w:t>
      </w:r>
      <w:r w:rsidRPr="00C20017">
        <w:rPr>
          <w:szCs w:val="32"/>
        </w:rPr>
        <w:t xml:space="preserve">ExpressStat devices. The pattern of load impacts is largely similar to </w:t>
      </w:r>
      <w:r w:rsidR="00D214FE">
        <w:rPr>
          <w:szCs w:val="32"/>
        </w:rPr>
        <w:t xml:space="preserve">subgroup comparisons </w:t>
      </w:r>
      <w:r w:rsidRPr="00C20017">
        <w:rPr>
          <w:szCs w:val="32"/>
        </w:rPr>
        <w:t xml:space="preserve">from the </w:t>
      </w:r>
      <w:r w:rsidR="00B25A26">
        <w:rPr>
          <w:szCs w:val="32"/>
        </w:rPr>
        <w:t>PY2017</w:t>
      </w:r>
      <w:r w:rsidRPr="00C20017">
        <w:rPr>
          <w:szCs w:val="32"/>
        </w:rPr>
        <w:t xml:space="preserve"> report</w:t>
      </w:r>
      <w:r>
        <w:rPr>
          <w:szCs w:val="32"/>
        </w:rPr>
        <w:t>, which were based on serial event</w:t>
      </w:r>
      <w:r w:rsidR="00D214FE">
        <w:rPr>
          <w:szCs w:val="32"/>
        </w:rPr>
        <w:t>s</w:t>
      </w:r>
      <w:r w:rsidR="00970A33">
        <w:rPr>
          <w:szCs w:val="32"/>
        </w:rPr>
        <w:t xml:space="preserve">, </w:t>
      </w:r>
      <w:r w:rsidR="00BF64EE">
        <w:rPr>
          <w:szCs w:val="32"/>
        </w:rPr>
        <w:t>including the following</w:t>
      </w:r>
      <w:r w:rsidR="00970A33">
        <w:rPr>
          <w:szCs w:val="32"/>
        </w:rPr>
        <w:t>:</w:t>
      </w:r>
    </w:p>
    <w:p w14:paraId="209A038B" w14:textId="3C698054" w:rsidR="00970A33" w:rsidRPr="004C54C7" w:rsidRDefault="00546AFB" w:rsidP="00970A33">
      <w:pPr>
        <w:pStyle w:val="ListParagraph"/>
        <w:numPr>
          <w:ilvl w:val="0"/>
          <w:numId w:val="11"/>
        </w:numPr>
        <w:spacing w:after="120"/>
        <w:rPr>
          <w:rFonts w:asciiTheme="minorHAnsi" w:hAnsiTheme="minorHAnsi" w:cstheme="minorHAnsi"/>
          <w:szCs w:val="32"/>
        </w:rPr>
      </w:pPr>
      <w:r>
        <w:rPr>
          <w:rFonts w:asciiTheme="minorHAnsi" w:hAnsiTheme="minorHAnsi" w:cstheme="minorHAnsi"/>
          <w:szCs w:val="32"/>
        </w:rPr>
        <w:t>SmartAC™</w:t>
      </w:r>
      <w:r w:rsidR="00B25A26" w:rsidRPr="004C54C7">
        <w:rPr>
          <w:rFonts w:asciiTheme="minorHAnsi" w:hAnsiTheme="minorHAnsi" w:cstheme="minorHAnsi"/>
          <w:szCs w:val="32"/>
        </w:rPr>
        <w:t>-</w:t>
      </w:r>
      <w:r w:rsidR="003866F6" w:rsidRPr="004C54C7">
        <w:rPr>
          <w:rFonts w:asciiTheme="minorHAnsi" w:hAnsiTheme="minorHAnsi" w:cstheme="minorHAnsi"/>
          <w:szCs w:val="32"/>
        </w:rPr>
        <w:t xml:space="preserve">only customers have significantly higher load impacts than dually enrolled customers. </w:t>
      </w:r>
    </w:p>
    <w:p w14:paraId="7DFA40AE" w14:textId="171B7871" w:rsidR="00970A33" w:rsidRPr="004C54C7" w:rsidRDefault="003866F6" w:rsidP="00970A33">
      <w:pPr>
        <w:pStyle w:val="ListParagraph"/>
        <w:numPr>
          <w:ilvl w:val="0"/>
          <w:numId w:val="11"/>
        </w:numPr>
        <w:spacing w:after="120"/>
        <w:rPr>
          <w:rFonts w:asciiTheme="minorHAnsi" w:hAnsiTheme="minorHAnsi" w:cstheme="minorHAnsi"/>
          <w:szCs w:val="32"/>
        </w:rPr>
      </w:pPr>
      <w:r w:rsidRPr="004C54C7">
        <w:rPr>
          <w:rFonts w:asciiTheme="minorHAnsi" w:hAnsiTheme="minorHAnsi" w:cstheme="minorHAnsi"/>
          <w:szCs w:val="32"/>
        </w:rPr>
        <w:t xml:space="preserve">Customers enrolled in </w:t>
      </w:r>
      <w:r w:rsidR="00546AFB">
        <w:rPr>
          <w:rFonts w:asciiTheme="minorHAnsi" w:hAnsiTheme="minorHAnsi" w:cstheme="minorHAnsi"/>
          <w:szCs w:val="32"/>
        </w:rPr>
        <w:t>SmartAC™</w:t>
      </w:r>
      <w:r w:rsidRPr="004C54C7">
        <w:rPr>
          <w:rFonts w:asciiTheme="minorHAnsi" w:hAnsiTheme="minorHAnsi" w:cstheme="minorHAnsi"/>
          <w:szCs w:val="32"/>
        </w:rPr>
        <w:t xml:space="preserve"> after 2014 </w:t>
      </w:r>
      <w:r w:rsidR="00B25A26" w:rsidRPr="004C54C7">
        <w:rPr>
          <w:rFonts w:asciiTheme="minorHAnsi" w:hAnsiTheme="minorHAnsi" w:cstheme="minorHAnsi"/>
          <w:szCs w:val="32"/>
        </w:rPr>
        <w:t xml:space="preserve">(when PG&amp;E’s </w:t>
      </w:r>
      <w:r w:rsidR="00546AFB">
        <w:rPr>
          <w:rFonts w:asciiTheme="minorHAnsi" w:hAnsiTheme="minorHAnsi" w:cstheme="minorHAnsi"/>
          <w:szCs w:val="32"/>
        </w:rPr>
        <w:t>SmartAC™</w:t>
      </w:r>
      <w:r w:rsidR="00B25A26" w:rsidRPr="004C54C7">
        <w:rPr>
          <w:rFonts w:asciiTheme="minorHAnsi" w:hAnsiTheme="minorHAnsi" w:cstheme="minorHAnsi"/>
          <w:szCs w:val="32"/>
        </w:rPr>
        <w:t xml:space="preserve"> marketing methods changed) </w:t>
      </w:r>
      <w:r w:rsidRPr="004C54C7">
        <w:rPr>
          <w:rFonts w:asciiTheme="minorHAnsi" w:hAnsiTheme="minorHAnsi" w:cstheme="minorHAnsi"/>
          <w:szCs w:val="32"/>
        </w:rPr>
        <w:t xml:space="preserve">have substantially higher load impacts than customers enrolled earlier. </w:t>
      </w:r>
    </w:p>
    <w:p w14:paraId="31276C75" w14:textId="77777777" w:rsidR="00970A33" w:rsidRPr="004C54C7" w:rsidRDefault="003866F6" w:rsidP="00970A33">
      <w:pPr>
        <w:pStyle w:val="ListParagraph"/>
        <w:numPr>
          <w:ilvl w:val="0"/>
          <w:numId w:val="11"/>
        </w:numPr>
        <w:spacing w:after="120"/>
        <w:rPr>
          <w:rFonts w:asciiTheme="minorHAnsi" w:hAnsiTheme="minorHAnsi" w:cstheme="minorHAnsi"/>
          <w:szCs w:val="32"/>
        </w:rPr>
      </w:pPr>
      <w:r w:rsidRPr="004C54C7">
        <w:rPr>
          <w:rFonts w:asciiTheme="minorHAnsi" w:hAnsiTheme="minorHAnsi" w:cstheme="minorHAnsi"/>
          <w:szCs w:val="32"/>
        </w:rPr>
        <w:t>Single</w:t>
      </w:r>
      <w:r w:rsidR="00B25A26" w:rsidRPr="004C54C7">
        <w:rPr>
          <w:rFonts w:asciiTheme="minorHAnsi" w:hAnsiTheme="minorHAnsi" w:cstheme="minorHAnsi"/>
          <w:szCs w:val="32"/>
        </w:rPr>
        <w:t>-</w:t>
      </w:r>
      <w:r w:rsidRPr="004C54C7">
        <w:rPr>
          <w:rFonts w:asciiTheme="minorHAnsi" w:hAnsiTheme="minorHAnsi" w:cstheme="minorHAnsi"/>
          <w:szCs w:val="32"/>
        </w:rPr>
        <w:t>device residences have significantly higher load impacts than multiple</w:t>
      </w:r>
      <w:r w:rsidR="00B25A26" w:rsidRPr="004C54C7">
        <w:rPr>
          <w:rFonts w:asciiTheme="minorHAnsi" w:hAnsiTheme="minorHAnsi" w:cstheme="minorHAnsi"/>
          <w:szCs w:val="32"/>
        </w:rPr>
        <w:t>-</w:t>
      </w:r>
      <w:r w:rsidRPr="004C54C7">
        <w:rPr>
          <w:rFonts w:asciiTheme="minorHAnsi" w:hAnsiTheme="minorHAnsi" w:cstheme="minorHAnsi"/>
          <w:szCs w:val="32"/>
        </w:rPr>
        <w:t xml:space="preserve">device residences. </w:t>
      </w:r>
    </w:p>
    <w:p w14:paraId="528EF556" w14:textId="430162F9" w:rsidR="003866F6" w:rsidRPr="004C54C7" w:rsidRDefault="003866F6" w:rsidP="004C54C7">
      <w:pPr>
        <w:pStyle w:val="ListParagraph"/>
        <w:numPr>
          <w:ilvl w:val="0"/>
          <w:numId w:val="11"/>
        </w:numPr>
        <w:spacing w:after="120"/>
        <w:rPr>
          <w:rFonts w:asciiTheme="minorHAnsi" w:hAnsiTheme="minorHAnsi" w:cstheme="minorHAnsi"/>
          <w:szCs w:val="32"/>
        </w:rPr>
      </w:pPr>
      <w:r w:rsidRPr="004C54C7">
        <w:rPr>
          <w:rFonts w:asciiTheme="minorHAnsi" w:hAnsiTheme="minorHAnsi" w:cstheme="minorHAnsi"/>
          <w:szCs w:val="32"/>
        </w:rPr>
        <w:t>The device</w:t>
      </w:r>
      <w:r w:rsidR="00B25A26" w:rsidRPr="004C54C7">
        <w:rPr>
          <w:rFonts w:asciiTheme="minorHAnsi" w:hAnsiTheme="minorHAnsi" w:cstheme="minorHAnsi"/>
          <w:szCs w:val="32"/>
        </w:rPr>
        <w:t>-</w:t>
      </w:r>
      <w:r w:rsidRPr="004C54C7">
        <w:rPr>
          <w:rFonts w:asciiTheme="minorHAnsi" w:hAnsiTheme="minorHAnsi" w:cstheme="minorHAnsi"/>
          <w:szCs w:val="32"/>
        </w:rPr>
        <w:t>type results are also similar, with the thermostats (</w:t>
      </w:r>
      <w:r w:rsidRPr="004C54C7">
        <w:rPr>
          <w:rFonts w:asciiTheme="minorHAnsi" w:hAnsiTheme="minorHAnsi" w:cstheme="minorHAnsi"/>
          <w:i/>
          <w:szCs w:val="32"/>
        </w:rPr>
        <w:t>i.e.</w:t>
      </w:r>
      <w:r w:rsidR="008E5119" w:rsidRPr="004C54C7">
        <w:rPr>
          <w:rFonts w:asciiTheme="minorHAnsi" w:hAnsiTheme="minorHAnsi" w:cstheme="minorHAnsi"/>
          <w:szCs w:val="32"/>
        </w:rPr>
        <w:t>,</w:t>
      </w:r>
      <w:r w:rsidRPr="004C54C7">
        <w:rPr>
          <w:rFonts w:asciiTheme="minorHAnsi" w:hAnsiTheme="minorHAnsi" w:cstheme="minorHAnsi"/>
          <w:szCs w:val="32"/>
        </w:rPr>
        <w:t xml:space="preserve"> ExpressStat and UtilityPro) performing more poorly than the Gen 1 or Gen 2 switches. Moreover, UtilityPro </w:t>
      </w:r>
      <w:r w:rsidR="00B25A26" w:rsidRPr="004C54C7">
        <w:rPr>
          <w:rFonts w:asciiTheme="minorHAnsi" w:hAnsiTheme="minorHAnsi" w:cstheme="minorHAnsi"/>
          <w:szCs w:val="32"/>
        </w:rPr>
        <w:t xml:space="preserve">devices </w:t>
      </w:r>
      <w:r w:rsidRPr="004C54C7">
        <w:rPr>
          <w:rFonts w:asciiTheme="minorHAnsi" w:hAnsiTheme="minorHAnsi" w:cstheme="minorHAnsi"/>
          <w:szCs w:val="32"/>
        </w:rPr>
        <w:t>lead to significant load im</w:t>
      </w:r>
      <w:r w:rsidR="00D214FE" w:rsidRPr="004C54C7">
        <w:rPr>
          <w:rFonts w:asciiTheme="minorHAnsi" w:hAnsiTheme="minorHAnsi" w:cstheme="minorHAnsi"/>
          <w:szCs w:val="32"/>
        </w:rPr>
        <w:t>p</w:t>
      </w:r>
      <w:r w:rsidRPr="004C54C7">
        <w:rPr>
          <w:rFonts w:asciiTheme="minorHAnsi" w:hAnsiTheme="minorHAnsi" w:cstheme="minorHAnsi"/>
          <w:szCs w:val="32"/>
        </w:rPr>
        <w:t xml:space="preserve">acts, while ExpressStat </w:t>
      </w:r>
      <w:r w:rsidR="00B25A26" w:rsidRPr="004C54C7">
        <w:rPr>
          <w:rFonts w:asciiTheme="minorHAnsi" w:hAnsiTheme="minorHAnsi" w:cstheme="minorHAnsi"/>
          <w:szCs w:val="32"/>
        </w:rPr>
        <w:t xml:space="preserve">devices </w:t>
      </w:r>
      <w:r w:rsidRPr="004C54C7">
        <w:rPr>
          <w:rFonts w:asciiTheme="minorHAnsi" w:hAnsiTheme="minorHAnsi" w:cstheme="minorHAnsi"/>
          <w:szCs w:val="32"/>
        </w:rPr>
        <w:t>do not; and the Gen 2 switches lead to significantly higher load impacts compared to the Gen 1 switches.</w:t>
      </w:r>
    </w:p>
    <w:p w14:paraId="1DD4178D" w14:textId="7C067BF8" w:rsidR="009B0A71" w:rsidRPr="0064016C" w:rsidRDefault="009B0A71" w:rsidP="0020581B">
      <w:pPr>
        <w:spacing w:after="120"/>
        <w:rPr>
          <w:b/>
          <w:i/>
          <w:szCs w:val="32"/>
        </w:rPr>
      </w:pPr>
      <w:r w:rsidRPr="0064016C">
        <w:rPr>
          <w:b/>
          <w:i/>
          <w:szCs w:val="32"/>
        </w:rPr>
        <w:t>CARE and NEM comparisons differ from PY2017 results</w:t>
      </w:r>
    </w:p>
    <w:p w14:paraId="5CAF1A10" w14:textId="6B2C4EB3" w:rsidR="0020581B" w:rsidRDefault="0020581B" w:rsidP="0020581B">
      <w:pPr>
        <w:spacing w:after="120"/>
        <w:rPr>
          <w:szCs w:val="32"/>
        </w:rPr>
      </w:pPr>
      <w:r w:rsidRPr="0020581B">
        <w:rPr>
          <w:szCs w:val="32"/>
        </w:rPr>
        <w:t xml:space="preserve">Some results that differ from those presented in the </w:t>
      </w:r>
      <w:r w:rsidR="00B25A26">
        <w:rPr>
          <w:szCs w:val="32"/>
        </w:rPr>
        <w:t>PY2017</w:t>
      </w:r>
      <w:r w:rsidRPr="0020581B">
        <w:rPr>
          <w:szCs w:val="32"/>
        </w:rPr>
        <w:t xml:space="preserve"> report include the CARE and NEM results, which were not significantly different in </w:t>
      </w:r>
      <w:r w:rsidR="00B25A26">
        <w:rPr>
          <w:szCs w:val="32"/>
        </w:rPr>
        <w:t>PY2017</w:t>
      </w:r>
      <w:r w:rsidRPr="0020581B">
        <w:rPr>
          <w:szCs w:val="32"/>
        </w:rPr>
        <w:t xml:space="preserve">. Our results suggest that CARE customers have significantly higher load impacts than non-CARE customers and NEM customers have substantially </w:t>
      </w:r>
      <w:r>
        <w:rPr>
          <w:szCs w:val="32"/>
        </w:rPr>
        <w:t>lower</w:t>
      </w:r>
      <w:r w:rsidRPr="0020581B">
        <w:rPr>
          <w:szCs w:val="32"/>
        </w:rPr>
        <w:t xml:space="preserve"> load impacts than non-NEM customers. </w:t>
      </w:r>
      <w:r w:rsidR="00ED6AE6">
        <w:rPr>
          <w:szCs w:val="32"/>
        </w:rPr>
        <w:t xml:space="preserve">Once again, these differences could </w:t>
      </w:r>
      <w:r w:rsidR="00DC413B">
        <w:rPr>
          <w:szCs w:val="32"/>
        </w:rPr>
        <w:t>reflect differences in customer circumstances rather than behavioral differences</w:t>
      </w:r>
      <w:r w:rsidR="00ED6AE6">
        <w:rPr>
          <w:szCs w:val="32"/>
        </w:rPr>
        <w:t>.</w:t>
      </w:r>
    </w:p>
    <w:p w14:paraId="3726E5CC" w14:textId="0DF7948A" w:rsidR="009B0A71" w:rsidRPr="009B0A71" w:rsidRDefault="00BF26BB" w:rsidP="0020581B">
      <w:pPr>
        <w:spacing w:after="120"/>
        <w:rPr>
          <w:b/>
          <w:i/>
          <w:szCs w:val="32"/>
        </w:rPr>
      </w:pPr>
      <w:r>
        <w:rPr>
          <w:b/>
          <w:i/>
          <w:szCs w:val="32"/>
        </w:rPr>
        <w:t>Different h</w:t>
      </w:r>
      <w:r w:rsidR="009B0A71" w:rsidRPr="009B0A71">
        <w:rPr>
          <w:b/>
          <w:i/>
          <w:szCs w:val="32"/>
        </w:rPr>
        <w:t>ousing</w:t>
      </w:r>
      <w:r>
        <w:rPr>
          <w:b/>
          <w:i/>
          <w:szCs w:val="32"/>
        </w:rPr>
        <w:t xml:space="preserve"> types</w:t>
      </w:r>
      <w:r w:rsidR="009B0A71" w:rsidRPr="009B0A71">
        <w:rPr>
          <w:b/>
          <w:i/>
          <w:szCs w:val="32"/>
        </w:rPr>
        <w:t xml:space="preserve"> do not </w:t>
      </w:r>
      <w:r>
        <w:rPr>
          <w:b/>
          <w:i/>
          <w:szCs w:val="32"/>
        </w:rPr>
        <w:t xml:space="preserve">have </w:t>
      </w:r>
      <w:r w:rsidR="009B0A71" w:rsidRPr="009B0A71">
        <w:rPr>
          <w:b/>
          <w:i/>
          <w:szCs w:val="32"/>
        </w:rPr>
        <w:t xml:space="preserve">statistically different </w:t>
      </w:r>
      <w:r w:rsidR="009B0A71">
        <w:rPr>
          <w:b/>
          <w:i/>
          <w:szCs w:val="32"/>
        </w:rPr>
        <w:t>load impacts</w:t>
      </w:r>
      <w:r w:rsidR="009B0A71" w:rsidRPr="009B0A71">
        <w:rPr>
          <w:b/>
          <w:i/>
          <w:szCs w:val="32"/>
        </w:rPr>
        <w:t xml:space="preserve"> </w:t>
      </w:r>
    </w:p>
    <w:p w14:paraId="42B20943" w14:textId="4F1FDE75" w:rsidR="007D2484" w:rsidRDefault="0020581B" w:rsidP="0020581B">
      <w:pPr>
        <w:spacing w:after="120"/>
        <w:rPr>
          <w:szCs w:val="32"/>
        </w:rPr>
      </w:pPr>
      <w:r>
        <w:rPr>
          <w:szCs w:val="32"/>
        </w:rPr>
        <w:t xml:space="preserve">The housing </w:t>
      </w:r>
      <w:r w:rsidRPr="0020581B">
        <w:rPr>
          <w:szCs w:val="32"/>
        </w:rPr>
        <w:t xml:space="preserve">type comparisons are not </w:t>
      </w:r>
      <w:r>
        <w:rPr>
          <w:szCs w:val="32"/>
        </w:rPr>
        <w:t xml:space="preserve">comparable to previous analyses. In the </w:t>
      </w:r>
      <w:r w:rsidR="00C61A38">
        <w:rPr>
          <w:szCs w:val="32"/>
        </w:rPr>
        <w:t>PY2017</w:t>
      </w:r>
      <w:r>
        <w:rPr>
          <w:szCs w:val="32"/>
        </w:rPr>
        <w:t xml:space="preserve"> report, </w:t>
      </w:r>
      <w:r w:rsidRPr="0020581B">
        <w:rPr>
          <w:szCs w:val="32"/>
        </w:rPr>
        <w:t>customers</w:t>
      </w:r>
      <w:r>
        <w:rPr>
          <w:szCs w:val="32"/>
        </w:rPr>
        <w:t xml:space="preserve"> were classified</w:t>
      </w:r>
      <w:r w:rsidRPr="0020581B">
        <w:rPr>
          <w:szCs w:val="32"/>
        </w:rPr>
        <w:t xml:space="preserve"> into single-family and multi-family dwellings</w:t>
      </w:r>
      <w:r>
        <w:rPr>
          <w:szCs w:val="32"/>
        </w:rPr>
        <w:t xml:space="preserve"> based on</w:t>
      </w:r>
      <w:r w:rsidR="00ED6AE6">
        <w:rPr>
          <w:szCs w:val="32"/>
        </w:rPr>
        <w:t xml:space="preserve"> key words in the physical service</w:t>
      </w:r>
      <w:r>
        <w:rPr>
          <w:szCs w:val="32"/>
        </w:rPr>
        <w:t xml:space="preserve"> address</w:t>
      </w:r>
      <w:r w:rsidRPr="0020581B">
        <w:rPr>
          <w:szCs w:val="32"/>
        </w:rPr>
        <w:t>.</w:t>
      </w:r>
      <w:r w:rsidR="00C61A38">
        <w:rPr>
          <w:szCs w:val="32"/>
        </w:rPr>
        <w:t xml:space="preserve"> In contrast, w</w:t>
      </w:r>
      <w:r>
        <w:rPr>
          <w:szCs w:val="32"/>
        </w:rPr>
        <w:t xml:space="preserve">e are using categories provided by PG&amp;E, which include </w:t>
      </w:r>
      <w:r w:rsidRPr="0020581B">
        <w:rPr>
          <w:szCs w:val="32"/>
        </w:rPr>
        <w:t xml:space="preserve">detached residences, </w:t>
      </w:r>
      <w:r>
        <w:rPr>
          <w:szCs w:val="32"/>
        </w:rPr>
        <w:t xml:space="preserve">shared wall residences, and common area. There are very few </w:t>
      </w:r>
      <w:r w:rsidR="00546AFB">
        <w:rPr>
          <w:szCs w:val="32"/>
        </w:rPr>
        <w:t>SmartAC™</w:t>
      </w:r>
      <w:r>
        <w:rPr>
          <w:szCs w:val="32"/>
        </w:rPr>
        <w:t xml:space="preserve"> customers classified as common area, which prevents </w:t>
      </w:r>
      <w:r w:rsidR="007A56CA">
        <w:rPr>
          <w:szCs w:val="32"/>
        </w:rPr>
        <w:t xml:space="preserve">the reliable estimation of </w:t>
      </w:r>
      <w:r>
        <w:rPr>
          <w:szCs w:val="32"/>
        </w:rPr>
        <w:t xml:space="preserve">results for this subgroup. Detached residences have slightly higher load impacts than shared wall residences, which is qualitatively the same as the </w:t>
      </w:r>
      <w:r w:rsidR="00E16902">
        <w:rPr>
          <w:szCs w:val="32"/>
        </w:rPr>
        <w:t>single-family</w:t>
      </w:r>
      <w:r>
        <w:rPr>
          <w:szCs w:val="32"/>
        </w:rPr>
        <w:t xml:space="preserve"> results compared to the multi</w:t>
      </w:r>
      <w:r w:rsidR="00E16902">
        <w:rPr>
          <w:szCs w:val="32"/>
        </w:rPr>
        <w:t xml:space="preserve">-family residence results in the </w:t>
      </w:r>
      <w:r w:rsidR="007A56CA">
        <w:rPr>
          <w:szCs w:val="32"/>
        </w:rPr>
        <w:t>PY2017</w:t>
      </w:r>
      <w:r w:rsidR="00E16902">
        <w:rPr>
          <w:szCs w:val="32"/>
        </w:rPr>
        <w:t xml:space="preserve"> report</w:t>
      </w:r>
      <w:r>
        <w:rPr>
          <w:szCs w:val="32"/>
        </w:rPr>
        <w:t>.</w:t>
      </w:r>
      <w:r w:rsidRPr="0020581B">
        <w:rPr>
          <w:szCs w:val="32"/>
        </w:rPr>
        <w:t xml:space="preserve"> However, </w:t>
      </w:r>
      <w:r w:rsidR="00E16902">
        <w:rPr>
          <w:szCs w:val="32"/>
        </w:rPr>
        <w:t>the differences between these two groups, while significant, is much less stark than previously reported, suggesting that these categories</w:t>
      </w:r>
      <w:r w:rsidR="00ED6AE6">
        <w:rPr>
          <w:szCs w:val="32"/>
        </w:rPr>
        <w:t xml:space="preserve"> are only</w:t>
      </w:r>
      <w:r w:rsidR="00E16902">
        <w:rPr>
          <w:szCs w:val="32"/>
        </w:rPr>
        <w:t xml:space="preserve"> rough proxies for the categories used previously.</w:t>
      </w:r>
    </w:p>
    <w:p w14:paraId="1F06F36F" w14:textId="124A376F" w:rsidR="00BF6234" w:rsidRPr="00C20017" w:rsidRDefault="00BF6234" w:rsidP="00A04F42">
      <w:pPr>
        <w:pStyle w:val="FigureCaption"/>
        <w:rPr>
          <w:i/>
        </w:rPr>
      </w:pPr>
      <w:bookmarkStart w:id="113" w:name="_Ref506910369"/>
      <w:bookmarkStart w:id="114" w:name="_Toc4578199"/>
      <w:r w:rsidRPr="00C20017">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3</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6</w:t>
      </w:r>
      <w:r w:rsidR="00002E97">
        <w:rPr>
          <w:noProof/>
        </w:rPr>
        <w:fldChar w:fldCharType="end"/>
      </w:r>
      <w:bookmarkEnd w:id="113"/>
      <w:r w:rsidRPr="00C20017">
        <w:t>: Average H</w:t>
      </w:r>
      <w:r w:rsidR="005C211C" w:rsidRPr="00C20017">
        <w:t>E 18 (5-6 p.m.)</w:t>
      </w:r>
      <w:r w:rsidRPr="00C20017">
        <w:t xml:space="preserve"> Load Impacts by </w:t>
      </w:r>
      <w:r w:rsidR="005C211C" w:rsidRPr="00C20017">
        <w:t>Subgroup</w:t>
      </w:r>
      <w:bookmarkEnd w:id="114"/>
    </w:p>
    <w:p w14:paraId="1CE76CD5" w14:textId="452CF0D1" w:rsidR="001548ED" w:rsidRDefault="001548ED" w:rsidP="00A04F42">
      <w:pPr>
        <w:spacing w:after="120"/>
        <w:rPr>
          <w:szCs w:val="32"/>
          <w:highlight w:val="yellow"/>
        </w:rPr>
      </w:pPr>
      <w:r>
        <w:rPr>
          <w:noProof/>
        </w:rPr>
        <w:drawing>
          <wp:inline distT="0" distB="0" distL="0" distR="0" wp14:anchorId="681F602F" wp14:editId="2B643499">
            <wp:extent cx="5486400" cy="3985895"/>
            <wp:effectExtent l="0" t="0" r="0" b="0"/>
            <wp:docPr id="8" name="Chart 8">
              <a:extLst xmlns:a="http://schemas.openxmlformats.org/drawingml/2006/main">
                <a:ext uri="{FF2B5EF4-FFF2-40B4-BE49-F238E27FC236}">
                  <a16:creationId xmlns:a16="http://schemas.microsoft.com/office/drawing/2014/main" id="{CD9D7FD7-5263-481F-93FA-5F88B6A57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9B75AA" w14:textId="77777777" w:rsidR="00F806D0" w:rsidRDefault="00F806D0" w:rsidP="00A04F42">
      <w:pPr>
        <w:spacing w:after="120"/>
        <w:rPr>
          <w:szCs w:val="32"/>
        </w:rPr>
      </w:pPr>
    </w:p>
    <w:p w14:paraId="6458A730" w14:textId="77777777" w:rsidR="009B0A71" w:rsidRPr="009B0A71" w:rsidRDefault="009B0A71" w:rsidP="009B0A71">
      <w:pPr>
        <w:spacing w:after="120"/>
        <w:rPr>
          <w:b/>
          <w:i/>
          <w:szCs w:val="32"/>
        </w:rPr>
      </w:pPr>
      <w:r w:rsidRPr="009B0A71">
        <w:rPr>
          <w:b/>
          <w:i/>
          <w:szCs w:val="32"/>
        </w:rPr>
        <w:t>Load impacts increase with the level of AC usage</w:t>
      </w:r>
    </w:p>
    <w:p w14:paraId="604C1D77" w14:textId="3812D60C" w:rsidR="00FA5B54" w:rsidRDefault="008C37EB" w:rsidP="00A04F42">
      <w:pPr>
        <w:spacing w:after="120"/>
        <w:rPr>
          <w:szCs w:val="32"/>
        </w:rPr>
      </w:pPr>
      <w:r>
        <w:rPr>
          <w:szCs w:val="32"/>
        </w:rPr>
        <w:t>We contribute n</w:t>
      </w:r>
      <w:r w:rsidR="00FA5B54" w:rsidRPr="0025790B">
        <w:rPr>
          <w:szCs w:val="32"/>
        </w:rPr>
        <w:t xml:space="preserve">ew subgroup analysis </w:t>
      </w:r>
      <w:r>
        <w:rPr>
          <w:szCs w:val="32"/>
        </w:rPr>
        <w:t xml:space="preserve">in this report by </w:t>
      </w:r>
      <w:r w:rsidR="00FA5B54" w:rsidRPr="0025790B">
        <w:rPr>
          <w:szCs w:val="32"/>
        </w:rPr>
        <w:t>comparing customer</w:t>
      </w:r>
      <w:r>
        <w:rPr>
          <w:szCs w:val="32"/>
        </w:rPr>
        <w:t xml:space="preserve"> load impact</w:t>
      </w:r>
      <w:r w:rsidR="00FA5B54" w:rsidRPr="0025790B">
        <w:rPr>
          <w:szCs w:val="32"/>
        </w:rPr>
        <w:t xml:space="preserve">s by the intensity of AC usage. </w:t>
      </w:r>
      <w:r>
        <w:rPr>
          <w:szCs w:val="32"/>
        </w:rPr>
        <w:t xml:space="preserve">Customers are sorted by PG&amp;E into three groups based on estimated intensity of AC usage: </w:t>
      </w:r>
      <w:r w:rsidR="00FA5B54" w:rsidRPr="0025790B">
        <w:rPr>
          <w:szCs w:val="32"/>
        </w:rPr>
        <w:t xml:space="preserve">low AC usage, medium AC usage, and high AC usage. The </w:t>
      </w:r>
      <w:r w:rsidR="007A56CA">
        <w:rPr>
          <w:szCs w:val="32"/>
        </w:rPr>
        <w:t xml:space="preserve">estimates </w:t>
      </w:r>
      <w:r w:rsidR="00FA5B54" w:rsidRPr="0025790B">
        <w:rPr>
          <w:szCs w:val="32"/>
        </w:rPr>
        <w:t>suggest that</w:t>
      </w:r>
      <w:r w:rsidR="0025790B">
        <w:rPr>
          <w:szCs w:val="32"/>
        </w:rPr>
        <w:t xml:space="preserve"> load impacts increase with </w:t>
      </w:r>
      <w:r w:rsidR="00FA5B54" w:rsidRPr="0025790B">
        <w:rPr>
          <w:szCs w:val="32"/>
        </w:rPr>
        <w:t>AC usage</w:t>
      </w:r>
      <w:r w:rsidR="0025790B">
        <w:rPr>
          <w:szCs w:val="32"/>
        </w:rPr>
        <w:t xml:space="preserve"> intensity, with a much larger difference between </w:t>
      </w:r>
      <w:r w:rsidR="007A56CA">
        <w:rPr>
          <w:szCs w:val="32"/>
        </w:rPr>
        <w:t xml:space="preserve">customers with </w:t>
      </w:r>
      <w:r w:rsidR="0025790B">
        <w:rPr>
          <w:szCs w:val="32"/>
        </w:rPr>
        <w:t xml:space="preserve">high and medium </w:t>
      </w:r>
      <w:r w:rsidR="007A56CA">
        <w:rPr>
          <w:szCs w:val="32"/>
        </w:rPr>
        <w:t xml:space="preserve">AC usage levels </w:t>
      </w:r>
      <w:r w:rsidR="0025790B">
        <w:rPr>
          <w:szCs w:val="32"/>
        </w:rPr>
        <w:t xml:space="preserve">compared to the difference between </w:t>
      </w:r>
      <w:r w:rsidR="007A56CA">
        <w:rPr>
          <w:szCs w:val="32"/>
        </w:rPr>
        <w:t xml:space="preserve">customers with </w:t>
      </w:r>
      <w:r w:rsidR="0025790B">
        <w:rPr>
          <w:szCs w:val="32"/>
        </w:rPr>
        <w:t xml:space="preserve">low and medium </w:t>
      </w:r>
      <w:r w:rsidR="007A56CA">
        <w:rPr>
          <w:szCs w:val="32"/>
        </w:rPr>
        <w:t>AC usage levels</w:t>
      </w:r>
      <w:r w:rsidR="0025790B" w:rsidRPr="00174148">
        <w:rPr>
          <w:szCs w:val="32"/>
        </w:rPr>
        <w:t>.</w:t>
      </w:r>
    </w:p>
    <w:p w14:paraId="45AA5CA1" w14:textId="6CECB4BF" w:rsidR="009B0A71" w:rsidRPr="009B0A71" w:rsidRDefault="009B0A71" w:rsidP="00A04F42">
      <w:pPr>
        <w:spacing w:after="120"/>
        <w:rPr>
          <w:b/>
          <w:i/>
          <w:szCs w:val="32"/>
        </w:rPr>
      </w:pPr>
      <w:r w:rsidRPr="009B0A71">
        <w:rPr>
          <w:b/>
          <w:i/>
          <w:szCs w:val="32"/>
        </w:rPr>
        <w:t xml:space="preserve">Comparing subgroups by percentage load impacts can lead to different results </w:t>
      </w:r>
    </w:p>
    <w:p w14:paraId="127FE946" w14:textId="07DD38A9" w:rsidR="00BD12D0" w:rsidRDefault="00BD12D0" w:rsidP="00A04F42">
      <w:pPr>
        <w:spacing w:after="120"/>
        <w:rPr>
          <w:szCs w:val="32"/>
        </w:rPr>
      </w:pPr>
      <w:r w:rsidRPr="00BD12D0">
        <w:rPr>
          <w:szCs w:val="32"/>
        </w:rPr>
        <w:fldChar w:fldCharType="begin"/>
      </w:r>
      <w:r w:rsidRPr="00BD12D0">
        <w:rPr>
          <w:szCs w:val="32"/>
        </w:rPr>
        <w:instrText xml:space="preserve"> REF _Ref1665435 \h </w:instrText>
      </w:r>
      <w:r>
        <w:rPr>
          <w:szCs w:val="32"/>
        </w:rPr>
        <w:instrText xml:space="preserve"> \* MERGEFORMAT </w:instrText>
      </w:r>
      <w:r w:rsidRPr="00BD12D0">
        <w:rPr>
          <w:szCs w:val="32"/>
        </w:rPr>
      </w:r>
      <w:r w:rsidRPr="00BD12D0">
        <w:rPr>
          <w:szCs w:val="32"/>
        </w:rPr>
        <w:fldChar w:fldCharType="separate"/>
      </w:r>
      <w:r w:rsidR="00445DF3">
        <w:t xml:space="preserve">Table </w:t>
      </w:r>
      <w:r w:rsidR="00445DF3">
        <w:rPr>
          <w:noProof/>
        </w:rPr>
        <w:t>3</w:t>
      </w:r>
      <w:r w:rsidR="00445DF3">
        <w:rPr>
          <w:noProof/>
        </w:rPr>
        <w:noBreakHyphen/>
        <w:t>6</w:t>
      </w:r>
      <w:r w:rsidRPr="00BD12D0">
        <w:rPr>
          <w:szCs w:val="32"/>
        </w:rPr>
        <w:fldChar w:fldCharType="end"/>
      </w:r>
      <w:r w:rsidRPr="00BD12D0">
        <w:rPr>
          <w:szCs w:val="32"/>
        </w:rPr>
        <w:t xml:space="preserve"> </w:t>
      </w:r>
      <w:r w:rsidR="007A56CA">
        <w:rPr>
          <w:szCs w:val="32"/>
        </w:rPr>
        <w:t>provides the detailed information underlying</w:t>
      </w:r>
      <w:r w:rsidR="00540DAD">
        <w:rPr>
          <w:szCs w:val="32"/>
        </w:rPr>
        <w:t xml:space="preserve"> </w:t>
      </w:r>
      <w:r w:rsidR="00540DAD">
        <w:rPr>
          <w:szCs w:val="32"/>
        </w:rPr>
        <w:fldChar w:fldCharType="begin"/>
      </w:r>
      <w:r w:rsidR="00540DAD">
        <w:rPr>
          <w:szCs w:val="32"/>
        </w:rPr>
        <w:instrText xml:space="preserve"> REF _Ref506910369 \h </w:instrText>
      </w:r>
      <w:r w:rsidR="00540DAD">
        <w:rPr>
          <w:szCs w:val="32"/>
        </w:rPr>
      </w:r>
      <w:r w:rsidR="00540DAD">
        <w:rPr>
          <w:szCs w:val="32"/>
        </w:rPr>
        <w:fldChar w:fldCharType="separate"/>
      </w:r>
      <w:r w:rsidR="00445DF3" w:rsidRPr="00C20017">
        <w:t xml:space="preserve">Figure </w:t>
      </w:r>
      <w:r w:rsidR="00445DF3">
        <w:rPr>
          <w:noProof/>
        </w:rPr>
        <w:t>3</w:t>
      </w:r>
      <w:r w:rsidR="00445DF3">
        <w:noBreakHyphen/>
      </w:r>
      <w:r w:rsidR="00445DF3">
        <w:rPr>
          <w:noProof/>
        </w:rPr>
        <w:t>6</w:t>
      </w:r>
      <w:r w:rsidR="00540DAD">
        <w:rPr>
          <w:szCs w:val="32"/>
        </w:rPr>
        <w:fldChar w:fldCharType="end"/>
      </w:r>
      <w:r w:rsidR="007A56CA">
        <w:rPr>
          <w:szCs w:val="32"/>
        </w:rPr>
        <w:t xml:space="preserve">, including </w:t>
      </w:r>
      <w:r w:rsidRPr="00BD12D0">
        <w:rPr>
          <w:szCs w:val="32"/>
        </w:rPr>
        <w:t xml:space="preserve">the </w:t>
      </w:r>
      <w:r>
        <w:rPr>
          <w:szCs w:val="32"/>
        </w:rPr>
        <w:t>average number of customers called for events that include HE</w:t>
      </w:r>
      <w:r w:rsidR="007F1C38">
        <w:rPr>
          <w:szCs w:val="32"/>
        </w:rPr>
        <w:t xml:space="preserve"> </w:t>
      </w:r>
      <w:r>
        <w:rPr>
          <w:szCs w:val="32"/>
        </w:rPr>
        <w:t>18, the total number of enrolled customers in each subgroup, the average HE</w:t>
      </w:r>
      <w:r w:rsidR="007F1C38">
        <w:rPr>
          <w:szCs w:val="32"/>
        </w:rPr>
        <w:t xml:space="preserve"> </w:t>
      </w:r>
      <w:r>
        <w:rPr>
          <w:szCs w:val="32"/>
        </w:rPr>
        <w:t>18 load impacts, reference loads, percentage load impacts, and temperature</w:t>
      </w:r>
      <w:r w:rsidR="007D2484">
        <w:rPr>
          <w:szCs w:val="32"/>
        </w:rPr>
        <w:t>s</w:t>
      </w:r>
      <w:r>
        <w:rPr>
          <w:szCs w:val="32"/>
        </w:rPr>
        <w:t xml:space="preserve">. The main takeaway from this table is that comparing subgroups by percentage load impacts often leads </w:t>
      </w:r>
      <w:r w:rsidR="00005050">
        <w:rPr>
          <w:szCs w:val="32"/>
        </w:rPr>
        <w:t>to different results</w:t>
      </w:r>
      <w:r w:rsidR="007D2484">
        <w:rPr>
          <w:szCs w:val="32"/>
        </w:rPr>
        <w:t xml:space="preserve"> than level load impacts</w:t>
      </w:r>
      <w:r w:rsidR="00005050">
        <w:rPr>
          <w:szCs w:val="32"/>
        </w:rPr>
        <w:t xml:space="preserve">. </w:t>
      </w:r>
      <w:r w:rsidR="007A56CA">
        <w:rPr>
          <w:szCs w:val="32"/>
        </w:rPr>
        <w:t>That is, w</w:t>
      </w:r>
      <w:r w:rsidR="00005050">
        <w:rPr>
          <w:szCs w:val="32"/>
        </w:rPr>
        <w:t>hile some subgroups have higher load impacts, they may have higher reference loads as well, which can lead to comparable or even lower percentage impacts. This is true for NEM customers, dwelling type, and AC usage level.</w:t>
      </w:r>
    </w:p>
    <w:p w14:paraId="6AEC5220" w14:textId="0B9A72F3" w:rsidR="00710329" w:rsidRDefault="00710329" w:rsidP="00710329">
      <w:pPr>
        <w:pStyle w:val="TableCaption"/>
      </w:pPr>
      <w:bookmarkStart w:id="115" w:name="_Ref1665435"/>
      <w:bookmarkStart w:id="116" w:name="_Toc4578181"/>
      <w:r>
        <w:t xml:space="preserve">Table </w:t>
      </w:r>
      <w:r>
        <w:rPr>
          <w:noProof/>
        </w:rPr>
        <w:fldChar w:fldCharType="begin"/>
      </w:r>
      <w:r>
        <w:rPr>
          <w:noProof/>
        </w:rPr>
        <w:instrText xml:space="preserve"> STYLEREF 1 \s </w:instrText>
      </w:r>
      <w:r>
        <w:rPr>
          <w:noProof/>
        </w:rPr>
        <w:fldChar w:fldCharType="separate"/>
      </w:r>
      <w:r w:rsidR="00445DF3">
        <w:rPr>
          <w:noProof/>
        </w:rPr>
        <w:t>3</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445DF3">
        <w:rPr>
          <w:noProof/>
        </w:rPr>
        <w:t>6</w:t>
      </w:r>
      <w:r>
        <w:rPr>
          <w:noProof/>
        </w:rPr>
        <w:fldChar w:fldCharType="end"/>
      </w:r>
      <w:bookmarkEnd w:id="115"/>
      <w:r>
        <w:t xml:space="preserve">: </w:t>
      </w:r>
      <w:r w:rsidRPr="00C20017">
        <w:t>Average HE 18 (5-6 p.m.) Load Impacts by Subgroup</w:t>
      </w:r>
      <w:bookmarkEnd w:id="116"/>
    </w:p>
    <w:tbl>
      <w:tblPr>
        <w:tblW w:w="9098" w:type="dxa"/>
        <w:jc w:val="center"/>
        <w:tblLook w:val="04A0" w:firstRow="1" w:lastRow="0" w:firstColumn="1" w:lastColumn="0" w:noHBand="0" w:noVBand="1"/>
      </w:tblPr>
      <w:tblGrid>
        <w:gridCol w:w="2461"/>
        <w:gridCol w:w="829"/>
        <w:gridCol w:w="1101"/>
        <w:gridCol w:w="1067"/>
        <w:gridCol w:w="1067"/>
        <w:gridCol w:w="792"/>
        <w:gridCol w:w="1063"/>
        <w:gridCol w:w="718"/>
      </w:tblGrid>
      <w:tr w:rsidR="00710329" w:rsidRPr="00D54E05" w14:paraId="7277E2D3" w14:textId="77777777" w:rsidTr="00546AFB">
        <w:trPr>
          <w:trHeight w:val="300"/>
          <w:jc w:val="center"/>
        </w:trPr>
        <w:tc>
          <w:tcPr>
            <w:tcW w:w="2461" w:type="dxa"/>
            <w:vMerge w:val="restart"/>
            <w:tcBorders>
              <w:top w:val="nil"/>
              <w:left w:val="single" w:sz="4" w:space="0" w:color="FFFFFF"/>
              <w:bottom w:val="nil"/>
              <w:right w:val="single" w:sz="4" w:space="0" w:color="FFFFFF"/>
            </w:tcBorders>
            <w:shd w:val="clear" w:color="000000" w:fill="0C2577"/>
            <w:vAlign w:val="center"/>
            <w:hideMark/>
          </w:tcPr>
          <w:p w14:paraId="071785F2" w14:textId="77777777" w:rsidR="00710329" w:rsidRPr="00D54E05" w:rsidRDefault="00710329" w:rsidP="00F245AF">
            <w:pPr>
              <w:jc w:val="center"/>
              <w:rPr>
                <w:rFonts w:cs="Calibri"/>
                <w:b/>
                <w:bCs/>
                <w:color w:val="FFFFFF"/>
                <w:sz w:val="20"/>
                <w:szCs w:val="20"/>
              </w:rPr>
            </w:pPr>
            <w:r w:rsidRPr="00D54E05">
              <w:rPr>
                <w:rFonts w:cs="Calibri"/>
                <w:b/>
                <w:bCs/>
                <w:color w:val="FFFFFF"/>
                <w:sz w:val="20"/>
                <w:szCs w:val="20"/>
              </w:rPr>
              <w:t>Subgroup</w:t>
            </w:r>
          </w:p>
        </w:tc>
        <w:tc>
          <w:tcPr>
            <w:tcW w:w="829" w:type="dxa"/>
            <w:vMerge w:val="restart"/>
            <w:tcBorders>
              <w:top w:val="nil"/>
              <w:left w:val="single" w:sz="4" w:space="0" w:color="FFFFFF"/>
              <w:bottom w:val="nil"/>
              <w:right w:val="single" w:sz="4" w:space="0" w:color="FFFFFF"/>
            </w:tcBorders>
            <w:shd w:val="clear" w:color="000000" w:fill="0C2577"/>
            <w:vAlign w:val="center"/>
            <w:hideMark/>
          </w:tcPr>
          <w:p w14:paraId="2C7A532E" w14:textId="77777777" w:rsidR="00710329" w:rsidRPr="00D54E05" w:rsidRDefault="00710329" w:rsidP="00F245AF">
            <w:pPr>
              <w:jc w:val="center"/>
              <w:rPr>
                <w:rFonts w:cs="Calibri"/>
                <w:b/>
                <w:bCs/>
                <w:color w:val="FFFFFF"/>
                <w:sz w:val="20"/>
                <w:szCs w:val="20"/>
              </w:rPr>
            </w:pPr>
            <w:r w:rsidRPr="00D54E05">
              <w:rPr>
                <w:rFonts w:cs="Calibri"/>
                <w:b/>
                <w:bCs/>
                <w:color w:val="FFFFFF"/>
                <w:sz w:val="20"/>
                <w:szCs w:val="20"/>
              </w:rPr>
              <w:t>Avg. # Called</w:t>
            </w:r>
          </w:p>
        </w:tc>
        <w:tc>
          <w:tcPr>
            <w:tcW w:w="1101" w:type="dxa"/>
            <w:vMerge w:val="restart"/>
            <w:tcBorders>
              <w:top w:val="nil"/>
              <w:left w:val="single" w:sz="4" w:space="0" w:color="FFFFFF"/>
              <w:bottom w:val="nil"/>
              <w:right w:val="single" w:sz="4" w:space="0" w:color="FFFFFF"/>
            </w:tcBorders>
            <w:shd w:val="clear" w:color="000000" w:fill="0C2577"/>
            <w:vAlign w:val="center"/>
            <w:hideMark/>
          </w:tcPr>
          <w:p w14:paraId="6BD5E360" w14:textId="77777777" w:rsidR="00710329" w:rsidRPr="00D54E05" w:rsidRDefault="00710329" w:rsidP="00F245AF">
            <w:pPr>
              <w:jc w:val="center"/>
              <w:rPr>
                <w:rFonts w:cs="Calibri"/>
                <w:b/>
                <w:bCs/>
                <w:color w:val="FFFFFF"/>
                <w:sz w:val="20"/>
                <w:szCs w:val="20"/>
              </w:rPr>
            </w:pPr>
            <w:r w:rsidRPr="00D54E05">
              <w:rPr>
                <w:rFonts w:cs="Calibri"/>
                <w:b/>
                <w:bCs/>
                <w:color w:val="FFFFFF"/>
                <w:sz w:val="20"/>
                <w:szCs w:val="20"/>
              </w:rPr>
              <w:t>Enrolled Customers</w:t>
            </w:r>
          </w:p>
        </w:tc>
        <w:tc>
          <w:tcPr>
            <w:tcW w:w="4707" w:type="dxa"/>
            <w:gridSpan w:val="5"/>
            <w:tcBorders>
              <w:top w:val="nil"/>
              <w:left w:val="nil"/>
              <w:bottom w:val="single" w:sz="4" w:space="0" w:color="E7E6E6"/>
              <w:right w:val="nil"/>
            </w:tcBorders>
            <w:shd w:val="clear" w:color="000000" w:fill="0C2577"/>
            <w:vAlign w:val="center"/>
            <w:hideMark/>
          </w:tcPr>
          <w:p w14:paraId="0780C7A6" w14:textId="22F3DAE5" w:rsidR="00710329" w:rsidRPr="00D54E05" w:rsidRDefault="00710329" w:rsidP="00F245AF">
            <w:pPr>
              <w:jc w:val="center"/>
              <w:rPr>
                <w:rFonts w:cs="Calibri"/>
                <w:b/>
                <w:bCs/>
                <w:color w:val="FFFFFF"/>
                <w:sz w:val="20"/>
                <w:szCs w:val="20"/>
              </w:rPr>
            </w:pPr>
            <w:r w:rsidRPr="00D54E05">
              <w:rPr>
                <w:rFonts w:cs="Calibri"/>
                <w:b/>
                <w:bCs/>
                <w:color w:val="FFFFFF"/>
                <w:sz w:val="20"/>
                <w:szCs w:val="20"/>
              </w:rPr>
              <w:t>Average HE</w:t>
            </w:r>
            <w:r w:rsidR="007F1C38">
              <w:rPr>
                <w:rFonts w:cs="Calibri"/>
                <w:b/>
                <w:bCs/>
                <w:color w:val="FFFFFF"/>
                <w:sz w:val="20"/>
                <w:szCs w:val="20"/>
              </w:rPr>
              <w:t xml:space="preserve"> </w:t>
            </w:r>
            <w:r w:rsidRPr="00D54E05">
              <w:rPr>
                <w:rFonts w:cs="Calibri"/>
                <w:b/>
                <w:bCs/>
                <w:color w:val="FFFFFF"/>
                <w:sz w:val="20"/>
                <w:szCs w:val="20"/>
              </w:rPr>
              <w:t>18 (5-6 p.m.)</w:t>
            </w:r>
          </w:p>
        </w:tc>
      </w:tr>
      <w:tr w:rsidR="00546AFB" w:rsidRPr="00D54E05" w14:paraId="7AF6BE28" w14:textId="77777777" w:rsidTr="00546AFB">
        <w:trPr>
          <w:trHeight w:val="765"/>
          <w:jc w:val="center"/>
        </w:trPr>
        <w:tc>
          <w:tcPr>
            <w:tcW w:w="2461" w:type="dxa"/>
            <w:vMerge/>
            <w:tcBorders>
              <w:top w:val="nil"/>
              <w:left w:val="single" w:sz="4" w:space="0" w:color="FFFFFF"/>
              <w:bottom w:val="nil"/>
              <w:right w:val="single" w:sz="4" w:space="0" w:color="FFFFFF"/>
            </w:tcBorders>
            <w:vAlign w:val="center"/>
            <w:hideMark/>
          </w:tcPr>
          <w:p w14:paraId="7C45A957" w14:textId="77777777" w:rsidR="00710329" w:rsidRPr="00D54E05" w:rsidRDefault="00710329" w:rsidP="00F245AF">
            <w:pPr>
              <w:rPr>
                <w:rFonts w:cs="Calibri"/>
                <w:b/>
                <w:bCs/>
                <w:color w:val="FFFFFF"/>
                <w:sz w:val="20"/>
                <w:szCs w:val="20"/>
              </w:rPr>
            </w:pPr>
          </w:p>
        </w:tc>
        <w:tc>
          <w:tcPr>
            <w:tcW w:w="829" w:type="dxa"/>
            <w:vMerge/>
            <w:tcBorders>
              <w:top w:val="nil"/>
              <w:left w:val="single" w:sz="4" w:space="0" w:color="FFFFFF"/>
              <w:bottom w:val="nil"/>
              <w:right w:val="single" w:sz="4" w:space="0" w:color="FFFFFF"/>
            </w:tcBorders>
            <w:vAlign w:val="center"/>
            <w:hideMark/>
          </w:tcPr>
          <w:p w14:paraId="177E7601" w14:textId="77777777" w:rsidR="00710329" w:rsidRPr="00D54E05" w:rsidRDefault="00710329" w:rsidP="00F245AF">
            <w:pPr>
              <w:rPr>
                <w:rFonts w:cs="Calibri"/>
                <w:b/>
                <w:bCs/>
                <w:color w:val="FFFFFF"/>
                <w:sz w:val="20"/>
                <w:szCs w:val="20"/>
              </w:rPr>
            </w:pPr>
          </w:p>
        </w:tc>
        <w:tc>
          <w:tcPr>
            <w:tcW w:w="1101" w:type="dxa"/>
            <w:vMerge/>
            <w:tcBorders>
              <w:top w:val="nil"/>
              <w:left w:val="single" w:sz="4" w:space="0" w:color="FFFFFF"/>
              <w:bottom w:val="nil"/>
              <w:right w:val="single" w:sz="4" w:space="0" w:color="FFFFFF"/>
            </w:tcBorders>
            <w:vAlign w:val="center"/>
            <w:hideMark/>
          </w:tcPr>
          <w:p w14:paraId="6981C087" w14:textId="77777777" w:rsidR="00710329" w:rsidRPr="00D54E05" w:rsidRDefault="00710329" w:rsidP="00F245AF">
            <w:pPr>
              <w:rPr>
                <w:rFonts w:cs="Calibri"/>
                <w:b/>
                <w:bCs/>
                <w:color w:val="FFFFFF"/>
                <w:sz w:val="20"/>
                <w:szCs w:val="20"/>
              </w:rPr>
            </w:pPr>
          </w:p>
        </w:tc>
        <w:tc>
          <w:tcPr>
            <w:tcW w:w="1067" w:type="dxa"/>
            <w:tcBorders>
              <w:top w:val="nil"/>
              <w:left w:val="nil"/>
              <w:bottom w:val="nil"/>
              <w:right w:val="single" w:sz="4" w:space="0" w:color="FFFFFF"/>
            </w:tcBorders>
            <w:shd w:val="clear" w:color="000000" w:fill="0C2577"/>
            <w:vAlign w:val="center"/>
            <w:hideMark/>
          </w:tcPr>
          <w:p w14:paraId="31C3F5C7" w14:textId="77777777" w:rsidR="00710329" w:rsidRPr="00D54E05" w:rsidRDefault="00710329" w:rsidP="00F245AF">
            <w:pPr>
              <w:jc w:val="center"/>
              <w:rPr>
                <w:rFonts w:cs="Calibri"/>
                <w:b/>
                <w:bCs/>
                <w:color w:val="FFFFFF"/>
                <w:sz w:val="20"/>
                <w:szCs w:val="20"/>
              </w:rPr>
            </w:pPr>
            <w:r w:rsidRPr="00D54E05">
              <w:rPr>
                <w:rFonts w:cs="Calibri"/>
                <w:b/>
                <w:bCs/>
                <w:color w:val="FFFFFF"/>
                <w:sz w:val="20"/>
                <w:szCs w:val="20"/>
              </w:rPr>
              <w:t>Reference (kW/Cust)</w:t>
            </w:r>
          </w:p>
        </w:tc>
        <w:tc>
          <w:tcPr>
            <w:tcW w:w="1067" w:type="dxa"/>
            <w:tcBorders>
              <w:top w:val="nil"/>
              <w:left w:val="nil"/>
              <w:bottom w:val="nil"/>
              <w:right w:val="single" w:sz="4" w:space="0" w:color="FFFFFF"/>
            </w:tcBorders>
            <w:shd w:val="clear" w:color="000000" w:fill="0C2577"/>
            <w:vAlign w:val="center"/>
            <w:hideMark/>
          </w:tcPr>
          <w:p w14:paraId="45B89B00" w14:textId="77777777" w:rsidR="00710329" w:rsidRPr="00D54E05" w:rsidRDefault="00710329" w:rsidP="00F245AF">
            <w:pPr>
              <w:jc w:val="center"/>
              <w:rPr>
                <w:rFonts w:cs="Calibri"/>
                <w:b/>
                <w:bCs/>
                <w:color w:val="FFFFFF"/>
                <w:sz w:val="20"/>
                <w:szCs w:val="20"/>
              </w:rPr>
            </w:pPr>
            <w:r w:rsidRPr="00D54E05">
              <w:rPr>
                <w:rFonts w:cs="Calibri"/>
                <w:b/>
                <w:bCs/>
                <w:color w:val="FFFFFF"/>
                <w:sz w:val="20"/>
                <w:szCs w:val="20"/>
              </w:rPr>
              <w:t>Impact (kW/Cust)</w:t>
            </w:r>
          </w:p>
        </w:tc>
        <w:tc>
          <w:tcPr>
            <w:tcW w:w="792" w:type="dxa"/>
            <w:tcBorders>
              <w:top w:val="nil"/>
              <w:left w:val="nil"/>
              <w:bottom w:val="nil"/>
              <w:right w:val="single" w:sz="4" w:space="0" w:color="FFFFFF"/>
            </w:tcBorders>
            <w:shd w:val="clear" w:color="000000" w:fill="0C2577"/>
            <w:vAlign w:val="center"/>
            <w:hideMark/>
          </w:tcPr>
          <w:p w14:paraId="561F2252" w14:textId="77777777" w:rsidR="00710329" w:rsidRPr="00D54E05" w:rsidRDefault="00710329" w:rsidP="00F245AF">
            <w:pPr>
              <w:jc w:val="center"/>
              <w:rPr>
                <w:rFonts w:cs="Calibri"/>
                <w:b/>
                <w:bCs/>
                <w:color w:val="FFFFFF"/>
                <w:sz w:val="20"/>
                <w:szCs w:val="20"/>
              </w:rPr>
            </w:pPr>
            <w:r w:rsidRPr="00D54E05">
              <w:rPr>
                <w:rFonts w:cs="Calibri"/>
                <w:b/>
                <w:bCs/>
                <w:color w:val="FFFFFF"/>
                <w:sz w:val="20"/>
                <w:szCs w:val="20"/>
              </w:rPr>
              <w:t>% Impact</w:t>
            </w:r>
          </w:p>
        </w:tc>
        <w:tc>
          <w:tcPr>
            <w:tcW w:w="1063" w:type="dxa"/>
            <w:tcBorders>
              <w:top w:val="nil"/>
              <w:left w:val="nil"/>
              <w:bottom w:val="nil"/>
              <w:right w:val="single" w:sz="4" w:space="0" w:color="FFFFFF"/>
            </w:tcBorders>
            <w:shd w:val="clear" w:color="000000" w:fill="0C2577"/>
            <w:vAlign w:val="center"/>
            <w:hideMark/>
          </w:tcPr>
          <w:p w14:paraId="03747D08" w14:textId="77777777" w:rsidR="00710329" w:rsidRPr="00D54E05" w:rsidRDefault="00710329" w:rsidP="00F245AF">
            <w:pPr>
              <w:jc w:val="center"/>
              <w:rPr>
                <w:rFonts w:cs="Calibri"/>
                <w:b/>
                <w:bCs/>
                <w:color w:val="FFFFFF"/>
                <w:sz w:val="20"/>
                <w:szCs w:val="20"/>
              </w:rPr>
            </w:pPr>
            <w:r w:rsidRPr="00D54E05">
              <w:rPr>
                <w:rFonts w:cs="Calibri"/>
                <w:b/>
                <w:bCs/>
                <w:color w:val="FFFFFF"/>
                <w:sz w:val="20"/>
                <w:szCs w:val="20"/>
              </w:rPr>
              <w:t>Aggregate Impact (MW)</w:t>
            </w:r>
          </w:p>
        </w:tc>
        <w:tc>
          <w:tcPr>
            <w:tcW w:w="718" w:type="dxa"/>
            <w:tcBorders>
              <w:top w:val="nil"/>
              <w:left w:val="nil"/>
              <w:bottom w:val="nil"/>
              <w:right w:val="nil"/>
            </w:tcBorders>
            <w:shd w:val="clear" w:color="000000" w:fill="0C2577"/>
            <w:vAlign w:val="center"/>
            <w:hideMark/>
          </w:tcPr>
          <w:p w14:paraId="26ED5C32" w14:textId="77777777" w:rsidR="00710329" w:rsidRPr="00D54E05" w:rsidRDefault="00710329" w:rsidP="00F245AF">
            <w:pPr>
              <w:jc w:val="center"/>
              <w:rPr>
                <w:rFonts w:cs="Calibri"/>
                <w:b/>
                <w:bCs/>
                <w:color w:val="FFFFFF"/>
                <w:sz w:val="20"/>
                <w:szCs w:val="20"/>
              </w:rPr>
            </w:pPr>
            <w:r w:rsidRPr="00D54E05">
              <w:rPr>
                <w:rFonts w:cs="Calibri"/>
                <w:b/>
                <w:bCs/>
                <w:color w:val="FFFFFF"/>
                <w:sz w:val="20"/>
                <w:szCs w:val="20"/>
              </w:rPr>
              <w:t>Avg. Temp (°F)</w:t>
            </w:r>
          </w:p>
        </w:tc>
      </w:tr>
      <w:tr w:rsidR="00445DF3" w:rsidRPr="00D54E05" w14:paraId="75CF5414" w14:textId="77777777" w:rsidTr="00445DF3">
        <w:trPr>
          <w:trHeight w:val="300"/>
          <w:jc w:val="center"/>
        </w:trPr>
        <w:tc>
          <w:tcPr>
            <w:tcW w:w="2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9F61F" w14:textId="3F4D78A5" w:rsidR="00710329" w:rsidRPr="00D54E05" w:rsidRDefault="00710329" w:rsidP="00F245AF">
            <w:pPr>
              <w:rPr>
                <w:rFonts w:cs="Calibri"/>
                <w:sz w:val="22"/>
                <w:szCs w:val="22"/>
              </w:rPr>
            </w:pPr>
            <w:r w:rsidRPr="00D54E05">
              <w:rPr>
                <w:rFonts w:cs="Calibri"/>
                <w:sz w:val="22"/>
                <w:szCs w:val="22"/>
              </w:rPr>
              <w:t xml:space="preserve">All </w:t>
            </w:r>
            <w:r w:rsidR="00546AFB">
              <w:rPr>
                <w:rFonts w:cs="Calibri"/>
                <w:sz w:val="22"/>
                <w:szCs w:val="22"/>
              </w:rPr>
              <w:t>SmartAC™</w:t>
            </w:r>
            <w:r w:rsidRPr="00D54E05">
              <w:rPr>
                <w:rFonts w:cs="Calibri"/>
                <w:sz w:val="22"/>
                <w:szCs w:val="22"/>
              </w:rPr>
              <w:t xml:space="preserve"> Customers</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3893EB30" w14:textId="77777777" w:rsidR="00710329" w:rsidRPr="00D54E05" w:rsidRDefault="00710329" w:rsidP="00F245AF">
            <w:pPr>
              <w:jc w:val="right"/>
              <w:rPr>
                <w:rFonts w:cs="Calibri"/>
                <w:sz w:val="22"/>
                <w:szCs w:val="22"/>
              </w:rPr>
            </w:pPr>
            <w:r w:rsidRPr="00D54E05">
              <w:rPr>
                <w:rFonts w:cs="Calibri"/>
                <w:sz w:val="22"/>
                <w:szCs w:val="22"/>
              </w:rPr>
              <w:t>11,741</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14:paraId="1DB267CE" w14:textId="77777777" w:rsidR="00710329" w:rsidRPr="00D54E05" w:rsidRDefault="00710329" w:rsidP="00F245AF">
            <w:pPr>
              <w:jc w:val="right"/>
              <w:rPr>
                <w:rFonts w:cs="Calibri"/>
                <w:sz w:val="22"/>
                <w:szCs w:val="22"/>
              </w:rPr>
            </w:pPr>
            <w:r w:rsidRPr="00D54E05">
              <w:rPr>
                <w:rFonts w:cs="Calibri"/>
                <w:sz w:val="22"/>
                <w:szCs w:val="22"/>
              </w:rPr>
              <w:t>102,440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60451BBB" w14:textId="77777777" w:rsidR="00710329" w:rsidRPr="00D54E05" w:rsidRDefault="00710329" w:rsidP="00F245AF">
            <w:pPr>
              <w:jc w:val="right"/>
              <w:rPr>
                <w:rFonts w:cs="Calibri"/>
                <w:sz w:val="22"/>
                <w:szCs w:val="22"/>
              </w:rPr>
            </w:pPr>
            <w:r w:rsidRPr="00D54E05">
              <w:rPr>
                <w:rFonts w:cs="Calibri"/>
                <w:sz w:val="22"/>
                <w:szCs w:val="22"/>
              </w:rPr>
              <w:t>2.50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5645C33A" w14:textId="77777777" w:rsidR="00710329" w:rsidRPr="00D54E05" w:rsidRDefault="00710329" w:rsidP="00F245AF">
            <w:pPr>
              <w:jc w:val="right"/>
              <w:rPr>
                <w:rFonts w:cs="Calibri"/>
                <w:sz w:val="22"/>
                <w:szCs w:val="22"/>
              </w:rPr>
            </w:pPr>
            <w:r w:rsidRPr="00D54E05">
              <w:rPr>
                <w:rFonts w:cs="Calibri"/>
                <w:sz w:val="22"/>
                <w:szCs w:val="22"/>
              </w:rPr>
              <w:t>0.36</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14:paraId="4D5F704C" w14:textId="77777777" w:rsidR="00710329" w:rsidRPr="00D54E05" w:rsidRDefault="00710329" w:rsidP="00F245AF">
            <w:pPr>
              <w:jc w:val="right"/>
              <w:rPr>
                <w:rFonts w:cs="Calibri"/>
                <w:sz w:val="22"/>
                <w:szCs w:val="22"/>
              </w:rPr>
            </w:pPr>
            <w:r w:rsidRPr="00D54E05">
              <w:rPr>
                <w:rFonts w:cs="Calibri"/>
                <w:sz w:val="22"/>
                <w:szCs w:val="22"/>
              </w:rPr>
              <w:t>14.5%</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6163E07C" w14:textId="77777777" w:rsidR="00710329" w:rsidRPr="00D54E05" w:rsidRDefault="00710329" w:rsidP="00F245AF">
            <w:pPr>
              <w:jc w:val="right"/>
              <w:rPr>
                <w:rFonts w:cs="Calibri"/>
                <w:sz w:val="22"/>
                <w:szCs w:val="22"/>
              </w:rPr>
            </w:pPr>
            <w:r w:rsidRPr="00D54E05">
              <w:rPr>
                <w:rFonts w:cs="Calibri"/>
                <w:sz w:val="22"/>
                <w:szCs w:val="22"/>
              </w:rPr>
              <w:t>4.3</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4FA7DCD2" w14:textId="77777777" w:rsidR="00710329" w:rsidRPr="00D54E05" w:rsidRDefault="00710329" w:rsidP="00F245AF">
            <w:pPr>
              <w:jc w:val="right"/>
              <w:rPr>
                <w:rFonts w:cs="Calibri"/>
                <w:sz w:val="22"/>
                <w:szCs w:val="22"/>
              </w:rPr>
            </w:pPr>
            <w:r w:rsidRPr="00D54E05">
              <w:rPr>
                <w:rFonts w:cs="Calibri"/>
                <w:sz w:val="22"/>
                <w:szCs w:val="22"/>
              </w:rPr>
              <w:t>98.7</w:t>
            </w:r>
          </w:p>
        </w:tc>
      </w:tr>
      <w:tr w:rsidR="00710329" w:rsidRPr="00D54E05" w14:paraId="33FEF703"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14:paraId="2DD983C5" w14:textId="75E3CDCC" w:rsidR="00710329" w:rsidRPr="00D54E05" w:rsidRDefault="00546AFB" w:rsidP="00F245AF">
            <w:pPr>
              <w:rPr>
                <w:rFonts w:cs="Calibri"/>
                <w:sz w:val="22"/>
                <w:szCs w:val="22"/>
              </w:rPr>
            </w:pPr>
            <w:r>
              <w:rPr>
                <w:rFonts w:cs="Calibri"/>
                <w:sz w:val="22"/>
                <w:szCs w:val="22"/>
              </w:rPr>
              <w:t>SmartAC™</w:t>
            </w:r>
            <w:r w:rsidR="00710329" w:rsidRPr="00D54E05">
              <w:rPr>
                <w:rFonts w:cs="Calibri"/>
                <w:sz w:val="22"/>
                <w:szCs w:val="22"/>
              </w:rPr>
              <w:t xml:space="preserve"> Only</w:t>
            </w:r>
          </w:p>
        </w:tc>
        <w:tc>
          <w:tcPr>
            <w:tcW w:w="829" w:type="dxa"/>
            <w:tcBorders>
              <w:top w:val="nil"/>
              <w:left w:val="nil"/>
              <w:bottom w:val="single" w:sz="4" w:space="0" w:color="auto"/>
              <w:right w:val="single" w:sz="4" w:space="0" w:color="auto"/>
            </w:tcBorders>
            <w:shd w:val="clear" w:color="auto" w:fill="auto"/>
            <w:noWrap/>
            <w:vAlign w:val="bottom"/>
            <w:hideMark/>
          </w:tcPr>
          <w:p w14:paraId="0CA0E3D4" w14:textId="77777777" w:rsidR="00710329" w:rsidRPr="00D54E05" w:rsidRDefault="00710329" w:rsidP="00F245AF">
            <w:pPr>
              <w:jc w:val="right"/>
              <w:rPr>
                <w:rFonts w:cs="Calibri"/>
                <w:sz w:val="22"/>
                <w:szCs w:val="22"/>
              </w:rPr>
            </w:pPr>
            <w:r w:rsidRPr="00D54E05">
              <w:rPr>
                <w:rFonts w:cs="Calibri"/>
                <w:sz w:val="22"/>
                <w:szCs w:val="22"/>
              </w:rPr>
              <w:t>9,615</w:t>
            </w:r>
          </w:p>
        </w:tc>
        <w:tc>
          <w:tcPr>
            <w:tcW w:w="1101" w:type="dxa"/>
            <w:tcBorders>
              <w:top w:val="nil"/>
              <w:left w:val="nil"/>
              <w:bottom w:val="single" w:sz="4" w:space="0" w:color="auto"/>
              <w:right w:val="single" w:sz="4" w:space="0" w:color="auto"/>
            </w:tcBorders>
            <w:shd w:val="clear" w:color="auto" w:fill="auto"/>
            <w:noWrap/>
            <w:vAlign w:val="bottom"/>
            <w:hideMark/>
          </w:tcPr>
          <w:p w14:paraId="1350E587" w14:textId="77777777" w:rsidR="00710329" w:rsidRPr="00D54E05" w:rsidRDefault="00710329" w:rsidP="00F245AF">
            <w:pPr>
              <w:jc w:val="right"/>
              <w:rPr>
                <w:rFonts w:cs="Calibri"/>
                <w:sz w:val="22"/>
                <w:szCs w:val="22"/>
              </w:rPr>
            </w:pPr>
            <w:r w:rsidRPr="00D54E05">
              <w:rPr>
                <w:rFonts w:cs="Calibri"/>
                <w:sz w:val="22"/>
                <w:szCs w:val="22"/>
              </w:rPr>
              <w:t>83,568</w:t>
            </w:r>
          </w:p>
        </w:tc>
        <w:tc>
          <w:tcPr>
            <w:tcW w:w="1067" w:type="dxa"/>
            <w:tcBorders>
              <w:top w:val="nil"/>
              <w:left w:val="nil"/>
              <w:bottom w:val="single" w:sz="4" w:space="0" w:color="auto"/>
              <w:right w:val="single" w:sz="4" w:space="0" w:color="auto"/>
            </w:tcBorders>
            <w:shd w:val="clear" w:color="auto" w:fill="auto"/>
            <w:noWrap/>
            <w:vAlign w:val="bottom"/>
            <w:hideMark/>
          </w:tcPr>
          <w:p w14:paraId="218237A6" w14:textId="77777777" w:rsidR="00710329" w:rsidRPr="00D54E05" w:rsidRDefault="00710329" w:rsidP="00F245AF">
            <w:pPr>
              <w:jc w:val="right"/>
              <w:rPr>
                <w:rFonts w:cs="Calibri"/>
                <w:sz w:val="22"/>
                <w:szCs w:val="22"/>
              </w:rPr>
            </w:pPr>
            <w:r w:rsidRPr="00D54E05">
              <w:rPr>
                <w:rFonts w:cs="Calibri"/>
                <w:sz w:val="22"/>
                <w:szCs w:val="22"/>
              </w:rPr>
              <w:t>2.49</w:t>
            </w:r>
          </w:p>
        </w:tc>
        <w:tc>
          <w:tcPr>
            <w:tcW w:w="1067" w:type="dxa"/>
            <w:tcBorders>
              <w:top w:val="nil"/>
              <w:left w:val="nil"/>
              <w:bottom w:val="single" w:sz="4" w:space="0" w:color="auto"/>
              <w:right w:val="single" w:sz="4" w:space="0" w:color="auto"/>
            </w:tcBorders>
            <w:shd w:val="clear" w:color="auto" w:fill="auto"/>
            <w:noWrap/>
            <w:vAlign w:val="bottom"/>
            <w:hideMark/>
          </w:tcPr>
          <w:p w14:paraId="1B9D9959" w14:textId="77777777" w:rsidR="00710329" w:rsidRPr="00D54E05" w:rsidRDefault="00710329" w:rsidP="00F245AF">
            <w:pPr>
              <w:jc w:val="right"/>
              <w:rPr>
                <w:rFonts w:cs="Calibri"/>
                <w:sz w:val="22"/>
                <w:szCs w:val="22"/>
              </w:rPr>
            </w:pPr>
            <w:r w:rsidRPr="00D54E05">
              <w:rPr>
                <w:rFonts w:cs="Calibri"/>
                <w:sz w:val="22"/>
                <w:szCs w:val="22"/>
              </w:rPr>
              <w:t>0.37</w:t>
            </w:r>
          </w:p>
        </w:tc>
        <w:tc>
          <w:tcPr>
            <w:tcW w:w="792" w:type="dxa"/>
            <w:tcBorders>
              <w:top w:val="nil"/>
              <w:left w:val="nil"/>
              <w:bottom w:val="single" w:sz="4" w:space="0" w:color="auto"/>
              <w:right w:val="single" w:sz="4" w:space="0" w:color="auto"/>
            </w:tcBorders>
            <w:shd w:val="clear" w:color="auto" w:fill="auto"/>
            <w:noWrap/>
            <w:vAlign w:val="bottom"/>
            <w:hideMark/>
          </w:tcPr>
          <w:p w14:paraId="0810AE19" w14:textId="77777777" w:rsidR="00710329" w:rsidRPr="00D54E05" w:rsidRDefault="00710329" w:rsidP="00F245AF">
            <w:pPr>
              <w:jc w:val="right"/>
              <w:rPr>
                <w:rFonts w:cs="Calibri"/>
                <w:sz w:val="22"/>
                <w:szCs w:val="22"/>
              </w:rPr>
            </w:pPr>
            <w:r w:rsidRPr="00D54E05">
              <w:rPr>
                <w:rFonts w:cs="Calibri"/>
                <w:sz w:val="22"/>
                <w:szCs w:val="22"/>
              </w:rPr>
              <w:t>14.8%</w:t>
            </w:r>
          </w:p>
        </w:tc>
        <w:tc>
          <w:tcPr>
            <w:tcW w:w="1063" w:type="dxa"/>
            <w:tcBorders>
              <w:top w:val="nil"/>
              <w:left w:val="nil"/>
              <w:bottom w:val="single" w:sz="4" w:space="0" w:color="auto"/>
              <w:right w:val="single" w:sz="4" w:space="0" w:color="auto"/>
            </w:tcBorders>
            <w:shd w:val="clear" w:color="auto" w:fill="auto"/>
            <w:noWrap/>
            <w:vAlign w:val="bottom"/>
            <w:hideMark/>
          </w:tcPr>
          <w:p w14:paraId="02F3A27E" w14:textId="77777777" w:rsidR="00710329" w:rsidRPr="00D54E05" w:rsidRDefault="00710329" w:rsidP="00F245AF">
            <w:pPr>
              <w:jc w:val="right"/>
              <w:rPr>
                <w:rFonts w:cs="Calibri"/>
                <w:sz w:val="22"/>
                <w:szCs w:val="22"/>
              </w:rPr>
            </w:pPr>
            <w:r w:rsidRPr="00D54E05">
              <w:rPr>
                <w:rFonts w:cs="Calibri"/>
                <w:sz w:val="22"/>
                <w:szCs w:val="22"/>
              </w:rPr>
              <w:t>3.6</w:t>
            </w:r>
          </w:p>
        </w:tc>
        <w:tc>
          <w:tcPr>
            <w:tcW w:w="718" w:type="dxa"/>
            <w:tcBorders>
              <w:top w:val="nil"/>
              <w:left w:val="nil"/>
              <w:bottom w:val="single" w:sz="4" w:space="0" w:color="auto"/>
              <w:right w:val="single" w:sz="4" w:space="0" w:color="auto"/>
            </w:tcBorders>
            <w:shd w:val="clear" w:color="auto" w:fill="auto"/>
            <w:noWrap/>
            <w:vAlign w:val="bottom"/>
            <w:hideMark/>
          </w:tcPr>
          <w:p w14:paraId="57AD7218" w14:textId="77777777" w:rsidR="00710329" w:rsidRPr="00D54E05" w:rsidRDefault="00710329" w:rsidP="00F245AF">
            <w:pPr>
              <w:jc w:val="right"/>
              <w:rPr>
                <w:rFonts w:cs="Calibri"/>
                <w:sz w:val="22"/>
                <w:szCs w:val="22"/>
              </w:rPr>
            </w:pPr>
            <w:r w:rsidRPr="00D54E05">
              <w:rPr>
                <w:rFonts w:cs="Calibri"/>
                <w:sz w:val="22"/>
                <w:szCs w:val="22"/>
              </w:rPr>
              <w:t>98.6</w:t>
            </w:r>
          </w:p>
        </w:tc>
      </w:tr>
      <w:tr w:rsidR="00710329" w:rsidRPr="00D54E05" w14:paraId="50FF16A8"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14:paraId="5756F4F9" w14:textId="77777777" w:rsidR="00710329" w:rsidRPr="00D54E05" w:rsidRDefault="00710329" w:rsidP="00F245AF">
            <w:pPr>
              <w:rPr>
                <w:rFonts w:cs="Calibri"/>
                <w:sz w:val="22"/>
                <w:szCs w:val="22"/>
              </w:rPr>
            </w:pPr>
            <w:r w:rsidRPr="00D54E05">
              <w:rPr>
                <w:rFonts w:cs="Calibri"/>
                <w:sz w:val="22"/>
                <w:szCs w:val="22"/>
              </w:rPr>
              <w:t>Dually Enrolled</w:t>
            </w:r>
          </w:p>
        </w:tc>
        <w:tc>
          <w:tcPr>
            <w:tcW w:w="829" w:type="dxa"/>
            <w:tcBorders>
              <w:top w:val="nil"/>
              <w:left w:val="nil"/>
              <w:bottom w:val="single" w:sz="4" w:space="0" w:color="auto"/>
              <w:right w:val="single" w:sz="4" w:space="0" w:color="auto"/>
            </w:tcBorders>
            <w:shd w:val="clear" w:color="auto" w:fill="auto"/>
            <w:noWrap/>
            <w:vAlign w:val="bottom"/>
            <w:hideMark/>
          </w:tcPr>
          <w:p w14:paraId="3E00C7DA" w14:textId="77777777" w:rsidR="00710329" w:rsidRPr="00D54E05" w:rsidRDefault="00710329" w:rsidP="00F245AF">
            <w:pPr>
              <w:jc w:val="right"/>
              <w:rPr>
                <w:rFonts w:cs="Calibri"/>
                <w:sz w:val="22"/>
                <w:szCs w:val="22"/>
              </w:rPr>
            </w:pPr>
            <w:r w:rsidRPr="00D54E05">
              <w:rPr>
                <w:rFonts w:cs="Calibri"/>
                <w:sz w:val="22"/>
                <w:szCs w:val="22"/>
              </w:rPr>
              <w:t>2,125</w:t>
            </w:r>
          </w:p>
        </w:tc>
        <w:tc>
          <w:tcPr>
            <w:tcW w:w="1101" w:type="dxa"/>
            <w:tcBorders>
              <w:top w:val="nil"/>
              <w:left w:val="nil"/>
              <w:bottom w:val="single" w:sz="4" w:space="0" w:color="auto"/>
              <w:right w:val="single" w:sz="4" w:space="0" w:color="auto"/>
            </w:tcBorders>
            <w:shd w:val="clear" w:color="auto" w:fill="auto"/>
            <w:noWrap/>
            <w:vAlign w:val="bottom"/>
            <w:hideMark/>
          </w:tcPr>
          <w:p w14:paraId="3EFFD667" w14:textId="77777777" w:rsidR="00710329" w:rsidRPr="00D54E05" w:rsidRDefault="00710329" w:rsidP="00F245AF">
            <w:pPr>
              <w:jc w:val="right"/>
              <w:rPr>
                <w:rFonts w:cs="Calibri"/>
                <w:sz w:val="22"/>
                <w:szCs w:val="22"/>
              </w:rPr>
            </w:pPr>
            <w:r w:rsidRPr="00D54E05">
              <w:rPr>
                <w:rFonts w:cs="Calibri"/>
                <w:sz w:val="22"/>
                <w:szCs w:val="22"/>
              </w:rPr>
              <w:t>18,872</w:t>
            </w:r>
          </w:p>
        </w:tc>
        <w:tc>
          <w:tcPr>
            <w:tcW w:w="1067" w:type="dxa"/>
            <w:tcBorders>
              <w:top w:val="nil"/>
              <w:left w:val="nil"/>
              <w:bottom w:val="single" w:sz="4" w:space="0" w:color="auto"/>
              <w:right w:val="single" w:sz="4" w:space="0" w:color="auto"/>
            </w:tcBorders>
            <w:shd w:val="clear" w:color="auto" w:fill="auto"/>
            <w:noWrap/>
            <w:vAlign w:val="bottom"/>
            <w:hideMark/>
          </w:tcPr>
          <w:p w14:paraId="77D10FF2" w14:textId="77777777" w:rsidR="00710329" w:rsidRPr="00D54E05" w:rsidRDefault="00710329" w:rsidP="00F245AF">
            <w:pPr>
              <w:jc w:val="right"/>
              <w:rPr>
                <w:rFonts w:cs="Calibri"/>
                <w:sz w:val="22"/>
                <w:szCs w:val="22"/>
              </w:rPr>
            </w:pPr>
            <w:r w:rsidRPr="00D54E05">
              <w:rPr>
                <w:rFonts w:cs="Calibri"/>
                <w:sz w:val="22"/>
                <w:szCs w:val="22"/>
              </w:rPr>
              <w:t>2.52</w:t>
            </w:r>
          </w:p>
        </w:tc>
        <w:tc>
          <w:tcPr>
            <w:tcW w:w="1067" w:type="dxa"/>
            <w:tcBorders>
              <w:top w:val="nil"/>
              <w:left w:val="nil"/>
              <w:bottom w:val="single" w:sz="4" w:space="0" w:color="auto"/>
              <w:right w:val="single" w:sz="4" w:space="0" w:color="auto"/>
            </w:tcBorders>
            <w:shd w:val="clear" w:color="auto" w:fill="auto"/>
            <w:noWrap/>
            <w:vAlign w:val="bottom"/>
            <w:hideMark/>
          </w:tcPr>
          <w:p w14:paraId="2A5DB1A6" w14:textId="77777777" w:rsidR="00710329" w:rsidRPr="00D54E05" w:rsidRDefault="00710329" w:rsidP="00F245AF">
            <w:pPr>
              <w:jc w:val="right"/>
              <w:rPr>
                <w:rFonts w:cs="Calibri"/>
                <w:sz w:val="22"/>
                <w:szCs w:val="22"/>
              </w:rPr>
            </w:pPr>
            <w:r w:rsidRPr="00D54E05">
              <w:rPr>
                <w:rFonts w:cs="Calibri"/>
                <w:sz w:val="22"/>
                <w:szCs w:val="22"/>
              </w:rPr>
              <w:t>0.31</w:t>
            </w:r>
          </w:p>
        </w:tc>
        <w:tc>
          <w:tcPr>
            <w:tcW w:w="792" w:type="dxa"/>
            <w:tcBorders>
              <w:top w:val="nil"/>
              <w:left w:val="nil"/>
              <w:bottom w:val="single" w:sz="4" w:space="0" w:color="auto"/>
              <w:right w:val="single" w:sz="4" w:space="0" w:color="auto"/>
            </w:tcBorders>
            <w:shd w:val="clear" w:color="auto" w:fill="auto"/>
            <w:noWrap/>
            <w:vAlign w:val="bottom"/>
            <w:hideMark/>
          </w:tcPr>
          <w:p w14:paraId="6774F529" w14:textId="77777777" w:rsidR="00710329" w:rsidRPr="00D54E05" w:rsidRDefault="00710329" w:rsidP="00F245AF">
            <w:pPr>
              <w:jc w:val="right"/>
              <w:rPr>
                <w:rFonts w:cs="Calibri"/>
                <w:sz w:val="22"/>
                <w:szCs w:val="22"/>
              </w:rPr>
            </w:pPr>
            <w:r w:rsidRPr="00D54E05">
              <w:rPr>
                <w:rFonts w:cs="Calibri"/>
                <w:sz w:val="22"/>
                <w:szCs w:val="22"/>
              </w:rPr>
              <w:t>12.3%</w:t>
            </w:r>
          </w:p>
        </w:tc>
        <w:tc>
          <w:tcPr>
            <w:tcW w:w="1063" w:type="dxa"/>
            <w:tcBorders>
              <w:top w:val="nil"/>
              <w:left w:val="nil"/>
              <w:bottom w:val="single" w:sz="4" w:space="0" w:color="auto"/>
              <w:right w:val="single" w:sz="4" w:space="0" w:color="auto"/>
            </w:tcBorders>
            <w:shd w:val="clear" w:color="auto" w:fill="auto"/>
            <w:noWrap/>
            <w:vAlign w:val="bottom"/>
            <w:hideMark/>
          </w:tcPr>
          <w:p w14:paraId="0CEE0728" w14:textId="77777777" w:rsidR="00710329" w:rsidRPr="00D54E05" w:rsidRDefault="00710329" w:rsidP="00F245AF">
            <w:pPr>
              <w:jc w:val="right"/>
              <w:rPr>
                <w:rFonts w:cs="Calibri"/>
                <w:sz w:val="22"/>
                <w:szCs w:val="22"/>
              </w:rPr>
            </w:pPr>
            <w:r w:rsidRPr="00D54E05">
              <w:rPr>
                <w:rFonts w:cs="Calibri"/>
                <w:sz w:val="22"/>
                <w:szCs w:val="22"/>
              </w:rPr>
              <w:t>0.7</w:t>
            </w:r>
          </w:p>
        </w:tc>
        <w:tc>
          <w:tcPr>
            <w:tcW w:w="718" w:type="dxa"/>
            <w:tcBorders>
              <w:top w:val="nil"/>
              <w:left w:val="nil"/>
              <w:bottom w:val="single" w:sz="4" w:space="0" w:color="auto"/>
              <w:right w:val="single" w:sz="4" w:space="0" w:color="auto"/>
            </w:tcBorders>
            <w:shd w:val="clear" w:color="auto" w:fill="auto"/>
            <w:noWrap/>
            <w:vAlign w:val="bottom"/>
            <w:hideMark/>
          </w:tcPr>
          <w:p w14:paraId="2295342B" w14:textId="77777777" w:rsidR="00710329" w:rsidRPr="00D54E05" w:rsidRDefault="00710329" w:rsidP="00F245AF">
            <w:pPr>
              <w:jc w:val="right"/>
              <w:rPr>
                <w:rFonts w:cs="Calibri"/>
                <w:sz w:val="22"/>
                <w:szCs w:val="22"/>
              </w:rPr>
            </w:pPr>
            <w:r w:rsidRPr="00D54E05">
              <w:rPr>
                <w:rFonts w:cs="Calibri"/>
                <w:sz w:val="22"/>
                <w:szCs w:val="22"/>
              </w:rPr>
              <w:t>99.1</w:t>
            </w:r>
          </w:p>
        </w:tc>
      </w:tr>
      <w:tr w:rsidR="00546AFB" w:rsidRPr="00D54E05" w14:paraId="12AD72D7"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65151E58" w14:textId="77777777" w:rsidR="00710329" w:rsidRPr="00D54E05" w:rsidRDefault="00710329" w:rsidP="00F245AF">
            <w:pPr>
              <w:rPr>
                <w:rFonts w:cs="Calibri"/>
                <w:sz w:val="22"/>
                <w:szCs w:val="22"/>
              </w:rPr>
            </w:pPr>
            <w:r w:rsidRPr="00D54E05">
              <w:rPr>
                <w:rFonts w:cs="Calibri"/>
                <w:sz w:val="22"/>
                <w:szCs w:val="22"/>
              </w:rPr>
              <w:t>Old Customer</w:t>
            </w:r>
          </w:p>
        </w:tc>
        <w:tc>
          <w:tcPr>
            <w:tcW w:w="829" w:type="dxa"/>
            <w:tcBorders>
              <w:top w:val="nil"/>
              <w:left w:val="nil"/>
              <w:bottom w:val="single" w:sz="4" w:space="0" w:color="auto"/>
              <w:right w:val="single" w:sz="4" w:space="0" w:color="auto"/>
            </w:tcBorders>
            <w:shd w:val="clear" w:color="000000" w:fill="D9E1F2"/>
            <w:noWrap/>
            <w:vAlign w:val="bottom"/>
            <w:hideMark/>
          </w:tcPr>
          <w:p w14:paraId="763A04B6" w14:textId="77777777" w:rsidR="00710329" w:rsidRPr="00D54E05" w:rsidRDefault="00710329" w:rsidP="00F245AF">
            <w:pPr>
              <w:jc w:val="right"/>
              <w:rPr>
                <w:rFonts w:cs="Calibri"/>
                <w:sz w:val="22"/>
                <w:szCs w:val="22"/>
              </w:rPr>
            </w:pPr>
            <w:r w:rsidRPr="00D54E05">
              <w:rPr>
                <w:rFonts w:cs="Calibri"/>
                <w:sz w:val="22"/>
                <w:szCs w:val="22"/>
              </w:rPr>
              <w:t>9,408</w:t>
            </w:r>
          </w:p>
        </w:tc>
        <w:tc>
          <w:tcPr>
            <w:tcW w:w="1101" w:type="dxa"/>
            <w:tcBorders>
              <w:top w:val="nil"/>
              <w:left w:val="nil"/>
              <w:bottom w:val="single" w:sz="4" w:space="0" w:color="auto"/>
              <w:right w:val="single" w:sz="4" w:space="0" w:color="auto"/>
            </w:tcBorders>
            <w:shd w:val="clear" w:color="000000" w:fill="D9E1F2"/>
            <w:noWrap/>
            <w:vAlign w:val="bottom"/>
            <w:hideMark/>
          </w:tcPr>
          <w:p w14:paraId="2AD3A5CA" w14:textId="77777777" w:rsidR="00710329" w:rsidRPr="00D54E05" w:rsidRDefault="00710329" w:rsidP="00F245AF">
            <w:pPr>
              <w:jc w:val="right"/>
              <w:rPr>
                <w:rFonts w:cs="Calibri"/>
                <w:sz w:val="22"/>
                <w:szCs w:val="22"/>
              </w:rPr>
            </w:pPr>
            <w:r w:rsidRPr="00D54E05">
              <w:rPr>
                <w:rFonts w:cs="Calibri"/>
                <w:sz w:val="22"/>
                <w:szCs w:val="22"/>
              </w:rPr>
              <w:t>82,371</w:t>
            </w:r>
          </w:p>
        </w:tc>
        <w:tc>
          <w:tcPr>
            <w:tcW w:w="1067" w:type="dxa"/>
            <w:tcBorders>
              <w:top w:val="nil"/>
              <w:left w:val="nil"/>
              <w:bottom w:val="single" w:sz="4" w:space="0" w:color="auto"/>
              <w:right w:val="single" w:sz="4" w:space="0" w:color="auto"/>
            </w:tcBorders>
            <w:shd w:val="clear" w:color="000000" w:fill="D9E1F2"/>
            <w:noWrap/>
            <w:vAlign w:val="bottom"/>
            <w:hideMark/>
          </w:tcPr>
          <w:p w14:paraId="148C10F9" w14:textId="77777777" w:rsidR="00710329" w:rsidRPr="00D54E05" w:rsidRDefault="00710329" w:rsidP="00F245AF">
            <w:pPr>
              <w:jc w:val="right"/>
              <w:rPr>
                <w:rFonts w:cs="Calibri"/>
                <w:sz w:val="22"/>
                <w:szCs w:val="22"/>
              </w:rPr>
            </w:pPr>
            <w:r w:rsidRPr="00D54E05">
              <w:rPr>
                <w:rFonts w:cs="Calibri"/>
                <w:sz w:val="22"/>
                <w:szCs w:val="22"/>
              </w:rPr>
              <w:t>2.46</w:t>
            </w:r>
          </w:p>
        </w:tc>
        <w:tc>
          <w:tcPr>
            <w:tcW w:w="1067" w:type="dxa"/>
            <w:tcBorders>
              <w:top w:val="nil"/>
              <w:left w:val="nil"/>
              <w:bottom w:val="single" w:sz="4" w:space="0" w:color="auto"/>
              <w:right w:val="single" w:sz="4" w:space="0" w:color="auto"/>
            </w:tcBorders>
            <w:shd w:val="clear" w:color="000000" w:fill="D9E1F2"/>
            <w:noWrap/>
            <w:vAlign w:val="bottom"/>
            <w:hideMark/>
          </w:tcPr>
          <w:p w14:paraId="5C73EB16" w14:textId="77777777" w:rsidR="00710329" w:rsidRPr="00D54E05" w:rsidRDefault="00710329" w:rsidP="00F245AF">
            <w:pPr>
              <w:jc w:val="right"/>
              <w:rPr>
                <w:rFonts w:cs="Calibri"/>
                <w:sz w:val="22"/>
                <w:szCs w:val="22"/>
              </w:rPr>
            </w:pPr>
            <w:r w:rsidRPr="00D54E05">
              <w:rPr>
                <w:rFonts w:cs="Calibri"/>
                <w:sz w:val="22"/>
                <w:szCs w:val="22"/>
              </w:rPr>
              <w:t>0.33</w:t>
            </w:r>
          </w:p>
        </w:tc>
        <w:tc>
          <w:tcPr>
            <w:tcW w:w="792" w:type="dxa"/>
            <w:tcBorders>
              <w:top w:val="nil"/>
              <w:left w:val="nil"/>
              <w:bottom w:val="single" w:sz="4" w:space="0" w:color="auto"/>
              <w:right w:val="single" w:sz="4" w:space="0" w:color="auto"/>
            </w:tcBorders>
            <w:shd w:val="clear" w:color="000000" w:fill="D9E1F2"/>
            <w:noWrap/>
            <w:vAlign w:val="bottom"/>
            <w:hideMark/>
          </w:tcPr>
          <w:p w14:paraId="660E8188" w14:textId="77777777" w:rsidR="00710329" w:rsidRPr="00D54E05" w:rsidRDefault="00710329" w:rsidP="00F245AF">
            <w:pPr>
              <w:jc w:val="right"/>
              <w:rPr>
                <w:rFonts w:cs="Calibri"/>
                <w:sz w:val="22"/>
                <w:szCs w:val="22"/>
              </w:rPr>
            </w:pPr>
            <w:r w:rsidRPr="00D54E05">
              <w:rPr>
                <w:rFonts w:cs="Calibri"/>
                <w:sz w:val="22"/>
                <w:szCs w:val="22"/>
              </w:rPr>
              <w:t>13.6%</w:t>
            </w:r>
          </w:p>
        </w:tc>
        <w:tc>
          <w:tcPr>
            <w:tcW w:w="1063" w:type="dxa"/>
            <w:tcBorders>
              <w:top w:val="nil"/>
              <w:left w:val="nil"/>
              <w:bottom w:val="single" w:sz="4" w:space="0" w:color="auto"/>
              <w:right w:val="single" w:sz="4" w:space="0" w:color="auto"/>
            </w:tcBorders>
            <w:shd w:val="clear" w:color="000000" w:fill="D9E1F2"/>
            <w:noWrap/>
            <w:vAlign w:val="bottom"/>
            <w:hideMark/>
          </w:tcPr>
          <w:p w14:paraId="558C36BD" w14:textId="77777777" w:rsidR="00710329" w:rsidRPr="00D54E05" w:rsidRDefault="00710329" w:rsidP="00F245AF">
            <w:pPr>
              <w:jc w:val="right"/>
              <w:rPr>
                <w:rFonts w:cs="Calibri"/>
                <w:sz w:val="22"/>
                <w:szCs w:val="22"/>
              </w:rPr>
            </w:pPr>
            <w:r w:rsidRPr="00D54E05">
              <w:rPr>
                <w:rFonts w:cs="Calibri"/>
                <w:sz w:val="22"/>
                <w:szCs w:val="22"/>
              </w:rPr>
              <w:t>3.1</w:t>
            </w:r>
          </w:p>
        </w:tc>
        <w:tc>
          <w:tcPr>
            <w:tcW w:w="718" w:type="dxa"/>
            <w:tcBorders>
              <w:top w:val="nil"/>
              <w:left w:val="nil"/>
              <w:bottom w:val="single" w:sz="4" w:space="0" w:color="auto"/>
              <w:right w:val="single" w:sz="4" w:space="0" w:color="auto"/>
            </w:tcBorders>
            <w:shd w:val="clear" w:color="000000" w:fill="D9E1F2"/>
            <w:noWrap/>
            <w:vAlign w:val="bottom"/>
            <w:hideMark/>
          </w:tcPr>
          <w:p w14:paraId="7F1CE5EB" w14:textId="77777777" w:rsidR="00710329" w:rsidRPr="00D54E05" w:rsidRDefault="00710329" w:rsidP="00F245AF">
            <w:pPr>
              <w:jc w:val="right"/>
              <w:rPr>
                <w:rFonts w:cs="Calibri"/>
                <w:sz w:val="22"/>
                <w:szCs w:val="22"/>
              </w:rPr>
            </w:pPr>
            <w:r w:rsidRPr="00D54E05">
              <w:rPr>
                <w:rFonts w:cs="Calibri"/>
                <w:sz w:val="22"/>
                <w:szCs w:val="22"/>
              </w:rPr>
              <w:t>98.5</w:t>
            </w:r>
          </w:p>
        </w:tc>
      </w:tr>
      <w:tr w:rsidR="00546AFB" w:rsidRPr="00D54E05" w14:paraId="63795C7D"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231B6F5C" w14:textId="77777777" w:rsidR="00710329" w:rsidRPr="00D54E05" w:rsidRDefault="00710329" w:rsidP="00F245AF">
            <w:pPr>
              <w:rPr>
                <w:rFonts w:cs="Calibri"/>
                <w:sz w:val="22"/>
                <w:szCs w:val="22"/>
              </w:rPr>
            </w:pPr>
            <w:r w:rsidRPr="00D54E05">
              <w:rPr>
                <w:rFonts w:cs="Calibri"/>
                <w:sz w:val="22"/>
                <w:szCs w:val="22"/>
              </w:rPr>
              <w:t>New Customer</w:t>
            </w:r>
          </w:p>
        </w:tc>
        <w:tc>
          <w:tcPr>
            <w:tcW w:w="829" w:type="dxa"/>
            <w:tcBorders>
              <w:top w:val="nil"/>
              <w:left w:val="nil"/>
              <w:bottom w:val="single" w:sz="4" w:space="0" w:color="auto"/>
              <w:right w:val="single" w:sz="4" w:space="0" w:color="auto"/>
            </w:tcBorders>
            <w:shd w:val="clear" w:color="000000" w:fill="D9E1F2"/>
            <w:noWrap/>
            <w:vAlign w:val="bottom"/>
            <w:hideMark/>
          </w:tcPr>
          <w:p w14:paraId="6E8BDA4F" w14:textId="77777777" w:rsidR="00710329" w:rsidRPr="00D54E05" w:rsidRDefault="00710329" w:rsidP="00F245AF">
            <w:pPr>
              <w:jc w:val="right"/>
              <w:rPr>
                <w:rFonts w:cs="Calibri"/>
                <w:sz w:val="22"/>
                <w:szCs w:val="22"/>
              </w:rPr>
            </w:pPr>
            <w:r w:rsidRPr="00D54E05">
              <w:rPr>
                <w:rFonts w:cs="Calibri"/>
                <w:sz w:val="22"/>
                <w:szCs w:val="22"/>
              </w:rPr>
              <w:t>2,332</w:t>
            </w:r>
          </w:p>
        </w:tc>
        <w:tc>
          <w:tcPr>
            <w:tcW w:w="1101" w:type="dxa"/>
            <w:tcBorders>
              <w:top w:val="nil"/>
              <w:left w:val="nil"/>
              <w:bottom w:val="single" w:sz="4" w:space="0" w:color="auto"/>
              <w:right w:val="single" w:sz="4" w:space="0" w:color="auto"/>
            </w:tcBorders>
            <w:shd w:val="clear" w:color="000000" w:fill="D9E1F2"/>
            <w:noWrap/>
            <w:vAlign w:val="bottom"/>
            <w:hideMark/>
          </w:tcPr>
          <w:p w14:paraId="06430A41" w14:textId="77777777" w:rsidR="00710329" w:rsidRPr="00D54E05" w:rsidRDefault="00710329" w:rsidP="00F245AF">
            <w:pPr>
              <w:jc w:val="right"/>
              <w:rPr>
                <w:rFonts w:cs="Calibri"/>
                <w:sz w:val="22"/>
                <w:szCs w:val="22"/>
              </w:rPr>
            </w:pPr>
            <w:r w:rsidRPr="00D54E05">
              <w:rPr>
                <w:rFonts w:cs="Calibri"/>
                <w:sz w:val="22"/>
                <w:szCs w:val="22"/>
              </w:rPr>
              <w:t>20,069</w:t>
            </w:r>
          </w:p>
        </w:tc>
        <w:tc>
          <w:tcPr>
            <w:tcW w:w="1067" w:type="dxa"/>
            <w:tcBorders>
              <w:top w:val="nil"/>
              <w:left w:val="nil"/>
              <w:bottom w:val="single" w:sz="4" w:space="0" w:color="auto"/>
              <w:right w:val="single" w:sz="4" w:space="0" w:color="auto"/>
            </w:tcBorders>
            <w:shd w:val="clear" w:color="000000" w:fill="D9E1F2"/>
            <w:noWrap/>
            <w:vAlign w:val="bottom"/>
            <w:hideMark/>
          </w:tcPr>
          <w:p w14:paraId="54ED1556" w14:textId="77777777" w:rsidR="00710329" w:rsidRPr="00D54E05" w:rsidRDefault="00710329" w:rsidP="00F245AF">
            <w:pPr>
              <w:jc w:val="right"/>
              <w:rPr>
                <w:rFonts w:cs="Calibri"/>
                <w:sz w:val="22"/>
                <w:szCs w:val="22"/>
              </w:rPr>
            </w:pPr>
            <w:r w:rsidRPr="00D54E05">
              <w:rPr>
                <w:rFonts w:cs="Calibri"/>
                <w:sz w:val="22"/>
                <w:szCs w:val="22"/>
              </w:rPr>
              <w:t>2.68</w:t>
            </w:r>
          </w:p>
        </w:tc>
        <w:tc>
          <w:tcPr>
            <w:tcW w:w="1067" w:type="dxa"/>
            <w:tcBorders>
              <w:top w:val="nil"/>
              <w:left w:val="nil"/>
              <w:bottom w:val="single" w:sz="4" w:space="0" w:color="auto"/>
              <w:right w:val="single" w:sz="4" w:space="0" w:color="auto"/>
            </w:tcBorders>
            <w:shd w:val="clear" w:color="000000" w:fill="D9E1F2"/>
            <w:noWrap/>
            <w:vAlign w:val="bottom"/>
            <w:hideMark/>
          </w:tcPr>
          <w:p w14:paraId="26586726" w14:textId="77777777" w:rsidR="00710329" w:rsidRPr="00D54E05" w:rsidRDefault="00710329" w:rsidP="00F245AF">
            <w:pPr>
              <w:jc w:val="right"/>
              <w:rPr>
                <w:rFonts w:cs="Calibri"/>
                <w:sz w:val="22"/>
                <w:szCs w:val="22"/>
              </w:rPr>
            </w:pPr>
            <w:r w:rsidRPr="00D54E05">
              <w:rPr>
                <w:rFonts w:cs="Calibri"/>
                <w:sz w:val="22"/>
                <w:szCs w:val="22"/>
              </w:rPr>
              <w:t>0.48</w:t>
            </w:r>
          </w:p>
        </w:tc>
        <w:tc>
          <w:tcPr>
            <w:tcW w:w="792" w:type="dxa"/>
            <w:tcBorders>
              <w:top w:val="nil"/>
              <w:left w:val="nil"/>
              <w:bottom w:val="single" w:sz="4" w:space="0" w:color="auto"/>
              <w:right w:val="single" w:sz="4" w:space="0" w:color="auto"/>
            </w:tcBorders>
            <w:shd w:val="clear" w:color="000000" w:fill="D9E1F2"/>
            <w:noWrap/>
            <w:vAlign w:val="bottom"/>
            <w:hideMark/>
          </w:tcPr>
          <w:p w14:paraId="2879EDA7" w14:textId="77777777" w:rsidR="00710329" w:rsidRPr="00D54E05" w:rsidRDefault="00710329" w:rsidP="00F245AF">
            <w:pPr>
              <w:jc w:val="right"/>
              <w:rPr>
                <w:rFonts w:cs="Calibri"/>
                <w:sz w:val="22"/>
                <w:szCs w:val="22"/>
              </w:rPr>
            </w:pPr>
            <w:r w:rsidRPr="00D54E05">
              <w:rPr>
                <w:rFonts w:cs="Calibri"/>
                <w:sz w:val="22"/>
                <w:szCs w:val="22"/>
              </w:rPr>
              <w:t>17.9%</w:t>
            </w:r>
          </w:p>
        </w:tc>
        <w:tc>
          <w:tcPr>
            <w:tcW w:w="1063" w:type="dxa"/>
            <w:tcBorders>
              <w:top w:val="nil"/>
              <w:left w:val="nil"/>
              <w:bottom w:val="single" w:sz="4" w:space="0" w:color="auto"/>
              <w:right w:val="single" w:sz="4" w:space="0" w:color="auto"/>
            </w:tcBorders>
            <w:shd w:val="clear" w:color="000000" w:fill="D9E1F2"/>
            <w:noWrap/>
            <w:vAlign w:val="bottom"/>
            <w:hideMark/>
          </w:tcPr>
          <w:p w14:paraId="689EF921" w14:textId="77777777" w:rsidR="00710329" w:rsidRPr="00D54E05" w:rsidRDefault="00710329" w:rsidP="00F245AF">
            <w:pPr>
              <w:jc w:val="right"/>
              <w:rPr>
                <w:rFonts w:cs="Calibri"/>
                <w:sz w:val="22"/>
                <w:szCs w:val="22"/>
              </w:rPr>
            </w:pPr>
            <w:r w:rsidRPr="00D54E05">
              <w:rPr>
                <w:rFonts w:cs="Calibri"/>
                <w:sz w:val="22"/>
                <w:szCs w:val="22"/>
              </w:rPr>
              <w:t>1.1</w:t>
            </w:r>
          </w:p>
        </w:tc>
        <w:tc>
          <w:tcPr>
            <w:tcW w:w="718" w:type="dxa"/>
            <w:tcBorders>
              <w:top w:val="nil"/>
              <w:left w:val="nil"/>
              <w:bottom w:val="single" w:sz="4" w:space="0" w:color="auto"/>
              <w:right w:val="single" w:sz="4" w:space="0" w:color="auto"/>
            </w:tcBorders>
            <w:shd w:val="clear" w:color="000000" w:fill="D9E1F2"/>
            <w:noWrap/>
            <w:vAlign w:val="bottom"/>
            <w:hideMark/>
          </w:tcPr>
          <w:p w14:paraId="35C8628C" w14:textId="77777777" w:rsidR="00710329" w:rsidRPr="00D54E05" w:rsidRDefault="00710329" w:rsidP="00F245AF">
            <w:pPr>
              <w:jc w:val="right"/>
              <w:rPr>
                <w:rFonts w:cs="Calibri"/>
                <w:sz w:val="22"/>
                <w:szCs w:val="22"/>
              </w:rPr>
            </w:pPr>
            <w:r w:rsidRPr="00D54E05">
              <w:rPr>
                <w:rFonts w:cs="Calibri"/>
                <w:sz w:val="22"/>
                <w:szCs w:val="22"/>
              </w:rPr>
              <w:t>99.1</w:t>
            </w:r>
          </w:p>
        </w:tc>
      </w:tr>
      <w:tr w:rsidR="00710329" w:rsidRPr="00D54E05" w14:paraId="2E88DDCC"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14:paraId="41DE1A20" w14:textId="77777777" w:rsidR="00710329" w:rsidRPr="00D54E05" w:rsidRDefault="00710329" w:rsidP="00F245AF">
            <w:pPr>
              <w:rPr>
                <w:rFonts w:cs="Calibri"/>
                <w:sz w:val="22"/>
                <w:szCs w:val="22"/>
              </w:rPr>
            </w:pPr>
            <w:r w:rsidRPr="00D54E05">
              <w:rPr>
                <w:rFonts w:cs="Calibri"/>
                <w:sz w:val="22"/>
                <w:szCs w:val="22"/>
              </w:rPr>
              <w:t>CARE</w:t>
            </w:r>
          </w:p>
        </w:tc>
        <w:tc>
          <w:tcPr>
            <w:tcW w:w="829" w:type="dxa"/>
            <w:tcBorders>
              <w:top w:val="nil"/>
              <w:left w:val="nil"/>
              <w:bottom w:val="single" w:sz="4" w:space="0" w:color="auto"/>
              <w:right w:val="single" w:sz="4" w:space="0" w:color="auto"/>
            </w:tcBorders>
            <w:shd w:val="clear" w:color="auto" w:fill="auto"/>
            <w:noWrap/>
            <w:vAlign w:val="bottom"/>
            <w:hideMark/>
          </w:tcPr>
          <w:p w14:paraId="009D1AFD" w14:textId="77777777" w:rsidR="00710329" w:rsidRPr="00D54E05" w:rsidRDefault="00710329" w:rsidP="00F245AF">
            <w:pPr>
              <w:jc w:val="right"/>
              <w:rPr>
                <w:rFonts w:cs="Calibri"/>
                <w:sz w:val="22"/>
                <w:szCs w:val="22"/>
              </w:rPr>
            </w:pPr>
            <w:r w:rsidRPr="00D54E05">
              <w:rPr>
                <w:rFonts w:cs="Calibri"/>
                <w:sz w:val="22"/>
                <w:szCs w:val="22"/>
              </w:rPr>
              <w:t>4,105</w:t>
            </w:r>
          </w:p>
        </w:tc>
        <w:tc>
          <w:tcPr>
            <w:tcW w:w="1101" w:type="dxa"/>
            <w:tcBorders>
              <w:top w:val="nil"/>
              <w:left w:val="nil"/>
              <w:bottom w:val="single" w:sz="4" w:space="0" w:color="auto"/>
              <w:right w:val="single" w:sz="4" w:space="0" w:color="auto"/>
            </w:tcBorders>
            <w:shd w:val="clear" w:color="auto" w:fill="auto"/>
            <w:noWrap/>
            <w:vAlign w:val="bottom"/>
            <w:hideMark/>
          </w:tcPr>
          <w:p w14:paraId="26211BD3" w14:textId="77777777" w:rsidR="00710329" w:rsidRPr="00D54E05" w:rsidRDefault="00710329" w:rsidP="00F245AF">
            <w:pPr>
              <w:jc w:val="right"/>
              <w:rPr>
                <w:rFonts w:cs="Calibri"/>
                <w:sz w:val="22"/>
                <w:szCs w:val="22"/>
              </w:rPr>
            </w:pPr>
            <w:r w:rsidRPr="00D54E05">
              <w:rPr>
                <w:rFonts w:cs="Calibri"/>
                <w:sz w:val="22"/>
                <w:szCs w:val="22"/>
              </w:rPr>
              <w:t>29,602</w:t>
            </w:r>
          </w:p>
        </w:tc>
        <w:tc>
          <w:tcPr>
            <w:tcW w:w="1067" w:type="dxa"/>
            <w:tcBorders>
              <w:top w:val="nil"/>
              <w:left w:val="nil"/>
              <w:bottom w:val="single" w:sz="4" w:space="0" w:color="auto"/>
              <w:right w:val="single" w:sz="4" w:space="0" w:color="auto"/>
            </w:tcBorders>
            <w:shd w:val="clear" w:color="auto" w:fill="auto"/>
            <w:noWrap/>
            <w:vAlign w:val="bottom"/>
            <w:hideMark/>
          </w:tcPr>
          <w:p w14:paraId="5F35452B" w14:textId="77777777" w:rsidR="00710329" w:rsidRPr="00D54E05" w:rsidRDefault="00710329" w:rsidP="00F245AF">
            <w:pPr>
              <w:jc w:val="right"/>
              <w:rPr>
                <w:rFonts w:cs="Calibri"/>
                <w:sz w:val="22"/>
                <w:szCs w:val="22"/>
              </w:rPr>
            </w:pPr>
            <w:r w:rsidRPr="00D54E05">
              <w:rPr>
                <w:rFonts w:cs="Calibri"/>
                <w:sz w:val="22"/>
                <w:szCs w:val="22"/>
              </w:rPr>
              <w:t>2.78</w:t>
            </w:r>
          </w:p>
        </w:tc>
        <w:tc>
          <w:tcPr>
            <w:tcW w:w="1067" w:type="dxa"/>
            <w:tcBorders>
              <w:top w:val="nil"/>
              <w:left w:val="nil"/>
              <w:bottom w:val="single" w:sz="4" w:space="0" w:color="auto"/>
              <w:right w:val="single" w:sz="4" w:space="0" w:color="auto"/>
            </w:tcBorders>
            <w:shd w:val="clear" w:color="auto" w:fill="auto"/>
            <w:noWrap/>
            <w:vAlign w:val="bottom"/>
            <w:hideMark/>
          </w:tcPr>
          <w:p w14:paraId="19AB6DF5" w14:textId="77777777" w:rsidR="00710329" w:rsidRPr="00D54E05" w:rsidRDefault="00710329" w:rsidP="00F245AF">
            <w:pPr>
              <w:jc w:val="right"/>
              <w:rPr>
                <w:rFonts w:cs="Calibri"/>
                <w:sz w:val="22"/>
                <w:szCs w:val="22"/>
              </w:rPr>
            </w:pPr>
            <w:r w:rsidRPr="00D54E05">
              <w:rPr>
                <w:rFonts w:cs="Calibri"/>
                <w:sz w:val="22"/>
                <w:szCs w:val="22"/>
              </w:rPr>
              <w:t>0.42</w:t>
            </w:r>
          </w:p>
        </w:tc>
        <w:tc>
          <w:tcPr>
            <w:tcW w:w="792" w:type="dxa"/>
            <w:tcBorders>
              <w:top w:val="nil"/>
              <w:left w:val="nil"/>
              <w:bottom w:val="single" w:sz="4" w:space="0" w:color="auto"/>
              <w:right w:val="single" w:sz="4" w:space="0" w:color="auto"/>
            </w:tcBorders>
            <w:shd w:val="clear" w:color="auto" w:fill="auto"/>
            <w:noWrap/>
            <w:vAlign w:val="bottom"/>
            <w:hideMark/>
          </w:tcPr>
          <w:p w14:paraId="60A61E61" w14:textId="77777777" w:rsidR="00710329" w:rsidRPr="00D54E05" w:rsidRDefault="00710329" w:rsidP="00F245AF">
            <w:pPr>
              <w:jc w:val="right"/>
              <w:rPr>
                <w:rFonts w:cs="Calibri"/>
                <w:sz w:val="22"/>
                <w:szCs w:val="22"/>
              </w:rPr>
            </w:pPr>
            <w:r w:rsidRPr="00D54E05">
              <w:rPr>
                <w:rFonts w:cs="Calibri"/>
                <w:sz w:val="22"/>
                <w:szCs w:val="22"/>
              </w:rPr>
              <w:t>15.0%</w:t>
            </w:r>
          </w:p>
        </w:tc>
        <w:tc>
          <w:tcPr>
            <w:tcW w:w="1063" w:type="dxa"/>
            <w:tcBorders>
              <w:top w:val="nil"/>
              <w:left w:val="nil"/>
              <w:bottom w:val="single" w:sz="4" w:space="0" w:color="auto"/>
              <w:right w:val="single" w:sz="4" w:space="0" w:color="auto"/>
            </w:tcBorders>
            <w:shd w:val="clear" w:color="auto" w:fill="auto"/>
            <w:noWrap/>
            <w:vAlign w:val="bottom"/>
            <w:hideMark/>
          </w:tcPr>
          <w:p w14:paraId="5FE848ED" w14:textId="77777777" w:rsidR="00710329" w:rsidRPr="00D54E05" w:rsidRDefault="00710329" w:rsidP="00F245AF">
            <w:pPr>
              <w:jc w:val="right"/>
              <w:rPr>
                <w:rFonts w:cs="Calibri"/>
                <w:sz w:val="22"/>
                <w:szCs w:val="22"/>
              </w:rPr>
            </w:pPr>
            <w:r w:rsidRPr="00D54E05">
              <w:rPr>
                <w:rFonts w:cs="Calibri"/>
                <w:sz w:val="22"/>
                <w:szCs w:val="22"/>
              </w:rPr>
              <w:t>1.7</w:t>
            </w:r>
          </w:p>
        </w:tc>
        <w:tc>
          <w:tcPr>
            <w:tcW w:w="718" w:type="dxa"/>
            <w:tcBorders>
              <w:top w:val="nil"/>
              <w:left w:val="nil"/>
              <w:bottom w:val="single" w:sz="4" w:space="0" w:color="auto"/>
              <w:right w:val="single" w:sz="4" w:space="0" w:color="auto"/>
            </w:tcBorders>
            <w:shd w:val="clear" w:color="auto" w:fill="auto"/>
            <w:noWrap/>
            <w:vAlign w:val="bottom"/>
            <w:hideMark/>
          </w:tcPr>
          <w:p w14:paraId="6D429632" w14:textId="77777777" w:rsidR="00710329" w:rsidRPr="00D54E05" w:rsidRDefault="00710329" w:rsidP="00F245AF">
            <w:pPr>
              <w:jc w:val="right"/>
              <w:rPr>
                <w:rFonts w:cs="Calibri"/>
                <w:sz w:val="22"/>
                <w:szCs w:val="22"/>
              </w:rPr>
            </w:pPr>
            <w:r w:rsidRPr="00D54E05">
              <w:rPr>
                <w:rFonts w:cs="Calibri"/>
                <w:sz w:val="22"/>
                <w:szCs w:val="22"/>
              </w:rPr>
              <w:t>100.5</w:t>
            </w:r>
          </w:p>
        </w:tc>
      </w:tr>
      <w:tr w:rsidR="00710329" w:rsidRPr="00D54E05" w14:paraId="3B726268"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14:paraId="53B1A8A9" w14:textId="77777777" w:rsidR="00710329" w:rsidRPr="00D54E05" w:rsidRDefault="00710329" w:rsidP="00F245AF">
            <w:pPr>
              <w:rPr>
                <w:rFonts w:cs="Calibri"/>
                <w:sz w:val="22"/>
                <w:szCs w:val="22"/>
              </w:rPr>
            </w:pPr>
            <w:r w:rsidRPr="00D54E05">
              <w:rPr>
                <w:rFonts w:cs="Calibri"/>
                <w:sz w:val="22"/>
                <w:szCs w:val="22"/>
              </w:rPr>
              <w:t>Non-CARE</w:t>
            </w:r>
          </w:p>
        </w:tc>
        <w:tc>
          <w:tcPr>
            <w:tcW w:w="829" w:type="dxa"/>
            <w:tcBorders>
              <w:top w:val="nil"/>
              <w:left w:val="nil"/>
              <w:bottom w:val="single" w:sz="4" w:space="0" w:color="auto"/>
              <w:right w:val="single" w:sz="4" w:space="0" w:color="auto"/>
            </w:tcBorders>
            <w:shd w:val="clear" w:color="auto" w:fill="auto"/>
            <w:noWrap/>
            <w:vAlign w:val="bottom"/>
            <w:hideMark/>
          </w:tcPr>
          <w:p w14:paraId="61A03528" w14:textId="77777777" w:rsidR="00710329" w:rsidRPr="00D54E05" w:rsidRDefault="00710329" w:rsidP="00F245AF">
            <w:pPr>
              <w:jc w:val="right"/>
              <w:rPr>
                <w:rFonts w:cs="Calibri"/>
                <w:sz w:val="22"/>
                <w:szCs w:val="22"/>
              </w:rPr>
            </w:pPr>
            <w:r w:rsidRPr="00D54E05">
              <w:rPr>
                <w:rFonts w:cs="Calibri"/>
                <w:sz w:val="22"/>
                <w:szCs w:val="22"/>
              </w:rPr>
              <w:t>7,635</w:t>
            </w:r>
          </w:p>
        </w:tc>
        <w:tc>
          <w:tcPr>
            <w:tcW w:w="1101" w:type="dxa"/>
            <w:tcBorders>
              <w:top w:val="nil"/>
              <w:left w:val="nil"/>
              <w:bottom w:val="single" w:sz="4" w:space="0" w:color="auto"/>
              <w:right w:val="single" w:sz="4" w:space="0" w:color="auto"/>
            </w:tcBorders>
            <w:shd w:val="clear" w:color="auto" w:fill="auto"/>
            <w:noWrap/>
            <w:vAlign w:val="bottom"/>
            <w:hideMark/>
          </w:tcPr>
          <w:p w14:paraId="5A243099" w14:textId="77777777" w:rsidR="00710329" w:rsidRPr="00D54E05" w:rsidRDefault="00710329" w:rsidP="00F245AF">
            <w:pPr>
              <w:jc w:val="right"/>
              <w:rPr>
                <w:rFonts w:cs="Calibri"/>
                <w:sz w:val="22"/>
                <w:szCs w:val="22"/>
              </w:rPr>
            </w:pPr>
            <w:r w:rsidRPr="00D54E05">
              <w:rPr>
                <w:rFonts w:cs="Calibri"/>
                <w:sz w:val="22"/>
                <w:szCs w:val="22"/>
              </w:rPr>
              <w:t>72,838</w:t>
            </w:r>
          </w:p>
        </w:tc>
        <w:tc>
          <w:tcPr>
            <w:tcW w:w="1067" w:type="dxa"/>
            <w:tcBorders>
              <w:top w:val="nil"/>
              <w:left w:val="nil"/>
              <w:bottom w:val="single" w:sz="4" w:space="0" w:color="auto"/>
              <w:right w:val="single" w:sz="4" w:space="0" w:color="auto"/>
            </w:tcBorders>
            <w:shd w:val="clear" w:color="auto" w:fill="auto"/>
            <w:noWrap/>
            <w:vAlign w:val="bottom"/>
            <w:hideMark/>
          </w:tcPr>
          <w:p w14:paraId="39693B18" w14:textId="77777777" w:rsidR="00710329" w:rsidRPr="00D54E05" w:rsidRDefault="00710329" w:rsidP="00F245AF">
            <w:pPr>
              <w:jc w:val="right"/>
              <w:rPr>
                <w:rFonts w:cs="Calibri"/>
                <w:sz w:val="22"/>
                <w:szCs w:val="22"/>
              </w:rPr>
            </w:pPr>
            <w:r w:rsidRPr="00D54E05">
              <w:rPr>
                <w:rFonts w:cs="Calibri"/>
                <w:sz w:val="22"/>
                <w:szCs w:val="22"/>
              </w:rPr>
              <w:t>2.36</w:t>
            </w:r>
          </w:p>
        </w:tc>
        <w:tc>
          <w:tcPr>
            <w:tcW w:w="1067" w:type="dxa"/>
            <w:tcBorders>
              <w:top w:val="nil"/>
              <w:left w:val="nil"/>
              <w:bottom w:val="single" w:sz="4" w:space="0" w:color="auto"/>
              <w:right w:val="single" w:sz="4" w:space="0" w:color="auto"/>
            </w:tcBorders>
            <w:shd w:val="clear" w:color="auto" w:fill="auto"/>
            <w:noWrap/>
            <w:vAlign w:val="bottom"/>
            <w:hideMark/>
          </w:tcPr>
          <w:p w14:paraId="150CD592" w14:textId="77777777" w:rsidR="00710329" w:rsidRPr="00D54E05" w:rsidRDefault="00710329" w:rsidP="00F245AF">
            <w:pPr>
              <w:jc w:val="right"/>
              <w:rPr>
                <w:rFonts w:cs="Calibri"/>
                <w:sz w:val="22"/>
                <w:szCs w:val="22"/>
              </w:rPr>
            </w:pPr>
            <w:r w:rsidRPr="00D54E05">
              <w:rPr>
                <w:rFonts w:cs="Calibri"/>
                <w:sz w:val="22"/>
                <w:szCs w:val="22"/>
              </w:rPr>
              <w:t>0.34</w:t>
            </w:r>
          </w:p>
        </w:tc>
        <w:tc>
          <w:tcPr>
            <w:tcW w:w="792" w:type="dxa"/>
            <w:tcBorders>
              <w:top w:val="nil"/>
              <w:left w:val="nil"/>
              <w:bottom w:val="single" w:sz="4" w:space="0" w:color="auto"/>
              <w:right w:val="single" w:sz="4" w:space="0" w:color="auto"/>
            </w:tcBorders>
            <w:shd w:val="clear" w:color="auto" w:fill="auto"/>
            <w:noWrap/>
            <w:vAlign w:val="bottom"/>
            <w:hideMark/>
          </w:tcPr>
          <w:p w14:paraId="286A1151" w14:textId="77777777" w:rsidR="00710329" w:rsidRPr="00D54E05" w:rsidRDefault="00710329" w:rsidP="00F245AF">
            <w:pPr>
              <w:jc w:val="right"/>
              <w:rPr>
                <w:rFonts w:cs="Calibri"/>
                <w:sz w:val="22"/>
                <w:szCs w:val="22"/>
              </w:rPr>
            </w:pPr>
            <w:r w:rsidRPr="00D54E05">
              <w:rPr>
                <w:rFonts w:cs="Calibri"/>
                <w:sz w:val="22"/>
                <w:szCs w:val="22"/>
              </w:rPr>
              <w:t>14.2%</w:t>
            </w:r>
          </w:p>
        </w:tc>
        <w:tc>
          <w:tcPr>
            <w:tcW w:w="1063" w:type="dxa"/>
            <w:tcBorders>
              <w:top w:val="nil"/>
              <w:left w:val="nil"/>
              <w:bottom w:val="single" w:sz="4" w:space="0" w:color="auto"/>
              <w:right w:val="single" w:sz="4" w:space="0" w:color="auto"/>
            </w:tcBorders>
            <w:shd w:val="clear" w:color="auto" w:fill="auto"/>
            <w:noWrap/>
            <w:vAlign w:val="bottom"/>
            <w:hideMark/>
          </w:tcPr>
          <w:p w14:paraId="08270AA6" w14:textId="77777777" w:rsidR="00710329" w:rsidRPr="00D54E05" w:rsidRDefault="00710329" w:rsidP="00F245AF">
            <w:pPr>
              <w:jc w:val="right"/>
              <w:rPr>
                <w:rFonts w:cs="Calibri"/>
                <w:sz w:val="22"/>
                <w:szCs w:val="22"/>
              </w:rPr>
            </w:pPr>
            <w:r w:rsidRPr="00D54E05">
              <w:rPr>
                <w:rFonts w:cs="Calibri"/>
                <w:sz w:val="22"/>
                <w:szCs w:val="22"/>
              </w:rPr>
              <w:t>2.6</w:t>
            </w:r>
          </w:p>
        </w:tc>
        <w:tc>
          <w:tcPr>
            <w:tcW w:w="718" w:type="dxa"/>
            <w:tcBorders>
              <w:top w:val="nil"/>
              <w:left w:val="nil"/>
              <w:bottom w:val="single" w:sz="4" w:space="0" w:color="auto"/>
              <w:right w:val="single" w:sz="4" w:space="0" w:color="auto"/>
            </w:tcBorders>
            <w:shd w:val="clear" w:color="auto" w:fill="auto"/>
            <w:noWrap/>
            <w:vAlign w:val="bottom"/>
            <w:hideMark/>
          </w:tcPr>
          <w:p w14:paraId="5CD03AF3" w14:textId="77777777" w:rsidR="00710329" w:rsidRPr="00D54E05" w:rsidRDefault="00710329" w:rsidP="00F245AF">
            <w:pPr>
              <w:jc w:val="right"/>
              <w:rPr>
                <w:rFonts w:cs="Calibri"/>
                <w:sz w:val="22"/>
                <w:szCs w:val="22"/>
              </w:rPr>
            </w:pPr>
            <w:r w:rsidRPr="00D54E05">
              <w:rPr>
                <w:rFonts w:cs="Calibri"/>
                <w:sz w:val="22"/>
                <w:szCs w:val="22"/>
              </w:rPr>
              <w:t>97.7</w:t>
            </w:r>
          </w:p>
        </w:tc>
      </w:tr>
      <w:tr w:rsidR="00546AFB" w:rsidRPr="00D54E05" w14:paraId="08AD2F5F"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2E35F95D" w14:textId="77777777" w:rsidR="00710329" w:rsidRPr="00D54E05" w:rsidRDefault="00710329" w:rsidP="00F245AF">
            <w:pPr>
              <w:rPr>
                <w:rFonts w:cs="Calibri"/>
                <w:sz w:val="22"/>
                <w:szCs w:val="22"/>
              </w:rPr>
            </w:pPr>
            <w:r w:rsidRPr="00D54E05">
              <w:rPr>
                <w:rFonts w:cs="Calibri"/>
                <w:sz w:val="22"/>
                <w:szCs w:val="22"/>
              </w:rPr>
              <w:t>NEM</w:t>
            </w:r>
          </w:p>
        </w:tc>
        <w:tc>
          <w:tcPr>
            <w:tcW w:w="829" w:type="dxa"/>
            <w:tcBorders>
              <w:top w:val="nil"/>
              <w:left w:val="nil"/>
              <w:bottom w:val="single" w:sz="4" w:space="0" w:color="auto"/>
              <w:right w:val="single" w:sz="4" w:space="0" w:color="auto"/>
            </w:tcBorders>
            <w:shd w:val="clear" w:color="000000" w:fill="D9E1F2"/>
            <w:noWrap/>
            <w:vAlign w:val="bottom"/>
            <w:hideMark/>
          </w:tcPr>
          <w:p w14:paraId="67AC267F" w14:textId="77777777" w:rsidR="00710329" w:rsidRPr="00D54E05" w:rsidRDefault="00710329" w:rsidP="00F245AF">
            <w:pPr>
              <w:jc w:val="right"/>
              <w:rPr>
                <w:rFonts w:cs="Calibri"/>
                <w:sz w:val="22"/>
                <w:szCs w:val="22"/>
              </w:rPr>
            </w:pPr>
            <w:r w:rsidRPr="00D54E05">
              <w:rPr>
                <w:rFonts w:cs="Calibri"/>
                <w:sz w:val="22"/>
                <w:szCs w:val="22"/>
              </w:rPr>
              <w:t>2,489</w:t>
            </w:r>
          </w:p>
        </w:tc>
        <w:tc>
          <w:tcPr>
            <w:tcW w:w="1101" w:type="dxa"/>
            <w:tcBorders>
              <w:top w:val="nil"/>
              <w:left w:val="nil"/>
              <w:bottom w:val="single" w:sz="4" w:space="0" w:color="auto"/>
              <w:right w:val="single" w:sz="4" w:space="0" w:color="auto"/>
            </w:tcBorders>
            <w:shd w:val="clear" w:color="000000" w:fill="D9E1F2"/>
            <w:noWrap/>
            <w:vAlign w:val="bottom"/>
            <w:hideMark/>
          </w:tcPr>
          <w:p w14:paraId="524DBB70" w14:textId="77777777" w:rsidR="00710329" w:rsidRPr="00D54E05" w:rsidRDefault="00710329" w:rsidP="00F245AF">
            <w:pPr>
              <w:jc w:val="right"/>
              <w:rPr>
                <w:rFonts w:cs="Calibri"/>
                <w:sz w:val="22"/>
                <w:szCs w:val="22"/>
              </w:rPr>
            </w:pPr>
            <w:r w:rsidRPr="00D54E05">
              <w:rPr>
                <w:rFonts w:cs="Calibri"/>
                <w:sz w:val="22"/>
                <w:szCs w:val="22"/>
              </w:rPr>
              <w:t>21,428</w:t>
            </w:r>
          </w:p>
        </w:tc>
        <w:tc>
          <w:tcPr>
            <w:tcW w:w="1067" w:type="dxa"/>
            <w:tcBorders>
              <w:top w:val="nil"/>
              <w:left w:val="nil"/>
              <w:bottom w:val="single" w:sz="4" w:space="0" w:color="auto"/>
              <w:right w:val="single" w:sz="4" w:space="0" w:color="auto"/>
            </w:tcBorders>
            <w:shd w:val="clear" w:color="000000" w:fill="D9E1F2"/>
            <w:noWrap/>
            <w:vAlign w:val="bottom"/>
            <w:hideMark/>
          </w:tcPr>
          <w:p w14:paraId="0B1CA7B5" w14:textId="77777777" w:rsidR="00710329" w:rsidRPr="00D54E05" w:rsidRDefault="00710329" w:rsidP="00F245AF">
            <w:pPr>
              <w:jc w:val="right"/>
              <w:rPr>
                <w:rFonts w:cs="Calibri"/>
                <w:sz w:val="22"/>
                <w:szCs w:val="22"/>
              </w:rPr>
            </w:pPr>
            <w:r w:rsidRPr="00D54E05">
              <w:rPr>
                <w:rFonts w:cs="Calibri"/>
                <w:sz w:val="22"/>
                <w:szCs w:val="22"/>
              </w:rPr>
              <w:t>1.15</w:t>
            </w:r>
          </w:p>
        </w:tc>
        <w:tc>
          <w:tcPr>
            <w:tcW w:w="1067" w:type="dxa"/>
            <w:tcBorders>
              <w:top w:val="nil"/>
              <w:left w:val="nil"/>
              <w:bottom w:val="single" w:sz="4" w:space="0" w:color="auto"/>
              <w:right w:val="single" w:sz="4" w:space="0" w:color="auto"/>
            </w:tcBorders>
            <w:shd w:val="clear" w:color="000000" w:fill="D9E1F2"/>
            <w:noWrap/>
            <w:vAlign w:val="bottom"/>
            <w:hideMark/>
          </w:tcPr>
          <w:p w14:paraId="655A936F" w14:textId="77777777" w:rsidR="00710329" w:rsidRPr="00D54E05" w:rsidRDefault="00710329" w:rsidP="00F245AF">
            <w:pPr>
              <w:jc w:val="right"/>
              <w:rPr>
                <w:rFonts w:cs="Calibri"/>
                <w:sz w:val="22"/>
                <w:szCs w:val="22"/>
              </w:rPr>
            </w:pPr>
            <w:r w:rsidRPr="00D54E05">
              <w:rPr>
                <w:rFonts w:cs="Calibri"/>
                <w:sz w:val="22"/>
                <w:szCs w:val="22"/>
              </w:rPr>
              <w:t>0.25</w:t>
            </w:r>
          </w:p>
        </w:tc>
        <w:tc>
          <w:tcPr>
            <w:tcW w:w="792" w:type="dxa"/>
            <w:tcBorders>
              <w:top w:val="nil"/>
              <w:left w:val="nil"/>
              <w:bottom w:val="single" w:sz="4" w:space="0" w:color="auto"/>
              <w:right w:val="single" w:sz="4" w:space="0" w:color="auto"/>
            </w:tcBorders>
            <w:shd w:val="clear" w:color="000000" w:fill="D9E1F2"/>
            <w:noWrap/>
            <w:vAlign w:val="bottom"/>
            <w:hideMark/>
          </w:tcPr>
          <w:p w14:paraId="5ED6EA81" w14:textId="77777777" w:rsidR="00710329" w:rsidRPr="00D54E05" w:rsidRDefault="00710329" w:rsidP="00F245AF">
            <w:pPr>
              <w:jc w:val="right"/>
              <w:rPr>
                <w:rFonts w:cs="Calibri"/>
                <w:sz w:val="22"/>
                <w:szCs w:val="22"/>
              </w:rPr>
            </w:pPr>
            <w:r w:rsidRPr="00D54E05">
              <w:rPr>
                <w:rFonts w:cs="Calibri"/>
                <w:sz w:val="22"/>
                <w:szCs w:val="22"/>
              </w:rPr>
              <w:t>22.0%</w:t>
            </w:r>
          </w:p>
        </w:tc>
        <w:tc>
          <w:tcPr>
            <w:tcW w:w="1063" w:type="dxa"/>
            <w:tcBorders>
              <w:top w:val="nil"/>
              <w:left w:val="nil"/>
              <w:bottom w:val="single" w:sz="4" w:space="0" w:color="auto"/>
              <w:right w:val="single" w:sz="4" w:space="0" w:color="auto"/>
            </w:tcBorders>
            <w:shd w:val="clear" w:color="000000" w:fill="D9E1F2"/>
            <w:noWrap/>
            <w:vAlign w:val="bottom"/>
            <w:hideMark/>
          </w:tcPr>
          <w:p w14:paraId="75EF4741" w14:textId="77777777" w:rsidR="00710329" w:rsidRPr="00D54E05" w:rsidRDefault="00710329" w:rsidP="00F245AF">
            <w:pPr>
              <w:jc w:val="right"/>
              <w:rPr>
                <w:rFonts w:cs="Calibri"/>
                <w:sz w:val="22"/>
                <w:szCs w:val="22"/>
              </w:rPr>
            </w:pPr>
            <w:r w:rsidRPr="00D54E05">
              <w:rPr>
                <w:rFonts w:cs="Calibri"/>
                <w:sz w:val="22"/>
                <w:szCs w:val="22"/>
              </w:rPr>
              <w:t>0.6</w:t>
            </w:r>
          </w:p>
        </w:tc>
        <w:tc>
          <w:tcPr>
            <w:tcW w:w="718" w:type="dxa"/>
            <w:tcBorders>
              <w:top w:val="nil"/>
              <w:left w:val="nil"/>
              <w:bottom w:val="single" w:sz="4" w:space="0" w:color="auto"/>
              <w:right w:val="single" w:sz="4" w:space="0" w:color="auto"/>
            </w:tcBorders>
            <w:shd w:val="clear" w:color="000000" w:fill="D9E1F2"/>
            <w:noWrap/>
            <w:vAlign w:val="bottom"/>
            <w:hideMark/>
          </w:tcPr>
          <w:p w14:paraId="778D7422" w14:textId="77777777" w:rsidR="00710329" w:rsidRPr="00D54E05" w:rsidRDefault="00710329" w:rsidP="00F245AF">
            <w:pPr>
              <w:jc w:val="right"/>
              <w:rPr>
                <w:rFonts w:cs="Calibri"/>
                <w:sz w:val="22"/>
                <w:szCs w:val="22"/>
              </w:rPr>
            </w:pPr>
            <w:r w:rsidRPr="00D54E05">
              <w:rPr>
                <w:rFonts w:cs="Calibri"/>
                <w:sz w:val="22"/>
                <w:szCs w:val="22"/>
              </w:rPr>
              <w:t>98.6</w:t>
            </w:r>
          </w:p>
        </w:tc>
      </w:tr>
      <w:tr w:rsidR="00546AFB" w:rsidRPr="00D54E05" w14:paraId="50AD0898"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76FEFC17" w14:textId="77777777" w:rsidR="00710329" w:rsidRPr="00D54E05" w:rsidRDefault="00710329" w:rsidP="00F245AF">
            <w:pPr>
              <w:rPr>
                <w:rFonts w:cs="Calibri"/>
                <w:sz w:val="22"/>
                <w:szCs w:val="22"/>
              </w:rPr>
            </w:pPr>
            <w:r w:rsidRPr="00D54E05">
              <w:rPr>
                <w:rFonts w:cs="Calibri"/>
                <w:sz w:val="22"/>
                <w:szCs w:val="22"/>
              </w:rPr>
              <w:t>Non-NEM</w:t>
            </w:r>
          </w:p>
        </w:tc>
        <w:tc>
          <w:tcPr>
            <w:tcW w:w="829" w:type="dxa"/>
            <w:tcBorders>
              <w:top w:val="nil"/>
              <w:left w:val="nil"/>
              <w:bottom w:val="single" w:sz="4" w:space="0" w:color="auto"/>
              <w:right w:val="single" w:sz="4" w:space="0" w:color="auto"/>
            </w:tcBorders>
            <w:shd w:val="clear" w:color="000000" w:fill="D9E1F2"/>
            <w:noWrap/>
            <w:vAlign w:val="bottom"/>
            <w:hideMark/>
          </w:tcPr>
          <w:p w14:paraId="2F1A017B" w14:textId="77777777" w:rsidR="00710329" w:rsidRPr="00D54E05" w:rsidRDefault="00710329" w:rsidP="00F245AF">
            <w:pPr>
              <w:jc w:val="right"/>
              <w:rPr>
                <w:rFonts w:cs="Calibri"/>
                <w:sz w:val="22"/>
                <w:szCs w:val="22"/>
              </w:rPr>
            </w:pPr>
            <w:r w:rsidRPr="00D54E05">
              <w:rPr>
                <w:rFonts w:cs="Calibri"/>
                <w:sz w:val="22"/>
                <w:szCs w:val="22"/>
              </w:rPr>
              <w:t>9,252</w:t>
            </w:r>
          </w:p>
        </w:tc>
        <w:tc>
          <w:tcPr>
            <w:tcW w:w="1101" w:type="dxa"/>
            <w:tcBorders>
              <w:top w:val="nil"/>
              <w:left w:val="nil"/>
              <w:bottom w:val="single" w:sz="4" w:space="0" w:color="auto"/>
              <w:right w:val="single" w:sz="4" w:space="0" w:color="auto"/>
            </w:tcBorders>
            <w:shd w:val="clear" w:color="000000" w:fill="D9E1F2"/>
            <w:noWrap/>
            <w:vAlign w:val="bottom"/>
            <w:hideMark/>
          </w:tcPr>
          <w:p w14:paraId="13B7A0BB" w14:textId="77777777" w:rsidR="00710329" w:rsidRPr="00D54E05" w:rsidRDefault="00710329" w:rsidP="00F245AF">
            <w:pPr>
              <w:jc w:val="right"/>
              <w:rPr>
                <w:rFonts w:cs="Calibri"/>
                <w:sz w:val="22"/>
                <w:szCs w:val="22"/>
              </w:rPr>
            </w:pPr>
            <w:r w:rsidRPr="00D54E05">
              <w:rPr>
                <w:rFonts w:cs="Calibri"/>
                <w:sz w:val="22"/>
                <w:szCs w:val="22"/>
              </w:rPr>
              <w:t>81,012</w:t>
            </w:r>
          </w:p>
        </w:tc>
        <w:tc>
          <w:tcPr>
            <w:tcW w:w="1067" w:type="dxa"/>
            <w:tcBorders>
              <w:top w:val="nil"/>
              <w:left w:val="nil"/>
              <w:bottom w:val="single" w:sz="4" w:space="0" w:color="auto"/>
              <w:right w:val="single" w:sz="4" w:space="0" w:color="auto"/>
            </w:tcBorders>
            <w:shd w:val="clear" w:color="000000" w:fill="D9E1F2"/>
            <w:noWrap/>
            <w:vAlign w:val="bottom"/>
            <w:hideMark/>
          </w:tcPr>
          <w:p w14:paraId="069DDFA2" w14:textId="77777777" w:rsidR="00710329" w:rsidRPr="00D54E05" w:rsidRDefault="00710329" w:rsidP="00F245AF">
            <w:pPr>
              <w:jc w:val="right"/>
              <w:rPr>
                <w:rFonts w:cs="Calibri"/>
                <w:sz w:val="22"/>
                <w:szCs w:val="22"/>
              </w:rPr>
            </w:pPr>
            <w:r w:rsidRPr="00D54E05">
              <w:rPr>
                <w:rFonts w:cs="Calibri"/>
                <w:sz w:val="22"/>
                <w:szCs w:val="22"/>
              </w:rPr>
              <w:t>2.87</w:t>
            </w:r>
          </w:p>
        </w:tc>
        <w:tc>
          <w:tcPr>
            <w:tcW w:w="1067" w:type="dxa"/>
            <w:tcBorders>
              <w:top w:val="nil"/>
              <w:left w:val="nil"/>
              <w:bottom w:val="single" w:sz="4" w:space="0" w:color="auto"/>
              <w:right w:val="single" w:sz="4" w:space="0" w:color="auto"/>
            </w:tcBorders>
            <w:shd w:val="clear" w:color="000000" w:fill="D9E1F2"/>
            <w:noWrap/>
            <w:vAlign w:val="bottom"/>
            <w:hideMark/>
          </w:tcPr>
          <w:p w14:paraId="7198F814" w14:textId="77777777" w:rsidR="00710329" w:rsidRPr="00D54E05" w:rsidRDefault="00710329" w:rsidP="00F245AF">
            <w:pPr>
              <w:jc w:val="right"/>
              <w:rPr>
                <w:rFonts w:cs="Calibri"/>
                <w:sz w:val="22"/>
                <w:szCs w:val="22"/>
              </w:rPr>
            </w:pPr>
            <w:r w:rsidRPr="00D54E05">
              <w:rPr>
                <w:rFonts w:cs="Calibri"/>
                <w:sz w:val="22"/>
                <w:szCs w:val="22"/>
              </w:rPr>
              <w:t>0.39</w:t>
            </w:r>
          </w:p>
        </w:tc>
        <w:tc>
          <w:tcPr>
            <w:tcW w:w="792" w:type="dxa"/>
            <w:tcBorders>
              <w:top w:val="nil"/>
              <w:left w:val="nil"/>
              <w:bottom w:val="single" w:sz="4" w:space="0" w:color="auto"/>
              <w:right w:val="single" w:sz="4" w:space="0" w:color="auto"/>
            </w:tcBorders>
            <w:shd w:val="clear" w:color="000000" w:fill="D9E1F2"/>
            <w:noWrap/>
            <w:vAlign w:val="bottom"/>
            <w:hideMark/>
          </w:tcPr>
          <w:p w14:paraId="14721A3E" w14:textId="77777777" w:rsidR="00710329" w:rsidRPr="00D54E05" w:rsidRDefault="00710329" w:rsidP="00F245AF">
            <w:pPr>
              <w:jc w:val="right"/>
              <w:rPr>
                <w:rFonts w:cs="Calibri"/>
                <w:sz w:val="22"/>
                <w:szCs w:val="22"/>
              </w:rPr>
            </w:pPr>
            <w:r w:rsidRPr="00D54E05">
              <w:rPr>
                <w:rFonts w:cs="Calibri"/>
                <w:sz w:val="22"/>
                <w:szCs w:val="22"/>
              </w:rPr>
              <w:t>13.6%</w:t>
            </w:r>
          </w:p>
        </w:tc>
        <w:tc>
          <w:tcPr>
            <w:tcW w:w="1063" w:type="dxa"/>
            <w:tcBorders>
              <w:top w:val="nil"/>
              <w:left w:val="nil"/>
              <w:bottom w:val="single" w:sz="4" w:space="0" w:color="auto"/>
              <w:right w:val="single" w:sz="4" w:space="0" w:color="auto"/>
            </w:tcBorders>
            <w:shd w:val="clear" w:color="000000" w:fill="D9E1F2"/>
            <w:noWrap/>
            <w:vAlign w:val="bottom"/>
            <w:hideMark/>
          </w:tcPr>
          <w:p w14:paraId="7865837A" w14:textId="77777777" w:rsidR="00710329" w:rsidRPr="00D54E05" w:rsidRDefault="00710329" w:rsidP="00F245AF">
            <w:pPr>
              <w:jc w:val="right"/>
              <w:rPr>
                <w:rFonts w:cs="Calibri"/>
                <w:sz w:val="22"/>
                <w:szCs w:val="22"/>
              </w:rPr>
            </w:pPr>
            <w:r w:rsidRPr="00D54E05">
              <w:rPr>
                <w:rFonts w:cs="Calibri"/>
                <w:sz w:val="22"/>
                <w:szCs w:val="22"/>
              </w:rPr>
              <w:t>3.6</w:t>
            </w:r>
          </w:p>
        </w:tc>
        <w:tc>
          <w:tcPr>
            <w:tcW w:w="718" w:type="dxa"/>
            <w:tcBorders>
              <w:top w:val="nil"/>
              <w:left w:val="nil"/>
              <w:bottom w:val="single" w:sz="4" w:space="0" w:color="auto"/>
              <w:right w:val="single" w:sz="4" w:space="0" w:color="auto"/>
            </w:tcBorders>
            <w:shd w:val="clear" w:color="000000" w:fill="D9E1F2"/>
            <w:noWrap/>
            <w:vAlign w:val="bottom"/>
            <w:hideMark/>
          </w:tcPr>
          <w:p w14:paraId="6971E00C" w14:textId="77777777" w:rsidR="00710329" w:rsidRPr="00D54E05" w:rsidRDefault="00710329" w:rsidP="00F245AF">
            <w:pPr>
              <w:jc w:val="right"/>
              <w:rPr>
                <w:rFonts w:cs="Calibri"/>
                <w:sz w:val="22"/>
                <w:szCs w:val="22"/>
              </w:rPr>
            </w:pPr>
            <w:r w:rsidRPr="00D54E05">
              <w:rPr>
                <w:rFonts w:cs="Calibri"/>
                <w:sz w:val="22"/>
                <w:szCs w:val="22"/>
              </w:rPr>
              <w:t>98.7</w:t>
            </w:r>
          </w:p>
        </w:tc>
      </w:tr>
      <w:tr w:rsidR="00710329" w:rsidRPr="00D54E05" w14:paraId="15D40A2A"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14:paraId="192FA010" w14:textId="77777777" w:rsidR="00710329" w:rsidRPr="00D54E05" w:rsidRDefault="00710329" w:rsidP="00F245AF">
            <w:pPr>
              <w:rPr>
                <w:rFonts w:cs="Calibri"/>
                <w:sz w:val="22"/>
                <w:szCs w:val="22"/>
              </w:rPr>
            </w:pPr>
            <w:r w:rsidRPr="00D54E05">
              <w:rPr>
                <w:rFonts w:cs="Calibri"/>
                <w:sz w:val="22"/>
                <w:szCs w:val="22"/>
              </w:rPr>
              <w:t>Detached Residence</w:t>
            </w:r>
          </w:p>
        </w:tc>
        <w:tc>
          <w:tcPr>
            <w:tcW w:w="829" w:type="dxa"/>
            <w:tcBorders>
              <w:top w:val="nil"/>
              <w:left w:val="nil"/>
              <w:bottom w:val="single" w:sz="4" w:space="0" w:color="auto"/>
              <w:right w:val="single" w:sz="4" w:space="0" w:color="auto"/>
            </w:tcBorders>
            <w:shd w:val="clear" w:color="auto" w:fill="auto"/>
            <w:noWrap/>
            <w:vAlign w:val="bottom"/>
            <w:hideMark/>
          </w:tcPr>
          <w:p w14:paraId="531C4E6B" w14:textId="77777777" w:rsidR="00710329" w:rsidRPr="00D54E05" w:rsidRDefault="00710329" w:rsidP="00F245AF">
            <w:pPr>
              <w:jc w:val="right"/>
              <w:rPr>
                <w:rFonts w:cs="Calibri"/>
                <w:sz w:val="22"/>
                <w:szCs w:val="22"/>
              </w:rPr>
            </w:pPr>
            <w:r w:rsidRPr="00D54E05">
              <w:rPr>
                <w:rFonts w:cs="Calibri"/>
                <w:sz w:val="22"/>
                <w:szCs w:val="22"/>
              </w:rPr>
              <w:t>11,220</w:t>
            </w:r>
          </w:p>
        </w:tc>
        <w:tc>
          <w:tcPr>
            <w:tcW w:w="1101" w:type="dxa"/>
            <w:tcBorders>
              <w:top w:val="nil"/>
              <w:left w:val="nil"/>
              <w:bottom w:val="single" w:sz="4" w:space="0" w:color="auto"/>
              <w:right w:val="single" w:sz="4" w:space="0" w:color="auto"/>
            </w:tcBorders>
            <w:shd w:val="clear" w:color="auto" w:fill="auto"/>
            <w:noWrap/>
            <w:vAlign w:val="bottom"/>
            <w:hideMark/>
          </w:tcPr>
          <w:p w14:paraId="7FF93915" w14:textId="77777777" w:rsidR="00710329" w:rsidRPr="00D54E05" w:rsidRDefault="00710329" w:rsidP="00F245AF">
            <w:pPr>
              <w:jc w:val="right"/>
              <w:rPr>
                <w:rFonts w:cs="Calibri"/>
                <w:sz w:val="22"/>
                <w:szCs w:val="22"/>
              </w:rPr>
            </w:pPr>
            <w:r w:rsidRPr="00D54E05">
              <w:rPr>
                <w:rFonts w:cs="Calibri"/>
                <w:sz w:val="22"/>
                <w:szCs w:val="22"/>
              </w:rPr>
              <w:t>96,856</w:t>
            </w:r>
          </w:p>
        </w:tc>
        <w:tc>
          <w:tcPr>
            <w:tcW w:w="1067" w:type="dxa"/>
            <w:tcBorders>
              <w:top w:val="nil"/>
              <w:left w:val="nil"/>
              <w:bottom w:val="single" w:sz="4" w:space="0" w:color="auto"/>
              <w:right w:val="single" w:sz="4" w:space="0" w:color="auto"/>
            </w:tcBorders>
            <w:shd w:val="clear" w:color="auto" w:fill="auto"/>
            <w:noWrap/>
            <w:vAlign w:val="bottom"/>
            <w:hideMark/>
          </w:tcPr>
          <w:p w14:paraId="170FCF25" w14:textId="77777777" w:rsidR="00710329" w:rsidRPr="00D54E05" w:rsidRDefault="00710329" w:rsidP="00F245AF">
            <w:pPr>
              <w:jc w:val="right"/>
              <w:rPr>
                <w:rFonts w:cs="Calibri"/>
                <w:sz w:val="22"/>
                <w:szCs w:val="22"/>
              </w:rPr>
            </w:pPr>
            <w:r w:rsidRPr="00D54E05">
              <w:rPr>
                <w:rFonts w:cs="Calibri"/>
                <w:sz w:val="22"/>
                <w:szCs w:val="22"/>
              </w:rPr>
              <w:t>2.53</w:t>
            </w:r>
          </w:p>
        </w:tc>
        <w:tc>
          <w:tcPr>
            <w:tcW w:w="1067" w:type="dxa"/>
            <w:tcBorders>
              <w:top w:val="nil"/>
              <w:left w:val="nil"/>
              <w:bottom w:val="single" w:sz="4" w:space="0" w:color="auto"/>
              <w:right w:val="single" w:sz="4" w:space="0" w:color="auto"/>
            </w:tcBorders>
            <w:shd w:val="clear" w:color="auto" w:fill="auto"/>
            <w:noWrap/>
            <w:vAlign w:val="bottom"/>
            <w:hideMark/>
          </w:tcPr>
          <w:p w14:paraId="548A834D" w14:textId="77777777" w:rsidR="00710329" w:rsidRPr="00D54E05" w:rsidRDefault="00710329" w:rsidP="00F245AF">
            <w:pPr>
              <w:jc w:val="right"/>
              <w:rPr>
                <w:rFonts w:cs="Calibri"/>
                <w:sz w:val="22"/>
                <w:szCs w:val="22"/>
              </w:rPr>
            </w:pPr>
            <w:r w:rsidRPr="00D54E05">
              <w:rPr>
                <w:rFonts w:cs="Calibri"/>
                <w:sz w:val="22"/>
                <w:szCs w:val="22"/>
              </w:rPr>
              <w:t>0.36</w:t>
            </w:r>
          </w:p>
        </w:tc>
        <w:tc>
          <w:tcPr>
            <w:tcW w:w="792" w:type="dxa"/>
            <w:tcBorders>
              <w:top w:val="nil"/>
              <w:left w:val="nil"/>
              <w:bottom w:val="single" w:sz="4" w:space="0" w:color="auto"/>
              <w:right w:val="single" w:sz="4" w:space="0" w:color="auto"/>
            </w:tcBorders>
            <w:shd w:val="clear" w:color="auto" w:fill="auto"/>
            <w:noWrap/>
            <w:vAlign w:val="bottom"/>
            <w:hideMark/>
          </w:tcPr>
          <w:p w14:paraId="60DBF80A" w14:textId="77777777" w:rsidR="00710329" w:rsidRPr="00D54E05" w:rsidRDefault="00710329" w:rsidP="00F245AF">
            <w:pPr>
              <w:jc w:val="right"/>
              <w:rPr>
                <w:rFonts w:cs="Calibri"/>
                <w:sz w:val="22"/>
                <w:szCs w:val="22"/>
              </w:rPr>
            </w:pPr>
            <w:r w:rsidRPr="00D54E05">
              <w:rPr>
                <w:rFonts w:cs="Calibri"/>
                <w:sz w:val="22"/>
                <w:szCs w:val="22"/>
              </w:rPr>
              <w:t>14.4%</w:t>
            </w:r>
          </w:p>
        </w:tc>
        <w:tc>
          <w:tcPr>
            <w:tcW w:w="1063" w:type="dxa"/>
            <w:tcBorders>
              <w:top w:val="nil"/>
              <w:left w:val="nil"/>
              <w:bottom w:val="single" w:sz="4" w:space="0" w:color="auto"/>
              <w:right w:val="single" w:sz="4" w:space="0" w:color="auto"/>
            </w:tcBorders>
            <w:shd w:val="clear" w:color="auto" w:fill="auto"/>
            <w:noWrap/>
            <w:vAlign w:val="bottom"/>
            <w:hideMark/>
          </w:tcPr>
          <w:p w14:paraId="71C77404" w14:textId="77777777" w:rsidR="00710329" w:rsidRPr="00D54E05" w:rsidRDefault="00710329" w:rsidP="00F245AF">
            <w:pPr>
              <w:jc w:val="right"/>
              <w:rPr>
                <w:rFonts w:cs="Calibri"/>
                <w:sz w:val="22"/>
                <w:szCs w:val="22"/>
              </w:rPr>
            </w:pPr>
            <w:r w:rsidRPr="00D54E05">
              <w:rPr>
                <w:rFonts w:cs="Calibri"/>
                <w:sz w:val="22"/>
                <w:szCs w:val="22"/>
              </w:rPr>
              <w:t>4.1</w:t>
            </w:r>
          </w:p>
        </w:tc>
        <w:tc>
          <w:tcPr>
            <w:tcW w:w="718" w:type="dxa"/>
            <w:tcBorders>
              <w:top w:val="nil"/>
              <w:left w:val="nil"/>
              <w:bottom w:val="single" w:sz="4" w:space="0" w:color="auto"/>
              <w:right w:val="single" w:sz="4" w:space="0" w:color="auto"/>
            </w:tcBorders>
            <w:shd w:val="clear" w:color="auto" w:fill="auto"/>
            <w:noWrap/>
            <w:vAlign w:val="bottom"/>
            <w:hideMark/>
          </w:tcPr>
          <w:p w14:paraId="0BBABC3C" w14:textId="77777777" w:rsidR="00710329" w:rsidRPr="00D54E05" w:rsidRDefault="00710329" w:rsidP="00F245AF">
            <w:pPr>
              <w:jc w:val="right"/>
              <w:rPr>
                <w:rFonts w:cs="Calibri"/>
                <w:sz w:val="22"/>
                <w:szCs w:val="22"/>
              </w:rPr>
            </w:pPr>
            <w:r w:rsidRPr="00D54E05">
              <w:rPr>
                <w:rFonts w:cs="Calibri"/>
                <w:sz w:val="22"/>
                <w:szCs w:val="22"/>
              </w:rPr>
              <w:t>98.7</w:t>
            </w:r>
          </w:p>
        </w:tc>
      </w:tr>
      <w:tr w:rsidR="00710329" w:rsidRPr="00D54E05" w14:paraId="0BD42DE8"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14:paraId="0296A1DD" w14:textId="77777777" w:rsidR="00710329" w:rsidRPr="00D54E05" w:rsidRDefault="00710329" w:rsidP="00F245AF">
            <w:pPr>
              <w:rPr>
                <w:rFonts w:cs="Calibri"/>
                <w:sz w:val="22"/>
                <w:szCs w:val="22"/>
              </w:rPr>
            </w:pPr>
            <w:r w:rsidRPr="00D54E05">
              <w:rPr>
                <w:rFonts w:cs="Calibri"/>
                <w:sz w:val="22"/>
                <w:szCs w:val="22"/>
              </w:rPr>
              <w:t>Shared Wall Residence</w:t>
            </w:r>
          </w:p>
        </w:tc>
        <w:tc>
          <w:tcPr>
            <w:tcW w:w="829" w:type="dxa"/>
            <w:tcBorders>
              <w:top w:val="nil"/>
              <w:left w:val="nil"/>
              <w:bottom w:val="single" w:sz="4" w:space="0" w:color="auto"/>
              <w:right w:val="single" w:sz="4" w:space="0" w:color="auto"/>
            </w:tcBorders>
            <w:shd w:val="clear" w:color="auto" w:fill="auto"/>
            <w:noWrap/>
            <w:vAlign w:val="bottom"/>
            <w:hideMark/>
          </w:tcPr>
          <w:p w14:paraId="67CC3C07" w14:textId="77777777" w:rsidR="00710329" w:rsidRPr="00D54E05" w:rsidRDefault="00710329" w:rsidP="00F245AF">
            <w:pPr>
              <w:jc w:val="right"/>
              <w:rPr>
                <w:rFonts w:cs="Calibri"/>
                <w:sz w:val="22"/>
                <w:szCs w:val="22"/>
              </w:rPr>
            </w:pPr>
            <w:r w:rsidRPr="00D54E05">
              <w:rPr>
                <w:rFonts w:cs="Calibri"/>
                <w:sz w:val="22"/>
                <w:szCs w:val="22"/>
              </w:rPr>
              <w:t>510</w:t>
            </w:r>
          </w:p>
        </w:tc>
        <w:tc>
          <w:tcPr>
            <w:tcW w:w="1101" w:type="dxa"/>
            <w:tcBorders>
              <w:top w:val="nil"/>
              <w:left w:val="nil"/>
              <w:bottom w:val="single" w:sz="4" w:space="0" w:color="auto"/>
              <w:right w:val="single" w:sz="4" w:space="0" w:color="auto"/>
            </w:tcBorders>
            <w:shd w:val="clear" w:color="auto" w:fill="auto"/>
            <w:noWrap/>
            <w:vAlign w:val="bottom"/>
            <w:hideMark/>
          </w:tcPr>
          <w:p w14:paraId="2127C0D9" w14:textId="77777777" w:rsidR="00710329" w:rsidRPr="00D54E05" w:rsidRDefault="00710329" w:rsidP="00F245AF">
            <w:pPr>
              <w:jc w:val="right"/>
              <w:rPr>
                <w:rFonts w:cs="Calibri"/>
                <w:sz w:val="22"/>
                <w:szCs w:val="22"/>
              </w:rPr>
            </w:pPr>
            <w:r w:rsidRPr="00D54E05">
              <w:rPr>
                <w:rFonts w:cs="Calibri"/>
                <w:sz w:val="22"/>
                <w:szCs w:val="22"/>
              </w:rPr>
              <w:t>5,495</w:t>
            </w:r>
          </w:p>
        </w:tc>
        <w:tc>
          <w:tcPr>
            <w:tcW w:w="1067" w:type="dxa"/>
            <w:tcBorders>
              <w:top w:val="nil"/>
              <w:left w:val="nil"/>
              <w:bottom w:val="single" w:sz="4" w:space="0" w:color="auto"/>
              <w:right w:val="single" w:sz="4" w:space="0" w:color="auto"/>
            </w:tcBorders>
            <w:shd w:val="clear" w:color="auto" w:fill="auto"/>
            <w:noWrap/>
            <w:vAlign w:val="bottom"/>
            <w:hideMark/>
          </w:tcPr>
          <w:p w14:paraId="0D1E0952" w14:textId="77777777" w:rsidR="00710329" w:rsidRPr="00D54E05" w:rsidRDefault="00710329" w:rsidP="00F245AF">
            <w:pPr>
              <w:jc w:val="right"/>
              <w:rPr>
                <w:rFonts w:cs="Calibri"/>
                <w:sz w:val="22"/>
                <w:szCs w:val="22"/>
              </w:rPr>
            </w:pPr>
            <w:r w:rsidRPr="00D54E05">
              <w:rPr>
                <w:rFonts w:cs="Calibri"/>
                <w:sz w:val="22"/>
                <w:szCs w:val="22"/>
              </w:rPr>
              <w:t>1.96</w:t>
            </w:r>
          </w:p>
        </w:tc>
        <w:tc>
          <w:tcPr>
            <w:tcW w:w="1067" w:type="dxa"/>
            <w:tcBorders>
              <w:top w:val="nil"/>
              <w:left w:val="nil"/>
              <w:bottom w:val="single" w:sz="4" w:space="0" w:color="auto"/>
              <w:right w:val="single" w:sz="4" w:space="0" w:color="auto"/>
            </w:tcBorders>
            <w:shd w:val="clear" w:color="auto" w:fill="auto"/>
            <w:noWrap/>
            <w:vAlign w:val="bottom"/>
            <w:hideMark/>
          </w:tcPr>
          <w:p w14:paraId="54584303" w14:textId="77777777" w:rsidR="00710329" w:rsidRPr="00D54E05" w:rsidRDefault="00710329" w:rsidP="00F245AF">
            <w:pPr>
              <w:jc w:val="right"/>
              <w:rPr>
                <w:rFonts w:cs="Calibri"/>
                <w:sz w:val="22"/>
                <w:szCs w:val="22"/>
              </w:rPr>
            </w:pPr>
            <w:r w:rsidRPr="00D54E05">
              <w:rPr>
                <w:rFonts w:cs="Calibri"/>
                <w:sz w:val="22"/>
                <w:szCs w:val="22"/>
              </w:rPr>
              <w:t>0.34</w:t>
            </w:r>
          </w:p>
        </w:tc>
        <w:tc>
          <w:tcPr>
            <w:tcW w:w="792" w:type="dxa"/>
            <w:tcBorders>
              <w:top w:val="nil"/>
              <w:left w:val="nil"/>
              <w:bottom w:val="single" w:sz="4" w:space="0" w:color="auto"/>
              <w:right w:val="single" w:sz="4" w:space="0" w:color="auto"/>
            </w:tcBorders>
            <w:shd w:val="clear" w:color="auto" w:fill="auto"/>
            <w:noWrap/>
            <w:vAlign w:val="bottom"/>
            <w:hideMark/>
          </w:tcPr>
          <w:p w14:paraId="590FBB15" w14:textId="77777777" w:rsidR="00710329" w:rsidRPr="00D54E05" w:rsidRDefault="00710329" w:rsidP="00F245AF">
            <w:pPr>
              <w:jc w:val="right"/>
              <w:rPr>
                <w:rFonts w:cs="Calibri"/>
                <w:sz w:val="22"/>
                <w:szCs w:val="22"/>
              </w:rPr>
            </w:pPr>
            <w:r w:rsidRPr="00D54E05">
              <w:rPr>
                <w:rFonts w:cs="Calibri"/>
                <w:sz w:val="22"/>
                <w:szCs w:val="22"/>
              </w:rPr>
              <w:t>17.4%</w:t>
            </w:r>
          </w:p>
        </w:tc>
        <w:tc>
          <w:tcPr>
            <w:tcW w:w="1063" w:type="dxa"/>
            <w:tcBorders>
              <w:top w:val="nil"/>
              <w:left w:val="nil"/>
              <w:bottom w:val="single" w:sz="4" w:space="0" w:color="auto"/>
              <w:right w:val="single" w:sz="4" w:space="0" w:color="auto"/>
            </w:tcBorders>
            <w:shd w:val="clear" w:color="auto" w:fill="auto"/>
            <w:noWrap/>
            <w:vAlign w:val="bottom"/>
            <w:hideMark/>
          </w:tcPr>
          <w:p w14:paraId="4B88EB2C" w14:textId="77777777" w:rsidR="00710329" w:rsidRPr="00D54E05" w:rsidRDefault="00710329" w:rsidP="00F245AF">
            <w:pPr>
              <w:jc w:val="right"/>
              <w:rPr>
                <w:rFonts w:cs="Calibri"/>
                <w:sz w:val="22"/>
                <w:szCs w:val="22"/>
              </w:rPr>
            </w:pPr>
            <w:r w:rsidRPr="00D54E05">
              <w:rPr>
                <w:rFonts w:cs="Calibri"/>
                <w:sz w:val="22"/>
                <w:szCs w:val="22"/>
              </w:rPr>
              <w:t>0.2</w:t>
            </w:r>
          </w:p>
        </w:tc>
        <w:tc>
          <w:tcPr>
            <w:tcW w:w="718" w:type="dxa"/>
            <w:tcBorders>
              <w:top w:val="nil"/>
              <w:left w:val="nil"/>
              <w:bottom w:val="single" w:sz="4" w:space="0" w:color="auto"/>
              <w:right w:val="single" w:sz="4" w:space="0" w:color="auto"/>
            </w:tcBorders>
            <w:shd w:val="clear" w:color="auto" w:fill="auto"/>
            <w:noWrap/>
            <w:vAlign w:val="bottom"/>
            <w:hideMark/>
          </w:tcPr>
          <w:p w14:paraId="5EB2C8F4" w14:textId="77777777" w:rsidR="00710329" w:rsidRPr="00D54E05" w:rsidRDefault="00710329" w:rsidP="00F245AF">
            <w:pPr>
              <w:jc w:val="right"/>
              <w:rPr>
                <w:rFonts w:cs="Calibri"/>
                <w:sz w:val="22"/>
                <w:szCs w:val="22"/>
              </w:rPr>
            </w:pPr>
            <w:r w:rsidRPr="00D54E05">
              <w:rPr>
                <w:rFonts w:cs="Calibri"/>
                <w:sz w:val="22"/>
                <w:szCs w:val="22"/>
              </w:rPr>
              <w:t>97.8</w:t>
            </w:r>
          </w:p>
        </w:tc>
      </w:tr>
      <w:tr w:rsidR="00546AFB" w:rsidRPr="00D54E05" w14:paraId="350C9041"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65F1DB05" w14:textId="77777777" w:rsidR="00710329" w:rsidRPr="00D54E05" w:rsidRDefault="00710329" w:rsidP="00F245AF">
            <w:pPr>
              <w:rPr>
                <w:rFonts w:cs="Calibri"/>
                <w:sz w:val="22"/>
                <w:szCs w:val="22"/>
              </w:rPr>
            </w:pPr>
            <w:r w:rsidRPr="00D54E05">
              <w:rPr>
                <w:rFonts w:cs="Calibri"/>
                <w:sz w:val="22"/>
                <w:szCs w:val="22"/>
              </w:rPr>
              <w:t>Low A/C</w:t>
            </w:r>
          </w:p>
        </w:tc>
        <w:tc>
          <w:tcPr>
            <w:tcW w:w="829" w:type="dxa"/>
            <w:tcBorders>
              <w:top w:val="nil"/>
              <w:left w:val="nil"/>
              <w:bottom w:val="single" w:sz="4" w:space="0" w:color="auto"/>
              <w:right w:val="single" w:sz="4" w:space="0" w:color="auto"/>
            </w:tcBorders>
            <w:shd w:val="clear" w:color="000000" w:fill="D9E1F2"/>
            <w:noWrap/>
            <w:vAlign w:val="bottom"/>
            <w:hideMark/>
          </w:tcPr>
          <w:p w14:paraId="0A6C426F" w14:textId="77777777" w:rsidR="00710329" w:rsidRPr="00D54E05" w:rsidRDefault="00710329" w:rsidP="00F245AF">
            <w:pPr>
              <w:jc w:val="right"/>
              <w:rPr>
                <w:rFonts w:cs="Calibri"/>
                <w:sz w:val="22"/>
                <w:szCs w:val="22"/>
              </w:rPr>
            </w:pPr>
            <w:r w:rsidRPr="00D54E05">
              <w:rPr>
                <w:rFonts w:cs="Calibri"/>
                <w:sz w:val="22"/>
                <w:szCs w:val="22"/>
              </w:rPr>
              <w:t>1,141</w:t>
            </w:r>
          </w:p>
        </w:tc>
        <w:tc>
          <w:tcPr>
            <w:tcW w:w="1101" w:type="dxa"/>
            <w:tcBorders>
              <w:top w:val="nil"/>
              <w:left w:val="nil"/>
              <w:bottom w:val="single" w:sz="4" w:space="0" w:color="auto"/>
              <w:right w:val="single" w:sz="4" w:space="0" w:color="auto"/>
            </w:tcBorders>
            <w:shd w:val="clear" w:color="000000" w:fill="D9E1F2"/>
            <w:noWrap/>
            <w:vAlign w:val="bottom"/>
            <w:hideMark/>
          </w:tcPr>
          <w:p w14:paraId="763D5A36" w14:textId="77777777" w:rsidR="00710329" w:rsidRPr="00D54E05" w:rsidRDefault="00710329" w:rsidP="00F245AF">
            <w:pPr>
              <w:jc w:val="right"/>
              <w:rPr>
                <w:rFonts w:cs="Calibri"/>
                <w:sz w:val="22"/>
                <w:szCs w:val="22"/>
              </w:rPr>
            </w:pPr>
            <w:r w:rsidRPr="00D54E05">
              <w:rPr>
                <w:rFonts w:cs="Calibri"/>
                <w:sz w:val="22"/>
                <w:szCs w:val="22"/>
              </w:rPr>
              <w:t>12,903</w:t>
            </w:r>
          </w:p>
        </w:tc>
        <w:tc>
          <w:tcPr>
            <w:tcW w:w="1067" w:type="dxa"/>
            <w:tcBorders>
              <w:top w:val="nil"/>
              <w:left w:val="nil"/>
              <w:bottom w:val="single" w:sz="4" w:space="0" w:color="auto"/>
              <w:right w:val="single" w:sz="4" w:space="0" w:color="auto"/>
            </w:tcBorders>
            <w:shd w:val="clear" w:color="000000" w:fill="D9E1F2"/>
            <w:noWrap/>
            <w:vAlign w:val="bottom"/>
            <w:hideMark/>
          </w:tcPr>
          <w:p w14:paraId="2ABACB2B" w14:textId="77777777" w:rsidR="00710329" w:rsidRPr="00D54E05" w:rsidRDefault="00710329" w:rsidP="00F245AF">
            <w:pPr>
              <w:jc w:val="right"/>
              <w:rPr>
                <w:rFonts w:cs="Calibri"/>
                <w:sz w:val="22"/>
                <w:szCs w:val="22"/>
              </w:rPr>
            </w:pPr>
            <w:r w:rsidRPr="00D54E05">
              <w:rPr>
                <w:rFonts w:cs="Calibri"/>
                <w:sz w:val="22"/>
                <w:szCs w:val="22"/>
              </w:rPr>
              <w:t>1.10</w:t>
            </w:r>
          </w:p>
        </w:tc>
        <w:tc>
          <w:tcPr>
            <w:tcW w:w="1067" w:type="dxa"/>
            <w:tcBorders>
              <w:top w:val="nil"/>
              <w:left w:val="nil"/>
              <w:bottom w:val="single" w:sz="4" w:space="0" w:color="auto"/>
              <w:right w:val="single" w:sz="4" w:space="0" w:color="auto"/>
            </w:tcBorders>
            <w:shd w:val="clear" w:color="000000" w:fill="D9E1F2"/>
            <w:noWrap/>
            <w:vAlign w:val="bottom"/>
            <w:hideMark/>
          </w:tcPr>
          <w:p w14:paraId="5B110CB5" w14:textId="77777777" w:rsidR="00710329" w:rsidRPr="00D54E05" w:rsidRDefault="00710329" w:rsidP="00F245AF">
            <w:pPr>
              <w:jc w:val="right"/>
              <w:rPr>
                <w:rFonts w:cs="Calibri"/>
                <w:sz w:val="22"/>
                <w:szCs w:val="22"/>
              </w:rPr>
            </w:pPr>
            <w:r w:rsidRPr="00D54E05">
              <w:rPr>
                <w:rFonts w:cs="Calibri"/>
                <w:sz w:val="22"/>
                <w:szCs w:val="22"/>
              </w:rPr>
              <w:t>0.21</w:t>
            </w:r>
          </w:p>
        </w:tc>
        <w:tc>
          <w:tcPr>
            <w:tcW w:w="792" w:type="dxa"/>
            <w:tcBorders>
              <w:top w:val="nil"/>
              <w:left w:val="nil"/>
              <w:bottom w:val="single" w:sz="4" w:space="0" w:color="auto"/>
              <w:right w:val="single" w:sz="4" w:space="0" w:color="auto"/>
            </w:tcBorders>
            <w:shd w:val="clear" w:color="000000" w:fill="D9E1F2"/>
            <w:noWrap/>
            <w:vAlign w:val="bottom"/>
            <w:hideMark/>
          </w:tcPr>
          <w:p w14:paraId="38215EA9" w14:textId="77777777" w:rsidR="00710329" w:rsidRPr="00D54E05" w:rsidRDefault="00710329" w:rsidP="00F245AF">
            <w:pPr>
              <w:jc w:val="right"/>
              <w:rPr>
                <w:rFonts w:cs="Calibri"/>
                <w:sz w:val="22"/>
                <w:szCs w:val="22"/>
              </w:rPr>
            </w:pPr>
            <w:r w:rsidRPr="00D54E05">
              <w:rPr>
                <w:rFonts w:cs="Calibri"/>
                <w:sz w:val="22"/>
                <w:szCs w:val="22"/>
              </w:rPr>
              <w:t>19.1%</w:t>
            </w:r>
          </w:p>
        </w:tc>
        <w:tc>
          <w:tcPr>
            <w:tcW w:w="1063" w:type="dxa"/>
            <w:tcBorders>
              <w:top w:val="nil"/>
              <w:left w:val="nil"/>
              <w:bottom w:val="single" w:sz="4" w:space="0" w:color="auto"/>
              <w:right w:val="single" w:sz="4" w:space="0" w:color="auto"/>
            </w:tcBorders>
            <w:shd w:val="clear" w:color="000000" w:fill="D9E1F2"/>
            <w:noWrap/>
            <w:vAlign w:val="bottom"/>
            <w:hideMark/>
          </w:tcPr>
          <w:p w14:paraId="73394A3D" w14:textId="77777777" w:rsidR="00710329" w:rsidRPr="00D54E05" w:rsidRDefault="00710329" w:rsidP="00F245AF">
            <w:pPr>
              <w:jc w:val="right"/>
              <w:rPr>
                <w:rFonts w:cs="Calibri"/>
                <w:sz w:val="22"/>
                <w:szCs w:val="22"/>
              </w:rPr>
            </w:pPr>
            <w:r w:rsidRPr="00D54E05">
              <w:rPr>
                <w:rFonts w:cs="Calibri"/>
                <w:sz w:val="22"/>
                <w:szCs w:val="22"/>
              </w:rPr>
              <w:t>0.2</w:t>
            </w:r>
          </w:p>
        </w:tc>
        <w:tc>
          <w:tcPr>
            <w:tcW w:w="718" w:type="dxa"/>
            <w:tcBorders>
              <w:top w:val="nil"/>
              <w:left w:val="nil"/>
              <w:bottom w:val="single" w:sz="4" w:space="0" w:color="auto"/>
              <w:right w:val="single" w:sz="4" w:space="0" w:color="auto"/>
            </w:tcBorders>
            <w:shd w:val="clear" w:color="000000" w:fill="D9E1F2"/>
            <w:noWrap/>
            <w:vAlign w:val="bottom"/>
            <w:hideMark/>
          </w:tcPr>
          <w:p w14:paraId="77E205FC" w14:textId="77777777" w:rsidR="00710329" w:rsidRPr="00D54E05" w:rsidRDefault="00710329" w:rsidP="00F245AF">
            <w:pPr>
              <w:jc w:val="right"/>
              <w:rPr>
                <w:rFonts w:cs="Calibri"/>
                <w:sz w:val="22"/>
                <w:szCs w:val="22"/>
              </w:rPr>
            </w:pPr>
            <w:r w:rsidRPr="00D54E05">
              <w:rPr>
                <w:rFonts w:cs="Calibri"/>
                <w:sz w:val="22"/>
                <w:szCs w:val="22"/>
              </w:rPr>
              <w:t>96.4</w:t>
            </w:r>
          </w:p>
        </w:tc>
      </w:tr>
      <w:tr w:rsidR="00546AFB" w:rsidRPr="00D54E05" w14:paraId="75FA3FE6"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3E06E342" w14:textId="77777777" w:rsidR="00710329" w:rsidRPr="00D54E05" w:rsidRDefault="00710329" w:rsidP="00F245AF">
            <w:pPr>
              <w:rPr>
                <w:rFonts w:cs="Calibri"/>
                <w:sz w:val="22"/>
                <w:szCs w:val="22"/>
              </w:rPr>
            </w:pPr>
            <w:r w:rsidRPr="00D54E05">
              <w:rPr>
                <w:rFonts w:cs="Calibri"/>
                <w:sz w:val="22"/>
                <w:szCs w:val="22"/>
              </w:rPr>
              <w:t>Medium A/C</w:t>
            </w:r>
          </w:p>
        </w:tc>
        <w:tc>
          <w:tcPr>
            <w:tcW w:w="829" w:type="dxa"/>
            <w:tcBorders>
              <w:top w:val="nil"/>
              <w:left w:val="nil"/>
              <w:bottom w:val="single" w:sz="4" w:space="0" w:color="auto"/>
              <w:right w:val="single" w:sz="4" w:space="0" w:color="auto"/>
            </w:tcBorders>
            <w:shd w:val="clear" w:color="000000" w:fill="D9E1F2"/>
            <w:noWrap/>
            <w:vAlign w:val="bottom"/>
            <w:hideMark/>
          </w:tcPr>
          <w:p w14:paraId="2949260E" w14:textId="77777777" w:rsidR="00710329" w:rsidRPr="00D54E05" w:rsidRDefault="00710329" w:rsidP="00F245AF">
            <w:pPr>
              <w:jc w:val="right"/>
              <w:rPr>
                <w:rFonts w:cs="Calibri"/>
                <w:sz w:val="22"/>
                <w:szCs w:val="22"/>
              </w:rPr>
            </w:pPr>
            <w:r w:rsidRPr="00D54E05">
              <w:rPr>
                <w:rFonts w:cs="Calibri"/>
                <w:sz w:val="22"/>
                <w:szCs w:val="22"/>
              </w:rPr>
              <w:t>3,747</w:t>
            </w:r>
          </w:p>
        </w:tc>
        <w:tc>
          <w:tcPr>
            <w:tcW w:w="1101" w:type="dxa"/>
            <w:tcBorders>
              <w:top w:val="nil"/>
              <w:left w:val="nil"/>
              <w:bottom w:val="single" w:sz="4" w:space="0" w:color="auto"/>
              <w:right w:val="single" w:sz="4" w:space="0" w:color="auto"/>
            </w:tcBorders>
            <w:shd w:val="clear" w:color="000000" w:fill="D9E1F2"/>
            <w:noWrap/>
            <w:vAlign w:val="bottom"/>
            <w:hideMark/>
          </w:tcPr>
          <w:p w14:paraId="7645C112" w14:textId="77777777" w:rsidR="00710329" w:rsidRPr="00D54E05" w:rsidRDefault="00710329" w:rsidP="00F245AF">
            <w:pPr>
              <w:jc w:val="right"/>
              <w:rPr>
                <w:rFonts w:cs="Calibri"/>
                <w:sz w:val="22"/>
                <w:szCs w:val="22"/>
              </w:rPr>
            </w:pPr>
            <w:r w:rsidRPr="00D54E05">
              <w:rPr>
                <w:rFonts w:cs="Calibri"/>
                <w:sz w:val="22"/>
                <w:szCs w:val="22"/>
              </w:rPr>
              <w:t>33,777</w:t>
            </w:r>
          </w:p>
        </w:tc>
        <w:tc>
          <w:tcPr>
            <w:tcW w:w="1067" w:type="dxa"/>
            <w:tcBorders>
              <w:top w:val="nil"/>
              <w:left w:val="nil"/>
              <w:bottom w:val="single" w:sz="4" w:space="0" w:color="auto"/>
              <w:right w:val="single" w:sz="4" w:space="0" w:color="auto"/>
            </w:tcBorders>
            <w:shd w:val="clear" w:color="000000" w:fill="D9E1F2"/>
            <w:noWrap/>
            <w:vAlign w:val="bottom"/>
            <w:hideMark/>
          </w:tcPr>
          <w:p w14:paraId="6D0CD582" w14:textId="77777777" w:rsidR="00710329" w:rsidRPr="00D54E05" w:rsidRDefault="00710329" w:rsidP="00F245AF">
            <w:pPr>
              <w:jc w:val="right"/>
              <w:rPr>
                <w:rFonts w:cs="Calibri"/>
                <w:sz w:val="22"/>
                <w:szCs w:val="22"/>
              </w:rPr>
            </w:pPr>
            <w:r w:rsidRPr="00D54E05">
              <w:rPr>
                <w:rFonts w:cs="Calibri"/>
                <w:sz w:val="22"/>
                <w:szCs w:val="22"/>
              </w:rPr>
              <w:t>1.94</w:t>
            </w:r>
          </w:p>
        </w:tc>
        <w:tc>
          <w:tcPr>
            <w:tcW w:w="1067" w:type="dxa"/>
            <w:tcBorders>
              <w:top w:val="nil"/>
              <w:left w:val="nil"/>
              <w:bottom w:val="single" w:sz="4" w:space="0" w:color="auto"/>
              <w:right w:val="single" w:sz="4" w:space="0" w:color="auto"/>
            </w:tcBorders>
            <w:shd w:val="clear" w:color="000000" w:fill="D9E1F2"/>
            <w:noWrap/>
            <w:vAlign w:val="bottom"/>
            <w:hideMark/>
          </w:tcPr>
          <w:p w14:paraId="2067D3BD" w14:textId="77777777" w:rsidR="00710329" w:rsidRPr="00D54E05" w:rsidRDefault="00710329" w:rsidP="00F245AF">
            <w:pPr>
              <w:jc w:val="right"/>
              <w:rPr>
                <w:rFonts w:cs="Calibri"/>
                <w:sz w:val="22"/>
                <w:szCs w:val="22"/>
              </w:rPr>
            </w:pPr>
            <w:r w:rsidRPr="00D54E05">
              <w:rPr>
                <w:rFonts w:cs="Calibri"/>
                <w:sz w:val="22"/>
                <w:szCs w:val="22"/>
              </w:rPr>
              <w:t>0.26</w:t>
            </w:r>
          </w:p>
        </w:tc>
        <w:tc>
          <w:tcPr>
            <w:tcW w:w="792" w:type="dxa"/>
            <w:tcBorders>
              <w:top w:val="nil"/>
              <w:left w:val="nil"/>
              <w:bottom w:val="single" w:sz="4" w:space="0" w:color="auto"/>
              <w:right w:val="single" w:sz="4" w:space="0" w:color="auto"/>
            </w:tcBorders>
            <w:shd w:val="clear" w:color="000000" w:fill="D9E1F2"/>
            <w:noWrap/>
            <w:vAlign w:val="bottom"/>
            <w:hideMark/>
          </w:tcPr>
          <w:p w14:paraId="4A32C8B6" w14:textId="77777777" w:rsidR="00710329" w:rsidRPr="00D54E05" w:rsidRDefault="00710329" w:rsidP="00F245AF">
            <w:pPr>
              <w:jc w:val="right"/>
              <w:rPr>
                <w:rFonts w:cs="Calibri"/>
                <w:sz w:val="22"/>
                <w:szCs w:val="22"/>
              </w:rPr>
            </w:pPr>
            <w:r w:rsidRPr="00D54E05">
              <w:rPr>
                <w:rFonts w:cs="Calibri"/>
                <w:sz w:val="22"/>
                <w:szCs w:val="22"/>
              </w:rPr>
              <w:t>13.6%</w:t>
            </w:r>
          </w:p>
        </w:tc>
        <w:tc>
          <w:tcPr>
            <w:tcW w:w="1063" w:type="dxa"/>
            <w:tcBorders>
              <w:top w:val="nil"/>
              <w:left w:val="nil"/>
              <w:bottom w:val="single" w:sz="4" w:space="0" w:color="auto"/>
              <w:right w:val="single" w:sz="4" w:space="0" w:color="auto"/>
            </w:tcBorders>
            <w:shd w:val="clear" w:color="000000" w:fill="D9E1F2"/>
            <w:noWrap/>
            <w:vAlign w:val="bottom"/>
            <w:hideMark/>
          </w:tcPr>
          <w:p w14:paraId="194AB9CC" w14:textId="77777777" w:rsidR="00710329" w:rsidRPr="00D54E05" w:rsidRDefault="00710329" w:rsidP="00F245AF">
            <w:pPr>
              <w:jc w:val="right"/>
              <w:rPr>
                <w:rFonts w:cs="Calibri"/>
                <w:sz w:val="22"/>
                <w:szCs w:val="22"/>
              </w:rPr>
            </w:pPr>
            <w:r w:rsidRPr="00D54E05">
              <w:rPr>
                <w:rFonts w:cs="Calibri"/>
                <w:sz w:val="22"/>
                <w:szCs w:val="22"/>
              </w:rPr>
              <w:t>1.0</w:t>
            </w:r>
          </w:p>
        </w:tc>
        <w:tc>
          <w:tcPr>
            <w:tcW w:w="718" w:type="dxa"/>
            <w:tcBorders>
              <w:top w:val="nil"/>
              <w:left w:val="nil"/>
              <w:bottom w:val="single" w:sz="4" w:space="0" w:color="auto"/>
              <w:right w:val="single" w:sz="4" w:space="0" w:color="auto"/>
            </w:tcBorders>
            <w:shd w:val="clear" w:color="000000" w:fill="D9E1F2"/>
            <w:noWrap/>
            <w:vAlign w:val="bottom"/>
            <w:hideMark/>
          </w:tcPr>
          <w:p w14:paraId="62C68C1E" w14:textId="77777777" w:rsidR="00710329" w:rsidRPr="00D54E05" w:rsidRDefault="00710329" w:rsidP="00F245AF">
            <w:pPr>
              <w:jc w:val="right"/>
              <w:rPr>
                <w:rFonts w:cs="Calibri"/>
                <w:sz w:val="22"/>
                <w:szCs w:val="22"/>
              </w:rPr>
            </w:pPr>
            <w:r w:rsidRPr="00D54E05">
              <w:rPr>
                <w:rFonts w:cs="Calibri"/>
                <w:sz w:val="22"/>
                <w:szCs w:val="22"/>
              </w:rPr>
              <w:t>98.3</w:t>
            </w:r>
          </w:p>
        </w:tc>
      </w:tr>
      <w:tr w:rsidR="00546AFB" w:rsidRPr="00D54E05" w14:paraId="6976FCB8"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1C725511" w14:textId="77777777" w:rsidR="00710329" w:rsidRPr="00D54E05" w:rsidRDefault="00710329" w:rsidP="00F245AF">
            <w:pPr>
              <w:rPr>
                <w:rFonts w:cs="Calibri"/>
                <w:sz w:val="22"/>
                <w:szCs w:val="22"/>
              </w:rPr>
            </w:pPr>
            <w:r w:rsidRPr="00D54E05">
              <w:rPr>
                <w:rFonts w:cs="Calibri"/>
                <w:sz w:val="22"/>
                <w:szCs w:val="22"/>
              </w:rPr>
              <w:t>High A/C</w:t>
            </w:r>
          </w:p>
        </w:tc>
        <w:tc>
          <w:tcPr>
            <w:tcW w:w="829" w:type="dxa"/>
            <w:tcBorders>
              <w:top w:val="nil"/>
              <w:left w:val="nil"/>
              <w:bottom w:val="single" w:sz="4" w:space="0" w:color="auto"/>
              <w:right w:val="single" w:sz="4" w:space="0" w:color="auto"/>
            </w:tcBorders>
            <w:shd w:val="clear" w:color="000000" w:fill="D9E1F2"/>
            <w:noWrap/>
            <w:vAlign w:val="bottom"/>
            <w:hideMark/>
          </w:tcPr>
          <w:p w14:paraId="6936200D" w14:textId="77777777" w:rsidR="00710329" w:rsidRPr="00D54E05" w:rsidRDefault="00710329" w:rsidP="00F245AF">
            <w:pPr>
              <w:jc w:val="right"/>
              <w:rPr>
                <w:rFonts w:cs="Calibri"/>
                <w:sz w:val="22"/>
                <w:szCs w:val="22"/>
              </w:rPr>
            </w:pPr>
            <w:r w:rsidRPr="00D54E05">
              <w:rPr>
                <w:rFonts w:cs="Calibri"/>
                <w:sz w:val="22"/>
                <w:szCs w:val="22"/>
              </w:rPr>
              <w:t>6,136</w:t>
            </w:r>
          </w:p>
        </w:tc>
        <w:tc>
          <w:tcPr>
            <w:tcW w:w="1101" w:type="dxa"/>
            <w:tcBorders>
              <w:top w:val="nil"/>
              <w:left w:val="nil"/>
              <w:bottom w:val="single" w:sz="4" w:space="0" w:color="auto"/>
              <w:right w:val="single" w:sz="4" w:space="0" w:color="auto"/>
            </w:tcBorders>
            <w:shd w:val="clear" w:color="000000" w:fill="D9E1F2"/>
            <w:noWrap/>
            <w:vAlign w:val="bottom"/>
            <w:hideMark/>
          </w:tcPr>
          <w:p w14:paraId="5C78795F" w14:textId="77777777" w:rsidR="00710329" w:rsidRPr="00D54E05" w:rsidRDefault="00710329" w:rsidP="00F245AF">
            <w:pPr>
              <w:jc w:val="right"/>
              <w:rPr>
                <w:rFonts w:cs="Calibri"/>
                <w:sz w:val="22"/>
                <w:szCs w:val="22"/>
              </w:rPr>
            </w:pPr>
            <w:r w:rsidRPr="00D54E05">
              <w:rPr>
                <w:rFonts w:cs="Calibri"/>
                <w:sz w:val="22"/>
                <w:szCs w:val="22"/>
              </w:rPr>
              <w:t>46,958</w:t>
            </w:r>
          </w:p>
        </w:tc>
        <w:tc>
          <w:tcPr>
            <w:tcW w:w="1067" w:type="dxa"/>
            <w:tcBorders>
              <w:top w:val="nil"/>
              <w:left w:val="nil"/>
              <w:bottom w:val="single" w:sz="4" w:space="0" w:color="auto"/>
              <w:right w:val="single" w:sz="4" w:space="0" w:color="auto"/>
            </w:tcBorders>
            <w:shd w:val="clear" w:color="000000" w:fill="D9E1F2"/>
            <w:noWrap/>
            <w:vAlign w:val="bottom"/>
            <w:hideMark/>
          </w:tcPr>
          <w:p w14:paraId="14D52BDF" w14:textId="77777777" w:rsidR="00710329" w:rsidRPr="00D54E05" w:rsidRDefault="00710329" w:rsidP="00F245AF">
            <w:pPr>
              <w:jc w:val="right"/>
              <w:rPr>
                <w:rFonts w:cs="Calibri"/>
                <w:sz w:val="22"/>
                <w:szCs w:val="22"/>
              </w:rPr>
            </w:pPr>
            <w:r w:rsidRPr="00D54E05">
              <w:rPr>
                <w:rFonts w:cs="Calibri"/>
                <w:sz w:val="22"/>
                <w:szCs w:val="22"/>
              </w:rPr>
              <w:t>3.34</w:t>
            </w:r>
          </w:p>
        </w:tc>
        <w:tc>
          <w:tcPr>
            <w:tcW w:w="1067" w:type="dxa"/>
            <w:tcBorders>
              <w:top w:val="nil"/>
              <w:left w:val="nil"/>
              <w:bottom w:val="single" w:sz="4" w:space="0" w:color="auto"/>
              <w:right w:val="single" w:sz="4" w:space="0" w:color="auto"/>
            </w:tcBorders>
            <w:shd w:val="clear" w:color="000000" w:fill="D9E1F2"/>
            <w:noWrap/>
            <w:vAlign w:val="bottom"/>
            <w:hideMark/>
          </w:tcPr>
          <w:p w14:paraId="5100D53D" w14:textId="77777777" w:rsidR="00710329" w:rsidRPr="00D54E05" w:rsidRDefault="00710329" w:rsidP="00F245AF">
            <w:pPr>
              <w:jc w:val="right"/>
              <w:rPr>
                <w:rFonts w:cs="Calibri"/>
                <w:sz w:val="22"/>
                <w:szCs w:val="22"/>
              </w:rPr>
            </w:pPr>
            <w:r w:rsidRPr="00D54E05">
              <w:rPr>
                <w:rFonts w:cs="Calibri"/>
                <w:sz w:val="22"/>
                <w:szCs w:val="22"/>
              </w:rPr>
              <w:t>0.48</w:t>
            </w:r>
          </w:p>
        </w:tc>
        <w:tc>
          <w:tcPr>
            <w:tcW w:w="792" w:type="dxa"/>
            <w:tcBorders>
              <w:top w:val="nil"/>
              <w:left w:val="nil"/>
              <w:bottom w:val="single" w:sz="4" w:space="0" w:color="auto"/>
              <w:right w:val="single" w:sz="4" w:space="0" w:color="auto"/>
            </w:tcBorders>
            <w:shd w:val="clear" w:color="000000" w:fill="D9E1F2"/>
            <w:noWrap/>
            <w:vAlign w:val="bottom"/>
            <w:hideMark/>
          </w:tcPr>
          <w:p w14:paraId="28016D16" w14:textId="77777777" w:rsidR="00710329" w:rsidRPr="00D54E05" w:rsidRDefault="00710329" w:rsidP="00F245AF">
            <w:pPr>
              <w:jc w:val="right"/>
              <w:rPr>
                <w:rFonts w:cs="Calibri"/>
                <w:sz w:val="22"/>
                <w:szCs w:val="22"/>
              </w:rPr>
            </w:pPr>
            <w:r w:rsidRPr="00D54E05">
              <w:rPr>
                <w:rFonts w:cs="Calibri"/>
                <w:sz w:val="22"/>
                <w:szCs w:val="22"/>
              </w:rPr>
              <w:t>14.3%</w:t>
            </w:r>
          </w:p>
        </w:tc>
        <w:tc>
          <w:tcPr>
            <w:tcW w:w="1063" w:type="dxa"/>
            <w:tcBorders>
              <w:top w:val="nil"/>
              <w:left w:val="nil"/>
              <w:bottom w:val="single" w:sz="4" w:space="0" w:color="auto"/>
              <w:right w:val="single" w:sz="4" w:space="0" w:color="auto"/>
            </w:tcBorders>
            <w:shd w:val="clear" w:color="000000" w:fill="D9E1F2"/>
            <w:noWrap/>
            <w:vAlign w:val="bottom"/>
            <w:hideMark/>
          </w:tcPr>
          <w:p w14:paraId="59C2BC5B" w14:textId="77777777" w:rsidR="00710329" w:rsidRPr="00D54E05" w:rsidRDefault="00710329" w:rsidP="00F245AF">
            <w:pPr>
              <w:jc w:val="right"/>
              <w:rPr>
                <w:rFonts w:cs="Calibri"/>
                <w:sz w:val="22"/>
                <w:szCs w:val="22"/>
              </w:rPr>
            </w:pPr>
            <w:r w:rsidRPr="00D54E05">
              <w:rPr>
                <w:rFonts w:cs="Calibri"/>
                <w:sz w:val="22"/>
                <w:szCs w:val="22"/>
              </w:rPr>
              <w:t>2.9</w:t>
            </w:r>
          </w:p>
        </w:tc>
        <w:tc>
          <w:tcPr>
            <w:tcW w:w="718" w:type="dxa"/>
            <w:tcBorders>
              <w:top w:val="nil"/>
              <w:left w:val="nil"/>
              <w:bottom w:val="single" w:sz="4" w:space="0" w:color="auto"/>
              <w:right w:val="single" w:sz="4" w:space="0" w:color="auto"/>
            </w:tcBorders>
            <w:shd w:val="clear" w:color="000000" w:fill="D9E1F2"/>
            <w:noWrap/>
            <w:vAlign w:val="bottom"/>
            <w:hideMark/>
          </w:tcPr>
          <w:p w14:paraId="1EC0E752" w14:textId="77777777" w:rsidR="00710329" w:rsidRPr="00D54E05" w:rsidRDefault="00710329" w:rsidP="00F245AF">
            <w:pPr>
              <w:jc w:val="right"/>
              <w:rPr>
                <w:rFonts w:cs="Calibri"/>
                <w:sz w:val="22"/>
                <w:szCs w:val="22"/>
              </w:rPr>
            </w:pPr>
            <w:r w:rsidRPr="00D54E05">
              <w:rPr>
                <w:rFonts w:cs="Calibri"/>
                <w:sz w:val="22"/>
                <w:szCs w:val="22"/>
              </w:rPr>
              <w:t>99.8</w:t>
            </w:r>
          </w:p>
        </w:tc>
      </w:tr>
      <w:tr w:rsidR="00710329" w:rsidRPr="00D54E05" w14:paraId="56672BAA"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14:paraId="14CA0712" w14:textId="77777777" w:rsidR="00710329" w:rsidRPr="00D54E05" w:rsidRDefault="00710329" w:rsidP="00F245AF">
            <w:pPr>
              <w:rPr>
                <w:rFonts w:cs="Calibri"/>
                <w:sz w:val="22"/>
                <w:szCs w:val="22"/>
              </w:rPr>
            </w:pPr>
            <w:r w:rsidRPr="00D54E05">
              <w:rPr>
                <w:rFonts w:cs="Calibri"/>
                <w:sz w:val="22"/>
                <w:szCs w:val="22"/>
              </w:rPr>
              <w:t>Single Device</w:t>
            </w:r>
          </w:p>
        </w:tc>
        <w:tc>
          <w:tcPr>
            <w:tcW w:w="829" w:type="dxa"/>
            <w:tcBorders>
              <w:top w:val="nil"/>
              <w:left w:val="nil"/>
              <w:bottom w:val="single" w:sz="4" w:space="0" w:color="auto"/>
              <w:right w:val="single" w:sz="4" w:space="0" w:color="auto"/>
            </w:tcBorders>
            <w:shd w:val="clear" w:color="auto" w:fill="auto"/>
            <w:noWrap/>
            <w:vAlign w:val="bottom"/>
            <w:hideMark/>
          </w:tcPr>
          <w:p w14:paraId="257E0A6B" w14:textId="77777777" w:rsidR="00710329" w:rsidRPr="00D54E05" w:rsidRDefault="00710329" w:rsidP="00F245AF">
            <w:pPr>
              <w:jc w:val="right"/>
              <w:rPr>
                <w:rFonts w:cs="Calibri"/>
                <w:sz w:val="22"/>
                <w:szCs w:val="22"/>
              </w:rPr>
            </w:pPr>
            <w:r w:rsidRPr="00D54E05">
              <w:rPr>
                <w:rFonts w:cs="Calibri"/>
                <w:sz w:val="22"/>
                <w:szCs w:val="22"/>
              </w:rPr>
              <w:t>10,431</w:t>
            </w:r>
          </w:p>
        </w:tc>
        <w:tc>
          <w:tcPr>
            <w:tcW w:w="1101" w:type="dxa"/>
            <w:tcBorders>
              <w:top w:val="nil"/>
              <w:left w:val="nil"/>
              <w:bottom w:val="single" w:sz="4" w:space="0" w:color="auto"/>
              <w:right w:val="single" w:sz="4" w:space="0" w:color="auto"/>
            </w:tcBorders>
            <w:shd w:val="clear" w:color="auto" w:fill="auto"/>
            <w:noWrap/>
            <w:vAlign w:val="bottom"/>
            <w:hideMark/>
          </w:tcPr>
          <w:p w14:paraId="6F626C48" w14:textId="77777777" w:rsidR="00710329" w:rsidRPr="00D54E05" w:rsidRDefault="00710329" w:rsidP="00F245AF">
            <w:pPr>
              <w:jc w:val="right"/>
              <w:rPr>
                <w:rFonts w:cs="Calibri"/>
                <w:sz w:val="22"/>
                <w:szCs w:val="22"/>
              </w:rPr>
            </w:pPr>
            <w:r w:rsidRPr="00D54E05">
              <w:rPr>
                <w:rFonts w:cs="Calibri"/>
                <w:sz w:val="22"/>
                <w:szCs w:val="22"/>
              </w:rPr>
              <w:t>90,560</w:t>
            </w:r>
          </w:p>
        </w:tc>
        <w:tc>
          <w:tcPr>
            <w:tcW w:w="1067" w:type="dxa"/>
            <w:tcBorders>
              <w:top w:val="nil"/>
              <w:left w:val="nil"/>
              <w:bottom w:val="single" w:sz="4" w:space="0" w:color="auto"/>
              <w:right w:val="single" w:sz="4" w:space="0" w:color="auto"/>
            </w:tcBorders>
            <w:shd w:val="clear" w:color="auto" w:fill="auto"/>
            <w:noWrap/>
            <w:vAlign w:val="bottom"/>
            <w:hideMark/>
          </w:tcPr>
          <w:p w14:paraId="2DE0F5F3" w14:textId="77777777" w:rsidR="00710329" w:rsidRPr="00D54E05" w:rsidRDefault="00710329" w:rsidP="00F245AF">
            <w:pPr>
              <w:jc w:val="right"/>
              <w:rPr>
                <w:rFonts w:cs="Calibri"/>
                <w:sz w:val="22"/>
                <w:szCs w:val="22"/>
              </w:rPr>
            </w:pPr>
            <w:r w:rsidRPr="00D54E05">
              <w:rPr>
                <w:rFonts w:cs="Calibri"/>
                <w:sz w:val="22"/>
                <w:szCs w:val="22"/>
              </w:rPr>
              <w:t>2.48</w:t>
            </w:r>
          </w:p>
        </w:tc>
        <w:tc>
          <w:tcPr>
            <w:tcW w:w="1067" w:type="dxa"/>
            <w:tcBorders>
              <w:top w:val="nil"/>
              <w:left w:val="nil"/>
              <w:bottom w:val="single" w:sz="4" w:space="0" w:color="auto"/>
              <w:right w:val="single" w:sz="4" w:space="0" w:color="auto"/>
            </w:tcBorders>
            <w:shd w:val="clear" w:color="auto" w:fill="auto"/>
            <w:noWrap/>
            <w:vAlign w:val="bottom"/>
            <w:hideMark/>
          </w:tcPr>
          <w:p w14:paraId="2A48456B" w14:textId="77777777" w:rsidR="00710329" w:rsidRPr="00D54E05" w:rsidRDefault="00710329" w:rsidP="00F245AF">
            <w:pPr>
              <w:jc w:val="right"/>
              <w:rPr>
                <w:rFonts w:cs="Calibri"/>
                <w:sz w:val="22"/>
                <w:szCs w:val="22"/>
              </w:rPr>
            </w:pPr>
            <w:r w:rsidRPr="00D54E05">
              <w:rPr>
                <w:rFonts w:cs="Calibri"/>
                <w:sz w:val="22"/>
                <w:szCs w:val="22"/>
              </w:rPr>
              <w:t>0.37</w:t>
            </w:r>
          </w:p>
        </w:tc>
        <w:tc>
          <w:tcPr>
            <w:tcW w:w="792" w:type="dxa"/>
            <w:tcBorders>
              <w:top w:val="nil"/>
              <w:left w:val="nil"/>
              <w:bottom w:val="single" w:sz="4" w:space="0" w:color="auto"/>
              <w:right w:val="single" w:sz="4" w:space="0" w:color="auto"/>
            </w:tcBorders>
            <w:shd w:val="clear" w:color="auto" w:fill="auto"/>
            <w:noWrap/>
            <w:vAlign w:val="bottom"/>
            <w:hideMark/>
          </w:tcPr>
          <w:p w14:paraId="319BE10E" w14:textId="77777777" w:rsidR="00710329" w:rsidRPr="00D54E05" w:rsidRDefault="00710329" w:rsidP="00F245AF">
            <w:pPr>
              <w:jc w:val="right"/>
              <w:rPr>
                <w:rFonts w:cs="Calibri"/>
                <w:sz w:val="22"/>
                <w:szCs w:val="22"/>
              </w:rPr>
            </w:pPr>
            <w:r w:rsidRPr="00D54E05">
              <w:rPr>
                <w:rFonts w:cs="Calibri"/>
                <w:sz w:val="22"/>
                <w:szCs w:val="22"/>
              </w:rPr>
              <w:t>15.0%</w:t>
            </w:r>
          </w:p>
        </w:tc>
        <w:tc>
          <w:tcPr>
            <w:tcW w:w="1063" w:type="dxa"/>
            <w:tcBorders>
              <w:top w:val="nil"/>
              <w:left w:val="nil"/>
              <w:bottom w:val="single" w:sz="4" w:space="0" w:color="auto"/>
              <w:right w:val="single" w:sz="4" w:space="0" w:color="auto"/>
            </w:tcBorders>
            <w:shd w:val="clear" w:color="auto" w:fill="auto"/>
            <w:noWrap/>
            <w:vAlign w:val="bottom"/>
            <w:hideMark/>
          </w:tcPr>
          <w:p w14:paraId="44159EFE" w14:textId="77777777" w:rsidR="00710329" w:rsidRPr="00D54E05" w:rsidRDefault="00710329" w:rsidP="00F245AF">
            <w:pPr>
              <w:jc w:val="right"/>
              <w:rPr>
                <w:rFonts w:cs="Calibri"/>
                <w:sz w:val="22"/>
                <w:szCs w:val="22"/>
              </w:rPr>
            </w:pPr>
            <w:r w:rsidRPr="00D54E05">
              <w:rPr>
                <w:rFonts w:cs="Calibri"/>
                <w:sz w:val="22"/>
                <w:szCs w:val="22"/>
              </w:rPr>
              <w:t>3.9</w:t>
            </w:r>
          </w:p>
        </w:tc>
        <w:tc>
          <w:tcPr>
            <w:tcW w:w="718" w:type="dxa"/>
            <w:tcBorders>
              <w:top w:val="nil"/>
              <w:left w:val="nil"/>
              <w:bottom w:val="single" w:sz="4" w:space="0" w:color="auto"/>
              <w:right w:val="single" w:sz="4" w:space="0" w:color="auto"/>
            </w:tcBorders>
            <w:shd w:val="clear" w:color="auto" w:fill="auto"/>
            <w:noWrap/>
            <w:vAlign w:val="bottom"/>
            <w:hideMark/>
          </w:tcPr>
          <w:p w14:paraId="0C814600" w14:textId="77777777" w:rsidR="00710329" w:rsidRPr="00D54E05" w:rsidRDefault="00710329" w:rsidP="00F245AF">
            <w:pPr>
              <w:jc w:val="right"/>
              <w:rPr>
                <w:rFonts w:cs="Calibri"/>
                <w:sz w:val="22"/>
                <w:szCs w:val="22"/>
              </w:rPr>
            </w:pPr>
            <w:r w:rsidRPr="00D54E05">
              <w:rPr>
                <w:rFonts w:cs="Calibri"/>
                <w:sz w:val="22"/>
                <w:szCs w:val="22"/>
              </w:rPr>
              <w:t>98.7</w:t>
            </w:r>
          </w:p>
        </w:tc>
      </w:tr>
      <w:tr w:rsidR="00710329" w:rsidRPr="00D54E05" w14:paraId="5CDCBDFA"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14:paraId="4F030567" w14:textId="77777777" w:rsidR="00710329" w:rsidRPr="00D54E05" w:rsidRDefault="00710329" w:rsidP="00F245AF">
            <w:pPr>
              <w:rPr>
                <w:rFonts w:cs="Calibri"/>
                <w:sz w:val="22"/>
                <w:szCs w:val="22"/>
              </w:rPr>
            </w:pPr>
            <w:r w:rsidRPr="00D54E05">
              <w:rPr>
                <w:rFonts w:cs="Calibri"/>
                <w:sz w:val="22"/>
                <w:szCs w:val="22"/>
              </w:rPr>
              <w:t>Multiple Devices</w:t>
            </w:r>
          </w:p>
        </w:tc>
        <w:tc>
          <w:tcPr>
            <w:tcW w:w="829" w:type="dxa"/>
            <w:tcBorders>
              <w:top w:val="nil"/>
              <w:left w:val="nil"/>
              <w:bottom w:val="single" w:sz="4" w:space="0" w:color="auto"/>
              <w:right w:val="single" w:sz="4" w:space="0" w:color="auto"/>
            </w:tcBorders>
            <w:shd w:val="clear" w:color="auto" w:fill="auto"/>
            <w:noWrap/>
            <w:vAlign w:val="bottom"/>
            <w:hideMark/>
          </w:tcPr>
          <w:p w14:paraId="41F328CB" w14:textId="77777777" w:rsidR="00710329" w:rsidRPr="00D54E05" w:rsidRDefault="00710329" w:rsidP="00F245AF">
            <w:pPr>
              <w:jc w:val="right"/>
              <w:rPr>
                <w:rFonts w:cs="Calibri"/>
                <w:sz w:val="22"/>
                <w:szCs w:val="22"/>
              </w:rPr>
            </w:pPr>
            <w:r w:rsidRPr="00D54E05">
              <w:rPr>
                <w:rFonts w:cs="Calibri"/>
                <w:sz w:val="22"/>
                <w:szCs w:val="22"/>
              </w:rPr>
              <w:t>976</w:t>
            </w:r>
          </w:p>
        </w:tc>
        <w:tc>
          <w:tcPr>
            <w:tcW w:w="1101" w:type="dxa"/>
            <w:tcBorders>
              <w:top w:val="nil"/>
              <w:left w:val="nil"/>
              <w:bottom w:val="single" w:sz="4" w:space="0" w:color="auto"/>
              <w:right w:val="single" w:sz="4" w:space="0" w:color="auto"/>
            </w:tcBorders>
            <w:shd w:val="clear" w:color="auto" w:fill="auto"/>
            <w:noWrap/>
            <w:vAlign w:val="bottom"/>
            <w:hideMark/>
          </w:tcPr>
          <w:p w14:paraId="2870CE90" w14:textId="77777777" w:rsidR="00710329" w:rsidRPr="00D54E05" w:rsidRDefault="00710329" w:rsidP="00F245AF">
            <w:pPr>
              <w:jc w:val="right"/>
              <w:rPr>
                <w:rFonts w:cs="Calibri"/>
                <w:sz w:val="22"/>
                <w:szCs w:val="22"/>
              </w:rPr>
            </w:pPr>
            <w:r w:rsidRPr="00D54E05">
              <w:rPr>
                <w:rFonts w:cs="Calibri"/>
                <w:sz w:val="22"/>
                <w:szCs w:val="22"/>
              </w:rPr>
              <w:t>8,925</w:t>
            </w:r>
          </w:p>
        </w:tc>
        <w:tc>
          <w:tcPr>
            <w:tcW w:w="1067" w:type="dxa"/>
            <w:tcBorders>
              <w:top w:val="nil"/>
              <w:left w:val="nil"/>
              <w:bottom w:val="single" w:sz="4" w:space="0" w:color="auto"/>
              <w:right w:val="single" w:sz="4" w:space="0" w:color="auto"/>
            </w:tcBorders>
            <w:shd w:val="clear" w:color="auto" w:fill="auto"/>
            <w:noWrap/>
            <w:vAlign w:val="bottom"/>
            <w:hideMark/>
          </w:tcPr>
          <w:p w14:paraId="0AB1237D" w14:textId="77777777" w:rsidR="00710329" w:rsidRPr="00D54E05" w:rsidRDefault="00710329" w:rsidP="00F245AF">
            <w:pPr>
              <w:jc w:val="right"/>
              <w:rPr>
                <w:rFonts w:cs="Calibri"/>
                <w:sz w:val="22"/>
                <w:szCs w:val="22"/>
              </w:rPr>
            </w:pPr>
            <w:r w:rsidRPr="00D54E05">
              <w:rPr>
                <w:rFonts w:cs="Calibri"/>
                <w:sz w:val="22"/>
                <w:szCs w:val="22"/>
              </w:rPr>
              <w:t>2.64</w:t>
            </w:r>
          </w:p>
        </w:tc>
        <w:tc>
          <w:tcPr>
            <w:tcW w:w="1067" w:type="dxa"/>
            <w:tcBorders>
              <w:top w:val="nil"/>
              <w:left w:val="nil"/>
              <w:bottom w:val="single" w:sz="4" w:space="0" w:color="auto"/>
              <w:right w:val="single" w:sz="4" w:space="0" w:color="auto"/>
            </w:tcBorders>
            <w:shd w:val="clear" w:color="auto" w:fill="auto"/>
            <w:noWrap/>
            <w:vAlign w:val="bottom"/>
            <w:hideMark/>
          </w:tcPr>
          <w:p w14:paraId="48AB163A" w14:textId="77777777" w:rsidR="00710329" w:rsidRPr="00D54E05" w:rsidRDefault="00710329" w:rsidP="00F245AF">
            <w:pPr>
              <w:jc w:val="right"/>
              <w:rPr>
                <w:rFonts w:cs="Calibri"/>
                <w:sz w:val="22"/>
                <w:szCs w:val="22"/>
              </w:rPr>
            </w:pPr>
            <w:r w:rsidRPr="00D54E05">
              <w:rPr>
                <w:rFonts w:cs="Calibri"/>
                <w:sz w:val="22"/>
                <w:szCs w:val="22"/>
              </w:rPr>
              <w:t>0.30</w:t>
            </w:r>
          </w:p>
        </w:tc>
        <w:tc>
          <w:tcPr>
            <w:tcW w:w="792" w:type="dxa"/>
            <w:tcBorders>
              <w:top w:val="nil"/>
              <w:left w:val="nil"/>
              <w:bottom w:val="single" w:sz="4" w:space="0" w:color="auto"/>
              <w:right w:val="single" w:sz="4" w:space="0" w:color="auto"/>
            </w:tcBorders>
            <w:shd w:val="clear" w:color="auto" w:fill="auto"/>
            <w:noWrap/>
            <w:vAlign w:val="bottom"/>
            <w:hideMark/>
          </w:tcPr>
          <w:p w14:paraId="6680822A" w14:textId="77777777" w:rsidR="00710329" w:rsidRPr="00D54E05" w:rsidRDefault="00710329" w:rsidP="00F245AF">
            <w:pPr>
              <w:jc w:val="right"/>
              <w:rPr>
                <w:rFonts w:cs="Calibri"/>
                <w:sz w:val="22"/>
                <w:szCs w:val="22"/>
              </w:rPr>
            </w:pPr>
            <w:r w:rsidRPr="00D54E05">
              <w:rPr>
                <w:rFonts w:cs="Calibri"/>
                <w:sz w:val="22"/>
                <w:szCs w:val="22"/>
              </w:rPr>
              <w:t>11.4%</w:t>
            </w:r>
          </w:p>
        </w:tc>
        <w:tc>
          <w:tcPr>
            <w:tcW w:w="1063" w:type="dxa"/>
            <w:tcBorders>
              <w:top w:val="nil"/>
              <w:left w:val="nil"/>
              <w:bottom w:val="single" w:sz="4" w:space="0" w:color="auto"/>
              <w:right w:val="single" w:sz="4" w:space="0" w:color="auto"/>
            </w:tcBorders>
            <w:shd w:val="clear" w:color="auto" w:fill="auto"/>
            <w:noWrap/>
            <w:vAlign w:val="bottom"/>
            <w:hideMark/>
          </w:tcPr>
          <w:p w14:paraId="6B0E6FF4" w14:textId="77777777" w:rsidR="00710329" w:rsidRPr="00D54E05" w:rsidRDefault="00710329" w:rsidP="00F245AF">
            <w:pPr>
              <w:jc w:val="right"/>
              <w:rPr>
                <w:rFonts w:cs="Calibri"/>
                <w:sz w:val="22"/>
                <w:szCs w:val="22"/>
              </w:rPr>
            </w:pPr>
            <w:r w:rsidRPr="00D54E05">
              <w:rPr>
                <w:rFonts w:cs="Calibri"/>
                <w:sz w:val="22"/>
                <w:szCs w:val="22"/>
              </w:rPr>
              <w:t>0.3</w:t>
            </w:r>
          </w:p>
        </w:tc>
        <w:tc>
          <w:tcPr>
            <w:tcW w:w="718" w:type="dxa"/>
            <w:tcBorders>
              <w:top w:val="nil"/>
              <w:left w:val="nil"/>
              <w:bottom w:val="single" w:sz="4" w:space="0" w:color="auto"/>
              <w:right w:val="single" w:sz="4" w:space="0" w:color="auto"/>
            </w:tcBorders>
            <w:shd w:val="clear" w:color="auto" w:fill="auto"/>
            <w:noWrap/>
            <w:vAlign w:val="bottom"/>
            <w:hideMark/>
          </w:tcPr>
          <w:p w14:paraId="23E9D6A8" w14:textId="77777777" w:rsidR="00710329" w:rsidRPr="00D54E05" w:rsidRDefault="00710329" w:rsidP="00F245AF">
            <w:pPr>
              <w:jc w:val="right"/>
              <w:rPr>
                <w:rFonts w:cs="Calibri"/>
                <w:sz w:val="22"/>
                <w:szCs w:val="22"/>
              </w:rPr>
            </w:pPr>
            <w:r w:rsidRPr="00D54E05">
              <w:rPr>
                <w:rFonts w:cs="Calibri"/>
                <w:sz w:val="22"/>
                <w:szCs w:val="22"/>
              </w:rPr>
              <w:t>98.2</w:t>
            </w:r>
          </w:p>
        </w:tc>
      </w:tr>
      <w:tr w:rsidR="00546AFB" w:rsidRPr="00D54E05" w14:paraId="7BA661D2"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1B70FC96" w14:textId="77777777" w:rsidR="00710329" w:rsidRPr="00D54E05" w:rsidRDefault="00710329" w:rsidP="00F245AF">
            <w:pPr>
              <w:rPr>
                <w:rFonts w:cs="Calibri"/>
                <w:sz w:val="22"/>
                <w:szCs w:val="22"/>
              </w:rPr>
            </w:pPr>
            <w:r w:rsidRPr="00D54E05">
              <w:rPr>
                <w:rFonts w:cs="Calibri"/>
                <w:sz w:val="22"/>
                <w:szCs w:val="22"/>
              </w:rPr>
              <w:t>ExpressStat</w:t>
            </w:r>
          </w:p>
        </w:tc>
        <w:tc>
          <w:tcPr>
            <w:tcW w:w="829" w:type="dxa"/>
            <w:tcBorders>
              <w:top w:val="nil"/>
              <w:left w:val="nil"/>
              <w:bottom w:val="single" w:sz="4" w:space="0" w:color="auto"/>
              <w:right w:val="single" w:sz="4" w:space="0" w:color="auto"/>
            </w:tcBorders>
            <w:shd w:val="clear" w:color="000000" w:fill="D9E1F2"/>
            <w:noWrap/>
            <w:vAlign w:val="bottom"/>
            <w:hideMark/>
          </w:tcPr>
          <w:p w14:paraId="5896B506" w14:textId="77777777" w:rsidR="00710329" w:rsidRPr="00D54E05" w:rsidRDefault="00710329" w:rsidP="00F245AF">
            <w:pPr>
              <w:jc w:val="right"/>
              <w:rPr>
                <w:rFonts w:cs="Calibri"/>
                <w:sz w:val="22"/>
                <w:szCs w:val="22"/>
              </w:rPr>
            </w:pPr>
            <w:r w:rsidRPr="00D54E05">
              <w:rPr>
                <w:rFonts w:cs="Calibri"/>
                <w:sz w:val="22"/>
                <w:szCs w:val="22"/>
              </w:rPr>
              <w:t>120</w:t>
            </w:r>
          </w:p>
        </w:tc>
        <w:tc>
          <w:tcPr>
            <w:tcW w:w="1101" w:type="dxa"/>
            <w:tcBorders>
              <w:top w:val="nil"/>
              <w:left w:val="nil"/>
              <w:bottom w:val="single" w:sz="4" w:space="0" w:color="auto"/>
              <w:right w:val="single" w:sz="4" w:space="0" w:color="auto"/>
            </w:tcBorders>
            <w:shd w:val="clear" w:color="000000" w:fill="D9E1F2"/>
            <w:noWrap/>
            <w:vAlign w:val="bottom"/>
            <w:hideMark/>
          </w:tcPr>
          <w:p w14:paraId="28AB794E" w14:textId="77777777" w:rsidR="00710329" w:rsidRPr="00D54E05" w:rsidRDefault="00710329" w:rsidP="00F245AF">
            <w:pPr>
              <w:jc w:val="right"/>
              <w:rPr>
                <w:rFonts w:cs="Calibri"/>
                <w:sz w:val="22"/>
                <w:szCs w:val="22"/>
              </w:rPr>
            </w:pPr>
            <w:r w:rsidRPr="00D54E05">
              <w:rPr>
                <w:rFonts w:cs="Calibri"/>
                <w:sz w:val="22"/>
                <w:szCs w:val="22"/>
              </w:rPr>
              <w:t>494</w:t>
            </w:r>
          </w:p>
        </w:tc>
        <w:tc>
          <w:tcPr>
            <w:tcW w:w="1067" w:type="dxa"/>
            <w:tcBorders>
              <w:top w:val="nil"/>
              <w:left w:val="nil"/>
              <w:bottom w:val="single" w:sz="4" w:space="0" w:color="auto"/>
              <w:right w:val="single" w:sz="4" w:space="0" w:color="auto"/>
            </w:tcBorders>
            <w:shd w:val="clear" w:color="000000" w:fill="D9E1F2"/>
            <w:noWrap/>
            <w:vAlign w:val="bottom"/>
            <w:hideMark/>
          </w:tcPr>
          <w:p w14:paraId="55595BCF" w14:textId="77777777" w:rsidR="00710329" w:rsidRPr="00D54E05" w:rsidRDefault="00710329" w:rsidP="00F245AF">
            <w:pPr>
              <w:jc w:val="right"/>
              <w:rPr>
                <w:rFonts w:cs="Calibri"/>
                <w:sz w:val="22"/>
                <w:szCs w:val="22"/>
              </w:rPr>
            </w:pPr>
            <w:r w:rsidRPr="00D54E05">
              <w:rPr>
                <w:rFonts w:cs="Calibri"/>
                <w:sz w:val="22"/>
                <w:szCs w:val="22"/>
              </w:rPr>
              <w:t>2.61</w:t>
            </w:r>
          </w:p>
        </w:tc>
        <w:tc>
          <w:tcPr>
            <w:tcW w:w="1067" w:type="dxa"/>
            <w:tcBorders>
              <w:top w:val="nil"/>
              <w:left w:val="nil"/>
              <w:bottom w:val="single" w:sz="4" w:space="0" w:color="auto"/>
              <w:right w:val="single" w:sz="4" w:space="0" w:color="auto"/>
            </w:tcBorders>
            <w:shd w:val="clear" w:color="000000" w:fill="D9E1F2"/>
            <w:noWrap/>
            <w:vAlign w:val="bottom"/>
            <w:hideMark/>
          </w:tcPr>
          <w:p w14:paraId="6023F00F" w14:textId="77777777" w:rsidR="00710329" w:rsidRPr="00D54E05" w:rsidRDefault="00710329" w:rsidP="00F245AF">
            <w:pPr>
              <w:jc w:val="right"/>
              <w:rPr>
                <w:rFonts w:cs="Calibri"/>
                <w:sz w:val="22"/>
                <w:szCs w:val="22"/>
              </w:rPr>
            </w:pPr>
            <w:r w:rsidRPr="00D54E05">
              <w:rPr>
                <w:rFonts w:cs="Calibri"/>
                <w:sz w:val="22"/>
                <w:szCs w:val="22"/>
              </w:rPr>
              <w:t>0.03</w:t>
            </w:r>
          </w:p>
        </w:tc>
        <w:tc>
          <w:tcPr>
            <w:tcW w:w="792" w:type="dxa"/>
            <w:tcBorders>
              <w:top w:val="nil"/>
              <w:left w:val="nil"/>
              <w:bottom w:val="single" w:sz="4" w:space="0" w:color="auto"/>
              <w:right w:val="single" w:sz="4" w:space="0" w:color="auto"/>
            </w:tcBorders>
            <w:shd w:val="clear" w:color="000000" w:fill="D9E1F2"/>
            <w:noWrap/>
            <w:vAlign w:val="bottom"/>
            <w:hideMark/>
          </w:tcPr>
          <w:p w14:paraId="5DBD63D0" w14:textId="77777777" w:rsidR="00710329" w:rsidRPr="00D54E05" w:rsidRDefault="00710329" w:rsidP="00F245AF">
            <w:pPr>
              <w:jc w:val="right"/>
              <w:rPr>
                <w:rFonts w:cs="Calibri"/>
                <w:sz w:val="22"/>
                <w:szCs w:val="22"/>
              </w:rPr>
            </w:pPr>
            <w:r w:rsidRPr="00D54E05">
              <w:rPr>
                <w:rFonts w:cs="Calibri"/>
                <w:sz w:val="22"/>
                <w:szCs w:val="22"/>
              </w:rPr>
              <w:t>1.1%</w:t>
            </w:r>
          </w:p>
        </w:tc>
        <w:tc>
          <w:tcPr>
            <w:tcW w:w="1063" w:type="dxa"/>
            <w:tcBorders>
              <w:top w:val="nil"/>
              <w:left w:val="nil"/>
              <w:bottom w:val="single" w:sz="4" w:space="0" w:color="auto"/>
              <w:right w:val="single" w:sz="4" w:space="0" w:color="auto"/>
            </w:tcBorders>
            <w:shd w:val="clear" w:color="000000" w:fill="D9E1F2"/>
            <w:noWrap/>
            <w:vAlign w:val="bottom"/>
            <w:hideMark/>
          </w:tcPr>
          <w:p w14:paraId="45AAFFC6" w14:textId="77777777" w:rsidR="00710329" w:rsidRPr="00D54E05" w:rsidRDefault="00710329" w:rsidP="00F245AF">
            <w:pPr>
              <w:jc w:val="right"/>
              <w:rPr>
                <w:rFonts w:cs="Calibri"/>
                <w:sz w:val="22"/>
                <w:szCs w:val="22"/>
              </w:rPr>
            </w:pPr>
            <w:r w:rsidRPr="00D54E05">
              <w:rPr>
                <w:rFonts w:cs="Calibri"/>
                <w:sz w:val="22"/>
                <w:szCs w:val="22"/>
              </w:rPr>
              <w:t>0.0</w:t>
            </w:r>
          </w:p>
        </w:tc>
        <w:tc>
          <w:tcPr>
            <w:tcW w:w="718" w:type="dxa"/>
            <w:tcBorders>
              <w:top w:val="nil"/>
              <w:left w:val="nil"/>
              <w:bottom w:val="single" w:sz="4" w:space="0" w:color="auto"/>
              <w:right w:val="single" w:sz="4" w:space="0" w:color="auto"/>
            </w:tcBorders>
            <w:shd w:val="clear" w:color="000000" w:fill="D9E1F2"/>
            <w:noWrap/>
            <w:vAlign w:val="bottom"/>
            <w:hideMark/>
          </w:tcPr>
          <w:p w14:paraId="4C232745" w14:textId="77777777" w:rsidR="00710329" w:rsidRPr="00D54E05" w:rsidRDefault="00710329" w:rsidP="00F245AF">
            <w:pPr>
              <w:jc w:val="right"/>
              <w:rPr>
                <w:rFonts w:cs="Calibri"/>
                <w:sz w:val="22"/>
                <w:szCs w:val="22"/>
              </w:rPr>
            </w:pPr>
            <w:r w:rsidRPr="00D54E05">
              <w:rPr>
                <w:rFonts w:cs="Calibri"/>
                <w:sz w:val="22"/>
                <w:szCs w:val="22"/>
              </w:rPr>
              <w:t>100.7</w:t>
            </w:r>
          </w:p>
        </w:tc>
      </w:tr>
      <w:tr w:rsidR="00546AFB" w:rsidRPr="00D54E05" w14:paraId="39C6BB70"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3903BABD" w14:textId="77777777" w:rsidR="00710329" w:rsidRPr="00D54E05" w:rsidRDefault="00710329" w:rsidP="00F245AF">
            <w:pPr>
              <w:rPr>
                <w:rFonts w:cs="Calibri"/>
                <w:sz w:val="22"/>
                <w:szCs w:val="22"/>
              </w:rPr>
            </w:pPr>
            <w:r w:rsidRPr="00D54E05">
              <w:rPr>
                <w:rFonts w:cs="Calibri"/>
                <w:sz w:val="22"/>
                <w:szCs w:val="22"/>
              </w:rPr>
              <w:t>UtilityPro</w:t>
            </w:r>
          </w:p>
        </w:tc>
        <w:tc>
          <w:tcPr>
            <w:tcW w:w="829" w:type="dxa"/>
            <w:tcBorders>
              <w:top w:val="nil"/>
              <w:left w:val="nil"/>
              <w:bottom w:val="single" w:sz="4" w:space="0" w:color="auto"/>
              <w:right w:val="single" w:sz="4" w:space="0" w:color="auto"/>
            </w:tcBorders>
            <w:shd w:val="clear" w:color="000000" w:fill="D9E1F2"/>
            <w:noWrap/>
            <w:vAlign w:val="bottom"/>
            <w:hideMark/>
          </w:tcPr>
          <w:p w14:paraId="5F1FAB77" w14:textId="77777777" w:rsidR="00710329" w:rsidRPr="00D54E05" w:rsidRDefault="00710329" w:rsidP="00F245AF">
            <w:pPr>
              <w:jc w:val="right"/>
              <w:rPr>
                <w:rFonts w:cs="Calibri"/>
                <w:sz w:val="22"/>
                <w:szCs w:val="22"/>
              </w:rPr>
            </w:pPr>
            <w:r w:rsidRPr="00D54E05">
              <w:rPr>
                <w:rFonts w:cs="Calibri"/>
                <w:sz w:val="22"/>
                <w:szCs w:val="22"/>
              </w:rPr>
              <w:t>629</w:t>
            </w:r>
          </w:p>
        </w:tc>
        <w:tc>
          <w:tcPr>
            <w:tcW w:w="1101" w:type="dxa"/>
            <w:tcBorders>
              <w:top w:val="nil"/>
              <w:left w:val="nil"/>
              <w:bottom w:val="single" w:sz="4" w:space="0" w:color="auto"/>
              <w:right w:val="single" w:sz="4" w:space="0" w:color="auto"/>
            </w:tcBorders>
            <w:shd w:val="clear" w:color="000000" w:fill="D9E1F2"/>
            <w:noWrap/>
            <w:vAlign w:val="bottom"/>
            <w:hideMark/>
          </w:tcPr>
          <w:p w14:paraId="5D01E705" w14:textId="77777777" w:rsidR="00710329" w:rsidRPr="00D54E05" w:rsidRDefault="00710329" w:rsidP="00F245AF">
            <w:pPr>
              <w:jc w:val="right"/>
              <w:rPr>
                <w:rFonts w:cs="Calibri"/>
                <w:sz w:val="22"/>
                <w:szCs w:val="22"/>
              </w:rPr>
            </w:pPr>
            <w:r w:rsidRPr="00D54E05">
              <w:rPr>
                <w:rFonts w:cs="Calibri"/>
                <w:sz w:val="22"/>
                <w:szCs w:val="22"/>
              </w:rPr>
              <w:t>5,817</w:t>
            </w:r>
          </w:p>
        </w:tc>
        <w:tc>
          <w:tcPr>
            <w:tcW w:w="1067" w:type="dxa"/>
            <w:tcBorders>
              <w:top w:val="nil"/>
              <w:left w:val="nil"/>
              <w:bottom w:val="single" w:sz="4" w:space="0" w:color="auto"/>
              <w:right w:val="single" w:sz="4" w:space="0" w:color="auto"/>
            </w:tcBorders>
            <w:shd w:val="clear" w:color="000000" w:fill="D9E1F2"/>
            <w:noWrap/>
            <w:vAlign w:val="bottom"/>
            <w:hideMark/>
          </w:tcPr>
          <w:p w14:paraId="2D088F26" w14:textId="77777777" w:rsidR="00710329" w:rsidRPr="00D54E05" w:rsidRDefault="00710329" w:rsidP="00F245AF">
            <w:pPr>
              <w:jc w:val="right"/>
              <w:rPr>
                <w:rFonts w:cs="Calibri"/>
                <w:sz w:val="22"/>
                <w:szCs w:val="22"/>
              </w:rPr>
            </w:pPr>
            <w:r w:rsidRPr="00D54E05">
              <w:rPr>
                <w:rFonts w:cs="Calibri"/>
                <w:sz w:val="22"/>
                <w:szCs w:val="22"/>
              </w:rPr>
              <w:t>2.65</w:t>
            </w:r>
          </w:p>
        </w:tc>
        <w:tc>
          <w:tcPr>
            <w:tcW w:w="1067" w:type="dxa"/>
            <w:tcBorders>
              <w:top w:val="nil"/>
              <w:left w:val="nil"/>
              <w:bottom w:val="single" w:sz="4" w:space="0" w:color="auto"/>
              <w:right w:val="single" w:sz="4" w:space="0" w:color="auto"/>
            </w:tcBorders>
            <w:shd w:val="clear" w:color="000000" w:fill="D9E1F2"/>
            <w:noWrap/>
            <w:vAlign w:val="bottom"/>
            <w:hideMark/>
          </w:tcPr>
          <w:p w14:paraId="3C686099" w14:textId="77777777" w:rsidR="00710329" w:rsidRPr="00D54E05" w:rsidRDefault="00710329" w:rsidP="00F245AF">
            <w:pPr>
              <w:jc w:val="right"/>
              <w:rPr>
                <w:rFonts w:cs="Calibri"/>
                <w:sz w:val="22"/>
                <w:szCs w:val="22"/>
              </w:rPr>
            </w:pPr>
            <w:r w:rsidRPr="00D54E05">
              <w:rPr>
                <w:rFonts w:cs="Calibri"/>
                <w:sz w:val="22"/>
                <w:szCs w:val="22"/>
              </w:rPr>
              <w:t>0.11</w:t>
            </w:r>
          </w:p>
        </w:tc>
        <w:tc>
          <w:tcPr>
            <w:tcW w:w="792" w:type="dxa"/>
            <w:tcBorders>
              <w:top w:val="nil"/>
              <w:left w:val="nil"/>
              <w:bottom w:val="single" w:sz="4" w:space="0" w:color="auto"/>
              <w:right w:val="single" w:sz="4" w:space="0" w:color="auto"/>
            </w:tcBorders>
            <w:shd w:val="clear" w:color="000000" w:fill="D9E1F2"/>
            <w:noWrap/>
            <w:vAlign w:val="bottom"/>
            <w:hideMark/>
          </w:tcPr>
          <w:p w14:paraId="0B4EA57A" w14:textId="77777777" w:rsidR="00710329" w:rsidRPr="00D54E05" w:rsidRDefault="00710329" w:rsidP="00F245AF">
            <w:pPr>
              <w:jc w:val="right"/>
              <w:rPr>
                <w:rFonts w:cs="Calibri"/>
                <w:sz w:val="22"/>
                <w:szCs w:val="22"/>
              </w:rPr>
            </w:pPr>
            <w:r w:rsidRPr="00D54E05">
              <w:rPr>
                <w:rFonts w:cs="Calibri"/>
                <w:sz w:val="22"/>
                <w:szCs w:val="22"/>
              </w:rPr>
              <w:t>4.1%</w:t>
            </w:r>
          </w:p>
        </w:tc>
        <w:tc>
          <w:tcPr>
            <w:tcW w:w="1063" w:type="dxa"/>
            <w:tcBorders>
              <w:top w:val="nil"/>
              <w:left w:val="nil"/>
              <w:bottom w:val="single" w:sz="4" w:space="0" w:color="auto"/>
              <w:right w:val="single" w:sz="4" w:space="0" w:color="auto"/>
            </w:tcBorders>
            <w:shd w:val="clear" w:color="000000" w:fill="D9E1F2"/>
            <w:noWrap/>
            <w:vAlign w:val="bottom"/>
            <w:hideMark/>
          </w:tcPr>
          <w:p w14:paraId="632EEF44" w14:textId="77777777" w:rsidR="00710329" w:rsidRPr="00D54E05" w:rsidRDefault="00710329" w:rsidP="00F245AF">
            <w:pPr>
              <w:jc w:val="right"/>
              <w:rPr>
                <w:rFonts w:cs="Calibri"/>
                <w:sz w:val="22"/>
                <w:szCs w:val="22"/>
              </w:rPr>
            </w:pPr>
            <w:r w:rsidRPr="00D54E05">
              <w:rPr>
                <w:rFonts w:cs="Calibri"/>
                <w:sz w:val="22"/>
                <w:szCs w:val="22"/>
              </w:rPr>
              <w:t>0.1</w:t>
            </w:r>
          </w:p>
        </w:tc>
        <w:tc>
          <w:tcPr>
            <w:tcW w:w="718" w:type="dxa"/>
            <w:tcBorders>
              <w:top w:val="nil"/>
              <w:left w:val="nil"/>
              <w:bottom w:val="single" w:sz="4" w:space="0" w:color="auto"/>
              <w:right w:val="single" w:sz="4" w:space="0" w:color="auto"/>
            </w:tcBorders>
            <w:shd w:val="clear" w:color="000000" w:fill="D9E1F2"/>
            <w:noWrap/>
            <w:vAlign w:val="bottom"/>
            <w:hideMark/>
          </w:tcPr>
          <w:p w14:paraId="1A9DFB84" w14:textId="77777777" w:rsidR="00710329" w:rsidRPr="00D54E05" w:rsidRDefault="00710329" w:rsidP="00F245AF">
            <w:pPr>
              <w:jc w:val="right"/>
              <w:rPr>
                <w:rFonts w:cs="Calibri"/>
                <w:sz w:val="22"/>
                <w:szCs w:val="22"/>
              </w:rPr>
            </w:pPr>
            <w:r w:rsidRPr="00D54E05">
              <w:rPr>
                <w:rFonts w:cs="Calibri"/>
                <w:sz w:val="22"/>
                <w:szCs w:val="22"/>
              </w:rPr>
              <w:t>99.0</w:t>
            </w:r>
          </w:p>
        </w:tc>
      </w:tr>
      <w:tr w:rsidR="00546AFB" w:rsidRPr="00D54E05" w14:paraId="1775CF5C"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18119247" w14:textId="77777777" w:rsidR="00710329" w:rsidRPr="00D54E05" w:rsidRDefault="00710329" w:rsidP="00F245AF">
            <w:pPr>
              <w:rPr>
                <w:rFonts w:cs="Calibri"/>
                <w:sz w:val="22"/>
                <w:szCs w:val="22"/>
              </w:rPr>
            </w:pPr>
            <w:r w:rsidRPr="00D54E05">
              <w:rPr>
                <w:rFonts w:cs="Calibri"/>
                <w:sz w:val="22"/>
                <w:szCs w:val="22"/>
              </w:rPr>
              <w:t>Gen 1 Switch</w:t>
            </w:r>
          </w:p>
        </w:tc>
        <w:tc>
          <w:tcPr>
            <w:tcW w:w="829" w:type="dxa"/>
            <w:tcBorders>
              <w:top w:val="nil"/>
              <w:left w:val="nil"/>
              <w:bottom w:val="single" w:sz="4" w:space="0" w:color="auto"/>
              <w:right w:val="single" w:sz="4" w:space="0" w:color="auto"/>
            </w:tcBorders>
            <w:shd w:val="clear" w:color="000000" w:fill="D9E1F2"/>
            <w:noWrap/>
            <w:vAlign w:val="bottom"/>
            <w:hideMark/>
          </w:tcPr>
          <w:p w14:paraId="7525786B" w14:textId="77777777" w:rsidR="00710329" w:rsidRPr="00D54E05" w:rsidRDefault="00710329" w:rsidP="00F245AF">
            <w:pPr>
              <w:jc w:val="right"/>
              <w:rPr>
                <w:rFonts w:cs="Calibri"/>
                <w:sz w:val="22"/>
                <w:szCs w:val="22"/>
              </w:rPr>
            </w:pPr>
            <w:r w:rsidRPr="00D54E05">
              <w:rPr>
                <w:rFonts w:cs="Calibri"/>
                <w:sz w:val="22"/>
                <w:szCs w:val="22"/>
              </w:rPr>
              <w:t>8,019</w:t>
            </w:r>
          </w:p>
        </w:tc>
        <w:tc>
          <w:tcPr>
            <w:tcW w:w="1101" w:type="dxa"/>
            <w:tcBorders>
              <w:top w:val="nil"/>
              <w:left w:val="nil"/>
              <w:bottom w:val="single" w:sz="4" w:space="0" w:color="auto"/>
              <w:right w:val="single" w:sz="4" w:space="0" w:color="auto"/>
            </w:tcBorders>
            <w:shd w:val="clear" w:color="000000" w:fill="D9E1F2"/>
            <w:noWrap/>
            <w:vAlign w:val="bottom"/>
            <w:hideMark/>
          </w:tcPr>
          <w:p w14:paraId="39899DC7" w14:textId="77777777" w:rsidR="00710329" w:rsidRPr="00D54E05" w:rsidRDefault="00710329" w:rsidP="00F245AF">
            <w:pPr>
              <w:jc w:val="right"/>
              <w:rPr>
                <w:rFonts w:cs="Calibri"/>
                <w:sz w:val="22"/>
                <w:szCs w:val="22"/>
              </w:rPr>
            </w:pPr>
            <w:r w:rsidRPr="00D54E05">
              <w:rPr>
                <w:rFonts w:cs="Calibri"/>
                <w:sz w:val="22"/>
                <w:szCs w:val="22"/>
              </w:rPr>
              <w:t>70,595</w:t>
            </w:r>
          </w:p>
        </w:tc>
        <w:tc>
          <w:tcPr>
            <w:tcW w:w="1067" w:type="dxa"/>
            <w:tcBorders>
              <w:top w:val="nil"/>
              <w:left w:val="nil"/>
              <w:bottom w:val="single" w:sz="4" w:space="0" w:color="auto"/>
              <w:right w:val="single" w:sz="4" w:space="0" w:color="auto"/>
            </w:tcBorders>
            <w:shd w:val="clear" w:color="000000" w:fill="D9E1F2"/>
            <w:noWrap/>
            <w:vAlign w:val="bottom"/>
            <w:hideMark/>
          </w:tcPr>
          <w:p w14:paraId="6F76AD56" w14:textId="77777777" w:rsidR="00710329" w:rsidRPr="00D54E05" w:rsidRDefault="00710329" w:rsidP="00F245AF">
            <w:pPr>
              <w:jc w:val="right"/>
              <w:rPr>
                <w:rFonts w:cs="Calibri"/>
                <w:sz w:val="22"/>
                <w:szCs w:val="22"/>
              </w:rPr>
            </w:pPr>
            <w:r w:rsidRPr="00D54E05">
              <w:rPr>
                <w:rFonts w:cs="Calibri"/>
                <w:sz w:val="22"/>
                <w:szCs w:val="22"/>
              </w:rPr>
              <w:t>2.43</w:t>
            </w:r>
          </w:p>
        </w:tc>
        <w:tc>
          <w:tcPr>
            <w:tcW w:w="1067" w:type="dxa"/>
            <w:tcBorders>
              <w:top w:val="nil"/>
              <w:left w:val="nil"/>
              <w:bottom w:val="single" w:sz="4" w:space="0" w:color="auto"/>
              <w:right w:val="single" w:sz="4" w:space="0" w:color="auto"/>
            </w:tcBorders>
            <w:shd w:val="clear" w:color="000000" w:fill="D9E1F2"/>
            <w:noWrap/>
            <w:vAlign w:val="bottom"/>
            <w:hideMark/>
          </w:tcPr>
          <w:p w14:paraId="36E4B879" w14:textId="77777777" w:rsidR="00710329" w:rsidRPr="00D54E05" w:rsidRDefault="00710329" w:rsidP="00F245AF">
            <w:pPr>
              <w:jc w:val="right"/>
              <w:rPr>
                <w:rFonts w:cs="Calibri"/>
                <w:sz w:val="22"/>
                <w:szCs w:val="22"/>
              </w:rPr>
            </w:pPr>
            <w:r w:rsidRPr="00D54E05">
              <w:rPr>
                <w:rFonts w:cs="Calibri"/>
                <w:sz w:val="22"/>
                <w:szCs w:val="22"/>
              </w:rPr>
              <w:t>0.36</w:t>
            </w:r>
          </w:p>
        </w:tc>
        <w:tc>
          <w:tcPr>
            <w:tcW w:w="792" w:type="dxa"/>
            <w:tcBorders>
              <w:top w:val="nil"/>
              <w:left w:val="nil"/>
              <w:bottom w:val="single" w:sz="4" w:space="0" w:color="auto"/>
              <w:right w:val="single" w:sz="4" w:space="0" w:color="auto"/>
            </w:tcBorders>
            <w:shd w:val="clear" w:color="000000" w:fill="D9E1F2"/>
            <w:noWrap/>
            <w:vAlign w:val="bottom"/>
            <w:hideMark/>
          </w:tcPr>
          <w:p w14:paraId="7F85DA16" w14:textId="77777777" w:rsidR="00710329" w:rsidRPr="00D54E05" w:rsidRDefault="00710329" w:rsidP="00F245AF">
            <w:pPr>
              <w:jc w:val="right"/>
              <w:rPr>
                <w:rFonts w:cs="Calibri"/>
                <w:sz w:val="22"/>
                <w:szCs w:val="22"/>
              </w:rPr>
            </w:pPr>
            <w:r w:rsidRPr="00D54E05">
              <w:rPr>
                <w:rFonts w:cs="Calibri"/>
                <w:sz w:val="22"/>
                <w:szCs w:val="22"/>
              </w:rPr>
              <w:t>14.7%</w:t>
            </w:r>
          </w:p>
        </w:tc>
        <w:tc>
          <w:tcPr>
            <w:tcW w:w="1063" w:type="dxa"/>
            <w:tcBorders>
              <w:top w:val="nil"/>
              <w:left w:val="nil"/>
              <w:bottom w:val="single" w:sz="4" w:space="0" w:color="auto"/>
              <w:right w:val="single" w:sz="4" w:space="0" w:color="auto"/>
            </w:tcBorders>
            <w:shd w:val="clear" w:color="000000" w:fill="D9E1F2"/>
            <w:noWrap/>
            <w:vAlign w:val="bottom"/>
            <w:hideMark/>
          </w:tcPr>
          <w:p w14:paraId="4D0C7FEB" w14:textId="77777777" w:rsidR="00710329" w:rsidRPr="00D54E05" w:rsidRDefault="00710329" w:rsidP="00F245AF">
            <w:pPr>
              <w:jc w:val="right"/>
              <w:rPr>
                <w:rFonts w:cs="Calibri"/>
                <w:sz w:val="22"/>
                <w:szCs w:val="22"/>
              </w:rPr>
            </w:pPr>
            <w:r w:rsidRPr="00D54E05">
              <w:rPr>
                <w:rFonts w:cs="Calibri"/>
                <w:sz w:val="22"/>
                <w:szCs w:val="22"/>
              </w:rPr>
              <w:t>2.9</w:t>
            </w:r>
          </w:p>
        </w:tc>
        <w:tc>
          <w:tcPr>
            <w:tcW w:w="718" w:type="dxa"/>
            <w:tcBorders>
              <w:top w:val="nil"/>
              <w:left w:val="nil"/>
              <w:bottom w:val="single" w:sz="4" w:space="0" w:color="auto"/>
              <w:right w:val="single" w:sz="4" w:space="0" w:color="auto"/>
            </w:tcBorders>
            <w:shd w:val="clear" w:color="000000" w:fill="D9E1F2"/>
            <w:noWrap/>
            <w:vAlign w:val="bottom"/>
            <w:hideMark/>
          </w:tcPr>
          <w:p w14:paraId="73943302" w14:textId="77777777" w:rsidR="00710329" w:rsidRPr="00D54E05" w:rsidRDefault="00710329" w:rsidP="00F245AF">
            <w:pPr>
              <w:jc w:val="right"/>
              <w:rPr>
                <w:rFonts w:cs="Calibri"/>
                <w:sz w:val="22"/>
                <w:szCs w:val="22"/>
              </w:rPr>
            </w:pPr>
            <w:r w:rsidRPr="00D54E05">
              <w:rPr>
                <w:rFonts w:cs="Calibri"/>
                <w:sz w:val="22"/>
                <w:szCs w:val="22"/>
              </w:rPr>
              <w:t>98.4</w:t>
            </w:r>
          </w:p>
        </w:tc>
      </w:tr>
      <w:tr w:rsidR="00546AFB" w:rsidRPr="00D54E05" w14:paraId="4990327B" w14:textId="77777777" w:rsidTr="00546AFB">
        <w:trPr>
          <w:trHeight w:val="300"/>
          <w:jc w:val="center"/>
        </w:trPr>
        <w:tc>
          <w:tcPr>
            <w:tcW w:w="2461" w:type="dxa"/>
            <w:tcBorders>
              <w:top w:val="nil"/>
              <w:left w:val="single" w:sz="4" w:space="0" w:color="auto"/>
              <w:bottom w:val="single" w:sz="4" w:space="0" w:color="auto"/>
              <w:right w:val="single" w:sz="4" w:space="0" w:color="auto"/>
            </w:tcBorders>
            <w:shd w:val="clear" w:color="000000" w:fill="D9E1F2"/>
            <w:noWrap/>
            <w:vAlign w:val="bottom"/>
            <w:hideMark/>
          </w:tcPr>
          <w:p w14:paraId="1DA0CB2D" w14:textId="77777777" w:rsidR="00710329" w:rsidRPr="00D54E05" w:rsidRDefault="00710329" w:rsidP="00F245AF">
            <w:pPr>
              <w:rPr>
                <w:rFonts w:cs="Calibri"/>
                <w:sz w:val="22"/>
                <w:szCs w:val="22"/>
              </w:rPr>
            </w:pPr>
            <w:r w:rsidRPr="00D54E05">
              <w:rPr>
                <w:rFonts w:cs="Calibri"/>
                <w:sz w:val="22"/>
                <w:szCs w:val="22"/>
              </w:rPr>
              <w:t>Gen 2 Switch</w:t>
            </w:r>
          </w:p>
        </w:tc>
        <w:tc>
          <w:tcPr>
            <w:tcW w:w="829" w:type="dxa"/>
            <w:tcBorders>
              <w:top w:val="nil"/>
              <w:left w:val="nil"/>
              <w:bottom w:val="single" w:sz="4" w:space="0" w:color="auto"/>
              <w:right w:val="single" w:sz="4" w:space="0" w:color="auto"/>
            </w:tcBorders>
            <w:shd w:val="clear" w:color="000000" w:fill="D9E1F2"/>
            <w:noWrap/>
            <w:vAlign w:val="bottom"/>
            <w:hideMark/>
          </w:tcPr>
          <w:p w14:paraId="3C9F2D27" w14:textId="77777777" w:rsidR="00710329" w:rsidRPr="00D54E05" w:rsidRDefault="00710329" w:rsidP="00F245AF">
            <w:pPr>
              <w:jc w:val="right"/>
              <w:rPr>
                <w:rFonts w:cs="Calibri"/>
                <w:sz w:val="22"/>
                <w:szCs w:val="22"/>
              </w:rPr>
            </w:pPr>
            <w:r w:rsidRPr="00D54E05">
              <w:rPr>
                <w:rFonts w:cs="Calibri"/>
                <w:sz w:val="22"/>
                <w:szCs w:val="22"/>
              </w:rPr>
              <w:t>2,656</w:t>
            </w:r>
          </w:p>
        </w:tc>
        <w:tc>
          <w:tcPr>
            <w:tcW w:w="1101" w:type="dxa"/>
            <w:tcBorders>
              <w:top w:val="nil"/>
              <w:left w:val="nil"/>
              <w:bottom w:val="single" w:sz="4" w:space="0" w:color="auto"/>
              <w:right w:val="single" w:sz="4" w:space="0" w:color="auto"/>
            </w:tcBorders>
            <w:shd w:val="clear" w:color="000000" w:fill="D9E1F2"/>
            <w:noWrap/>
            <w:vAlign w:val="bottom"/>
            <w:hideMark/>
          </w:tcPr>
          <w:p w14:paraId="419406A9" w14:textId="77777777" w:rsidR="00710329" w:rsidRPr="00D54E05" w:rsidRDefault="00710329" w:rsidP="00F245AF">
            <w:pPr>
              <w:jc w:val="right"/>
              <w:rPr>
                <w:rFonts w:cs="Calibri"/>
                <w:sz w:val="22"/>
                <w:szCs w:val="22"/>
              </w:rPr>
            </w:pPr>
            <w:r w:rsidRPr="00D54E05">
              <w:rPr>
                <w:rFonts w:cs="Calibri"/>
                <w:sz w:val="22"/>
                <w:szCs w:val="22"/>
              </w:rPr>
              <w:t>22,433</w:t>
            </w:r>
          </w:p>
        </w:tc>
        <w:tc>
          <w:tcPr>
            <w:tcW w:w="1067" w:type="dxa"/>
            <w:tcBorders>
              <w:top w:val="nil"/>
              <w:left w:val="nil"/>
              <w:bottom w:val="single" w:sz="4" w:space="0" w:color="auto"/>
              <w:right w:val="single" w:sz="4" w:space="0" w:color="auto"/>
            </w:tcBorders>
            <w:shd w:val="clear" w:color="000000" w:fill="D9E1F2"/>
            <w:noWrap/>
            <w:vAlign w:val="bottom"/>
            <w:hideMark/>
          </w:tcPr>
          <w:p w14:paraId="66D064E6" w14:textId="77777777" w:rsidR="00710329" w:rsidRPr="00D54E05" w:rsidRDefault="00710329" w:rsidP="00F245AF">
            <w:pPr>
              <w:jc w:val="right"/>
              <w:rPr>
                <w:rFonts w:cs="Calibri"/>
                <w:sz w:val="22"/>
                <w:szCs w:val="22"/>
              </w:rPr>
            </w:pPr>
            <w:r w:rsidRPr="00D54E05">
              <w:rPr>
                <w:rFonts w:cs="Calibri"/>
                <w:sz w:val="22"/>
                <w:szCs w:val="22"/>
              </w:rPr>
              <w:t>2.66</w:t>
            </w:r>
          </w:p>
        </w:tc>
        <w:tc>
          <w:tcPr>
            <w:tcW w:w="1067" w:type="dxa"/>
            <w:tcBorders>
              <w:top w:val="nil"/>
              <w:left w:val="nil"/>
              <w:bottom w:val="single" w:sz="4" w:space="0" w:color="auto"/>
              <w:right w:val="single" w:sz="4" w:space="0" w:color="auto"/>
            </w:tcBorders>
            <w:shd w:val="clear" w:color="000000" w:fill="D9E1F2"/>
            <w:noWrap/>
            <w:vAlign w:val="bottom"/>
            <w:hideMark/>
          </w:tcPr>
          <w:p w14:paraId="63BBADC9" w14:textId="77777777" w:rsidR="00710329" w:rsidRPr="00D54E05" w:rsidRDefault="00710329" w:rsidP="00F245AF">
            <w:pPr>
              <w:jc w:val="right"/>
              <w:rPr>
                <w:rFonts w:cs="Calibri"/>
                <w:sz w:val="22"/>
                <w:szCs w:val="22"/>
              </w:rPr>
            </w:pPr>
            <w:r w:rsidRPr="00D54E05">
              <w:rPr>
                <w:rFonts w:cs="Calibri"/>
                <w:sz w:val="22"/>
                <w:szCs w:val="22"/>
              </w:rPr>
              <w:t>0.47</w:t>
            </w:r>
          </w:p>
        </w:tc>
        <w:tc>
          <w:tcPr>
            <w:tcW w:w="792" w:type="dxa"/>
            <w:tcBorders>
              <w:top w:val="nil"/>
              <w:left w:val="nil"/>
              <w:bottom w:val="single" w:sz="4" w:space="0" w:color="auto"/>
              <w:right w:val="single" w:sz="4" w:space="0" w:color="auto"/>
            </w:tcBorders>
            <w:shd w:val="clear" w:color="000000" w:fill="D9E1F2"/>
            <w:noWrap/>
            <w:vAlign w:val="bottom"/>
            <w:hideMark/>
          </w:tcPr>
          <w:p w14:paraId="3206D6E1" w14:textId="77777777" w:rsidR="00710329" w:rsidRPr="00D54E05" w:rsidRDefault="00710329" w:rsidP="00F245AF">
            <w:pPr>
              <w:jc w:val="right"/>
              <w:rPr>
                <w:rFonts w:cs="Calibri"/>
                <w:sz w:val="22"/>
                <w:szCs w:val="22"/>
              </w:rPr>
            </w:pPr>
            <w:r w:rsidRPr="00D54E05">
              <w:rPr>
                <w:rFonts w:cs="Calibri"/>
                <w:sz w:val="22"/>
                <w:szCs w:val="22"/>
              </w:rPr>
              <w:t>17.7%</w:t>
            </w:r>
          </w:p>
        </w:tc>
        <w:tc>
          <w:tcPr>
            <w:tcW w:w="1063" w:type="dxa"/>
            <w:tcBorders>
              <w:top w:val="nil"/>
              <w:left w:val="nil"/>
              <w:bottom w:val="single" w:sz="4" w:space="0" w:color="auto"/>
              <w:right w:val="single" w:sz="4" w:space="0" w:color="auto"/>
            </w:tcBorders>
            <w:shd w:val="clear" w:color="000000" w:fill="D9E1F2"/>
            <w:noWrap/>
            <w:vAlign w:val="bottom"/>
            <w:hideMark/>
          </w:tcPr>
          <w:p w14:paraId="4B6E4DEE" w14:textId="77777777" w:rsidR="00710329" w:rsidRPr="00D54E05" w:rsidRDefault="00710329" w:rsidP="00F245AF">
            <w:pPr>
              <w:jc w:val="right"/>
              <w:rPr>
                <w:rFonts w:cs="Calibri"/>
                <w:sz w:val="22"/>
                <w:szCs w:val="22"/>
              </w:rPr>
            </w:pPr>
            <w:r w:rsidRPr="00D54E05">
              <w:rPr>
                <w:rFonts w:cs="Calibri"/>
                <w:sz w:val="22"/>
                <w:szCs w:val="22"/>
              </w:rPr>
              <w:t>1.25</w:t>
            </w:r>
          </w:p>
        </w:tc>
        <w:tc>
          <w:tcPr>
            <w:tcW w:w="718" w:type="dxa"/>
            <w:tcBorders>
              <w:top w:val="nil"/>
              <w:left w:val="nil"/>
              <w:bottom w:val="single" w:sz="4" w:space="0" w:color="auto"/>
              <w:right w:val="single" w:sz="4" w:space="0" w:color="auto"/>
            </w:tcBorders>
            <w:shd w:val="clear" w:color="000000" w:fill="D9E1F2"/>
            <w:noWrap/>
            <w:vAlign w:val="bottom"/>
            <w:hideMark/>
          </w:tcPr>
          <w:p w14:paraId="61B07548" w14:textId="77777777" w:rsidR="00710329" w:rsidRPr="00D54E05" w:rsidRDefault="00710329" w:rsidP="00F245AF">
            <w:pPr>
              <w:jc w:val="right"/>
              <w:rPr>
                <w:rFonts w:cs="Calibri"/>
                <w:sz w:val="22"/>
                <w:szCs w:val="22"/>
              </w:rPr>
            </w:pPr>
            <w:r w:rsidRPr="00D54E05">
              <w:rPr>
                <w:rFonts w:cs="Calibri"/>
                <w:sz w:val="22"/>
                <w:szCs w:val="22"/>
              </w:rPr>
              <w:t>99.17</w:t>
            </w:r>
          </w:p>
        </w:tc>
      </w:tr>
    </w:tbl>
    <w:p w14:paraId="48DB022A" w14:textId="77777777" w:rsidR="00710329" w:rsidRDefault="00710329" w:rsidP="00A04F42">
      <w:pPr>
        <w:spacing w:after="120"/>
        <w:rPr>
          <w:szCs w:val="32"/>
          <w:highlight w:val="yellow"/>
        </w:rPr>
      </w:pPr>
    </w:p>
    <w:p w14:paraId="1B285188" w14:textId="741D027A" w:rsidR="00A04F42" w:rsidRPr="002E3CF5" w:rsidRDefault="00A04F42" w:rsidP="00A04F42">
      <w:pPr>
        <w:pStyle w:val="Heading3"/>
      </w:pPr>
      <w:bookmarkStart w:id="117" w:name="_Toc4578159"/>
      <w:r w:rsidRPr="002E3CF5">
        <w:t>Dually Enrolled Customers</w:t>
      </w:r>
      <w:bookmarkEnd w:id="117"/>
    </w:p>
    <w:p w14:paraId="776B32D1" w14:textId="774E136F" w:rsidR="00005050" w:rsidRDefault="002E3CF5" w:rsidP="00005050">
      <w:pPr>
        <w:keepNext/>
        <w:spacing w:after="120"/>
        <w:rPr>
          <w:szCs w:val="32"/>
        </w:rPr>
      </w:pPr>
      <w:r>
        <w:rPr>
          <w:szCs w:val="32"/>
        </w:rPr>
        <w:t xml:space="preserve">This section compares results for customers who are only enrolled in the </w:t>
      </w:r>
      <w:r w:rsidR="00546AFB">
        <w:rPr>
          <w:szCs w:val="32"/>
        </w:rPr>
        <w:t>SmartAC™</w:t>
      </w:r>
      <w:r>
        <w:rPr>
          <w:szCs w:val="32"/>
        </w:rPr>
        <w:t xml:space="preserve"> program to customers who are </w:t>
      </w:r>
      <w:r w:rsidR="00875F3C">
        <w:rPr>
          <w:szCs w:val="32"/>
        </w:rPr>
        <w:t xml:space="preserve">dually </w:t>
      </w:r>
      <w:r>
        <w:rPr>
          <w:szCs w:val="32"/>
        </w:rPr>
        <w:t xml:space="preserve">enrolled in </w:t>
      </w:r>
      <w:r w:rsidR="00546AFB">
        <w:rPr>
          <w:szCs w:val="32"/>
        </w:rPr>
        <w:t>SmartAC™</w:t>
      </w:r>
      <w:r>
        <w:rPr>
          <w:szCs w:val="32"/>
        </w:rPr>
        <w:t xml:space="preserve"> a</w:t>
      </w:r>
      <w:r w:rsidR="00875F3C">
        <w:rPr>
          <w:szCs w:val="32"/>
        </w:rPr>
        <w:t>nd</w:t>
      </w:r>
      <w:r>
        <w:rPr>
          <w:szCs w:val="32"/>
        </w:rPr>
        <w:t xml:space="preserve"> SmartRate</w:t>
      </w:r>
      <w:r w:rsidR="001566D4">
        <w:rPr>
          <w:rFonts w:cs="Calibri"/>
        </w:rPr>
        <w:t>™</w:t>
      </w:r>
      <w:r>
        <w:rPr>
          <w:szCs w:val="32"/>
        </w:rPr>
        <w:t>. We present results for the average event-hour for each event day. Additional results for these customers can be found in electronic form in Protocol table generators provided along with this report.</w:t>
      </w:r>
    </w:p>
    <w:p w14:paraId="557E805F" w14:textId="15E3D5BE" w:rsidR="00D472E9" w:rsidRDefault="0064359C" w:rsidP="00710329">
      <w:r>
        <w:fldChar w:fldCharType="begin"/>
      </w:r>
      <w:r>
        <w:instrText xml:space="preserve"> REF _Ref506911226 \h </w:instrText>
      </w:r>
      <w:r>
        <w:fldChar w:fldCharType="separate"/>
      </w:r>
      <w:r w:rsidR="00445DF3" w:rsidRPr="00710329">
        <w:t xml:space="preserve">Table </w:t>
      </w:r>
      <w:r w:rsidR="00445DF3">
        <w:rPr>
          <w:noProof/>
        </w:rPr>
        <w:t>3</w:t>
      </w:r>
      <w:r w:rsidR="00445DF3" w:rsidRPr="00710329">
        <w:noBreakHyphen/>
      </w:r>
      <w:r w:rsidR="00445DF3">
        <w:rPr>
          <w:noProof/>
        </w:rPr>
        <w:t>7</w:t>
      </w:r>
      <w:r>
        <w:fldChar w:fldCharType="end"/>
      </w:r>
      <w:r>
        <w:t xml:space="preserve"> </w:t>
      </w:r>
      <w:r w:rsidR="002E3CF5">
        <w:t xml:space="preserve">summarizes the per-customer and aggregate results for </w:t>
      </w:r>
      <w:r w:rsidR="00546AFB">
        <w:t>SmartAC™</w:t>
      </w:r>
      <w:r w:rsidR="002E3CF5">
        <w:t>-only and dually enrolled customers.</w:t>
      </w:r>
      <w:r w:rsidR="00D83A34">
        <w:t xml:space="preserve"> Roughly 18 percent of </w:t>
      </w:r>
      <w:r w:rsidR="00546AFB">
        <w:t>SmartAC™</w:t>
      </w:r>
      <w:r w:rsidR="00D83A34">
        <w:t xml:space="preserve"> customers were dually enrolled in SmartRate</w:t>
      </w:r>
      <w:r w:rsidR="001566D4">
        <w:rPr>
          <w:rFonts w:cs="Calibri"/>
        </w:rPr>
        <w:t>™</w:t>
      </w:r>
      <w:r w:rsidR="00D83A34">
        <w:t xml:space="preserve"> during PY2018, which explains why the aggregate load impacts from </w:t>
      </w:r>
      <w:r w:rsidR="00546AFB">
        <w:t>SmartAC™</w:t>
      </w:r>
      <w:r w:rsidR="00D83A34">
        <w:t>-only customers dwarf the load impacts for dually enrolled customers.</w:t>
      </w:r>
      <w:r w:rsidR="000A3B22">
        <w:t xml:space="preserve"> </w:t>
      </w:r>
      <w:r w:rsidR="00091696">
        <w:t>On a per-customer basis, t</w:t>
      </w:r>
      <w:r w:rsidR="000A3B22">
        <w:t xml:space="preserve">he </w:t>
      </w:r>
      <w:r w:rsidR="00091696">
        <w:t xml:space="preserve">level and percentage </w:t>
      </w:r>
      <w:r w:rsidR="000A3B22">
        <w:t xml:space="preserve">load impacts are higher for </w:t>
      </w:r>
      <w:r w:rsidR="00546AFB">
        <w:t>SmartAC™</w:t>
      </w:r>
      <w:r w:rsidR="000A3B22">
        <w:t>-only customers than for dually enrolled customers</w:t>
      </w:r>
      <w:r w:rsidR="00091696">
        <w:t xml:space="preserve">, with the following exceptions: </w:t>
      </w:r>
      <w:r w:rsidR="000A3B22">
        <w:t xml:space="preserve">the two </w:t>
      </w:r>
      <w:r w:rsidR="00546AFB">
        <w:t>SmartAC™</w:t>
      </w:r>
      <w:r w:rsidR="000A3B22">
        <w:t>-SmartRate</w:t>
      </w:r>
      <w:r w:rsidR="001566D4">
        <w:rPr>
          <w:rFonts w:cs="Calibri"/>
        </w:rPr>
        <w:t>™</w:t>
      </w:r>
      <w:r w:rsidR="000A3B22">
        <w:t xml:space="preserve"> event days on July 25</w:t>
      </w:r>
      <w:r w:rsidR="000A3B22" w:rsidRPr="000A3B22">
        <w:rPr>
          <w:vertAlign w:val="superscript"/>
        </w:rPr>
        <w:t>th</w:t>
      </w:r>
      <w:r w:rsidR="000A3B22">
        <w:t xml:space="preserve"> and July 26</w:t>
      </w:r>
      <w:r w:rsidR="000A3B22" w:rsidRPr="000A3B22">
        <w:rPr>
          <w:vertAlign w:val="superscript"/>
        </w:rPr>
        <w:t>th</w:t>
      </w:r>
      <w:r w:rsidR="00091696">
        <w:t xml:space="preserve">; and </w:t>
      </w:r>
      <w:r w:rsidR="000A3B22">
        <w:t xml:space="preserve">the two events </w:t>
      </w:r>
      <w:r w:rsidR="00091696">
        <w:t>in which</w:t>
      </w:r>
      <w:r w:rsidR="000A3B22">
        <w:t xml:space="preserve"> PGNC was the only sub-LAP called </w:t>
      </w:r>
      <w:r w:rsidR="00091696">
        <w:t>(</w:t>
      </w:r>
      <w:r w:rsidR="000A3B22">
        <w:t>July 27</w:t>
      </w:r>
      <w:r w:rsidR="000A3B22" w:rsidRPr="000A3B22">
        <w:rPr>
          <w:vertAlign w:val="superscript"/>
        </w:rPr>
        <w:t>th</w:t>
      </w:r>
      <w:r w:rsidR="000A3B22">
        <w:t xml:space="preserve"> and September 26</w:t>
      </w:r>
      <w:r w:rsidR="000A3B22" w:rsidRPr="000A3B22">
        <w:rPr>
          <w:vertAlign w:val="superscript"/>
        </w:rPr>
        <w:t>th</w:t>
      </w:r>
      <w:r w:rsidR="00091696">
        <w:t>).</w:t>
      </w:r>
      <w:r w:rsidR="000A3B22">
        <w:t xml:space="preserve"> </w:t>
      </w:r>
      <w:r w:rsidR="00236185">
        <w:t xml:space="preserve">In summary, dually enrolled customers have lower load impacts than </w:t>
      </w:r>
      <w:r w:rsidR="00546AFB">
        <w:t>SmartAC™</w:t>
      </w:r>
      <w:r w:rsidR="00236185">
        <w:t xml:space="preserve">-only customers in general, but they have a higher response on </w:t>
      </w:r>
      <w:r w:rsidR="00546AFB">
        <w:t>SmartRate™</w:t>
      </w:r>
      <w:r w:rsidR="00236185">
        <w:t xml:space="preserve"> and </w:t>
      </w:r>
      <w:r w:rsidR="00546AFB">
        <w:t>SmartAC™</w:t>
      </w:r>
      <w:r w:rsidR="00236185">
        <w:t xml:space="preserve"> combined event days.</w:t>
      </w:r>
    </w:p>
    <w:p w14:paraId="22155069" w14:textId="77777777" w:rsidR="00710329" w:rsidRDefault="00710329" w:rsidP="00710329"/>
    <w:p w14:paraId="54CC5F16" w14:textId="6C8E5A18" w:rsidR="00BF6234" w:rsidRPr="00710329" w:rsidRDefault="00BF6234" w:rsidP="00710329">
      <w:pPr>
        <w:pStyle w:val="TableCaption"/>
      </w:pPr>
      <w:bookmarkStart w:id="118" w:name="_Ref506911226"/>
      <w:bookmarkStart w:id="119" w:name="_Toc4578182"/>
      <w:r w:rsidRPr="00710329">
        <w:t xml:space="preserve">Table </w:t>
      </w:r>
      <w:r w:rsidR="00E86C02">
        <w:rPr>
          <w:noProof/>
        </w:rPr>
        <w:fldChar w:fldCharType="begin"/>
      </w:r>
      <w:r w:rsidR="00E86C02">
        <w:rPr>
          <w:noProof/>
        </w:rPr>
        <w:instrText xml:space="preserve"> STYLEREF 1 \s </w:instrText>
      </w:r>
      <w:r w:rsidR="00E86C02">
        <w:rPr>
          <w:noProof/>
        </w:rPr>
        <w:fldChar w:fldCharType="separate"/>
      </w:r>
      <w:r w:rsidR="00445DF3">
        <w:rPr>
          <w:noProof/>
        </w:rPr>
        <w:t>3</w:t>
      </w:r>
      <w:r w:rsidR="00E86C02">
        <w:rPr>
          <w:noProof/>
        </w:rPr>
        <w:fldChar w:fldCharType="end"/>
      </w:r>
      <w:r w:rsidR="00DA7526" w:rsidRPr="00710329">
        <w:noBreakHyphen/>
      </w:r>
      <w:r w:rsidR="00E86C02">
        <w:rPr>
          <w:noProof/>
        </w:rPr>
        <w:fldChar w:fldCharType="begin"/>
      </w:r>
      <w:r w:rsidR="00E86C02">
        <w:rPr>
          <w:noProof/>
        </w:rPr>
        <w:instrText xml:space="preserve"> SEQ Table \* ARABIC \s 1 </w:instrText>
      </w:r>
      <w:r w:rsidR="00E86C02">
        <w:rPr>
          <w:noProof/>
        </w:rPr>
        <w:fldChar w:fldCharType="separate"/>
      </w:r>
      <w:r w:rsidR="00445DF3">
        <w:rPr>
          <w:noProof/>
        </w:rPr>
        <w:t>7</w:t>
      </w:r>
      <w:r w:rsidR="00E86C02">
        <w:rPr>
          <w:noProof/>
        </w:rPr>
        <w:fldChar w:fldCharType="end"/>
      </w:r>
      <w:bookmarkEnd w:id="118"/>
      <w:r w:rsidRPr="00710329">
        <w:t>: Average Event-Hour Load Impacts by Event</w:t>
      </w:r>
      <w:r w:rsidR="009B3A3D" w:rsidRPr="00710329">
        <w:t xml:space="preserve">,                                                  </w:t>
      </w:r>
      <w:r w:rsidRPr="00710329">
        <w:t xml:space="preserve"> </w:t>
      </w:r>
      <w:r w:rsidR="00546AFB">
        <w:t>SmartAC™</w:t>
      </w:r>
      <w:r w:rsidR="009B3A3D" w:rsidRPr="00710329">
        <w:t xml:space="preserve"> Only vs. Dually Enrolled</w:t>
      </w:r>
      <w:bookmarkEnd w:id="119"/>
    </w:p>
    <w:tbl>
      <w:tblPr>
        <w:tblW w:w="8857" w:type="dxa"/>
        <w:jc w:val="center"/>
        <w:tblLook w:val="04A0" w:firstRow="1" w:lastRow="0" w:firstColumn="1" w:lastColumn="0" w:noHBand="0" w:noVBand="1"/>
      </w:tblPr>
      <w:tblGrid>
        <w:gridCol w:w="1149"/>
        <w:gridCol w:w="944"/>
        <w:gridCol w:w="1238"/>
        <w:gridCol w:w="829"/>
        <w:gridCol w:w="1067"/>
        <w:gridCol w:w="1067"/>
        <w:gridCol w:w="792"/>
        <w:gridCol w:w="1063"/>
        <w:gridCol w:w="778"/>
      </w:tblGrid>
      <w:tr w:rsidR="0043099F" w:rsidRPr="0043099F" w14:paraId="55830621" w14:textId="77777777" w:rsidTr="00546AFB">
        <w:trPr>
          <w:trHeight w:val="300"/>
          <w:jc w:val="center"/>
        </w:trPr>
        <w:tc>
          <w:tcPr>
            <w:tcW w:w="1079" w:type="dxa"/>
            <w:vMerge w:val="restart"/>
            <w:tcBorders>
              <w:top w:val="nil"/>
              <w:left w:val="single" w:sz="4" w:space="0" w:color="FFFFFF"/>
              <w:bottom w:val="nil"/>
              <w:right w:val="single" w:sz="4" w:space="0" w:color="FFFFFF"/>
            </w:tcBorders>
            <w:shd w:val="clear" w:color="000000" w:fill="0C2577"/>
            <w:vAlign w:val="center"/>
            <w:hideMark/>
          </w:tcPr>
          <w:p w14:paraId="622794DD" w14:textId="77777777" w:rsidR="0043099F" w:rsidRPr="0043099F" w:rsidRDefault="0043099F" w:rsidP="0043099F">
            <w:pPr>
              <w:jc w:val="center"/>
              <w:rPr>
                <w:rFonts w:cs="Calibri"/>
                <w:b/>
                <w:bCs/>
                <w:color w:val="FFFFFF"/>
                <w:sz w:val="20"/>
                <w:szCs w:val="20"/>
              </w:rPr>
            </w:pPr>
            <w:r w:rsidRPr="0043099F">
              <w:rPr>
                <w:rFonts w:cs="Calibri"/>
                <w:b/>
                <w:bCs/>
                <w:color w:val="FFFFFF"/>
                <w:sz w:val="20"/>
                <w:szCs w:val="20"/>
              </w:rPr>
              <w:t>Enrollment Segment</w:t>
            </w:r>
          </w:p>
        </w:tc>
        <w:tc>
          <w:tcPr>
            <w:tcW w:w="944" w:type="dxa"/>
            <w:vMerge w:val="restart"/>
            <w:tcBorders>
              <w:top w:val="nil"/>
              <w:left w:val="single" w:sz="4" w:space="0" w:color="FFFFFF"/>
              <w:bottom w:val="nil"/>
              <w:right w:val="single" w:sz="4" w:space="0" w:color="FFFFFF"/>
            </w:tcBorders>
            <w:shd w:val="clear" w:color="000000" w:fill="0C2577"/>
            <w:vAlign w:val="center"/>
            <w:hideMark/>
          </w:tcPr>
          <w:p w14:paraId="2386C1AC" w14:textId="77777777" w:rsidR="0043099F" w:rsidRPr="0043099F" w:rsidRDefault="0043099F" w:rsidP="0043099F">
            <w:pPr>
              <w:jc w:val="center"/>
              <w:rPr>
                <w:rFonts w:cs="Calibri"/>
                <w:b/>
                <w:bCs/>
                <w:color w:val="FFFFFF"/>
                <w:sz w:val="20"/>
                <w:szCs w:val="20"/>
              </w:rPr>
            </w:pPr>
            <w:r w:rsidRPr="0043099F">
              <w:rPr>
                <w:rFonts w:cs="Calibri"/>
                <w:b/>
                <w:bCs/>
                <w:color w:val="FFFFFF"/>
                <w:sz w:val="20"/>
                <w:szCs w:val="20"/>
              </w:rPr>
              <w:t>Event Date</w:t>
            </w:r>
          </w:p>
        </w:tc>
        <w:tc>
          <w:tcPr>
            <w:tcW w:w="1238" w:type="dxa"/>
            <w:vMerge w:val="restart"/>
            <w:tcBorders>
              <w:top w:val="nil"/>
              <w:left w:val="nil"/>
              <w:bottom w:val="nil"/>
              <w:right w:val="nil"/>
            </w:tcBorders>
            <w:shd w:val="clear" w:color="000000" w:fill="0C2577"/>
            <w:vAlign w:val="center"/>
            <w:hideMark/>
          </w:tcPr>
          <w:p w14:paraId="03C09FBB" w14:textId="61BD71E3" w:rsidR="0043099F" w:rsidRPr="0043099F" w:rsidRDefault="00546AFB" w:rsidP="0043099F">
            <w:pPr>
              <w:jc w:val="center"/>
              <w:rPr>
                <w:rFonts w:cs="Calibri"/>
                <w:b/>
                <w:bCs/>
                <w:color w:val="FFFFFF"/>
                <w:sz w:val="20"/>
                <w:szCs w:val="20"/>
              </w:rPr>
            </w:pPr>
            <w:r>
              <w:rPr>
                <w:rFonts w:cs="Calibri"/>
                <w:b/>
                <w:bCs/>
                <w:color w:val="FFFFFF"/>
                <w:sz w:val="20"/>
                <w:szCs w:val="20"/>
              </w:rPr>
              <w:t xml:space="preserve">SmartRate™ </w:t>
            </w:r>
            <w:r w:rsidR="0043099F" w:rsidRPr="0043099F">
              <w:rPr>
                <w:rFonts w:cs="Calibri"/>
                <w:b/>
                <w:bCs/>
                <w:color w:val="FFFFFF"/>
                <w:sz w:val="20"/>
                <w:szCs w:val="20"/>
              </w:rPr>
              <w:t>Event?</w:t>
            </w:r>
          </w:p>
        </w:tc>
        <w:tc>
          <w:tcPr>
            <w:tcW w:w="829" w:type="dxa"/>
            <w:vMerge w:val="restart"/>
            <w:tcBorders>
              <w:top w:val="nil"/>
              <w:left w:val="single" w:sz="4" w:space="0" w:color="FFFFFF"/>
              <w:bottom w:val="nil"/>
              <w:right w:val="single" w:sz="4" w:space="0" w:color="FFFFFF"/>
            </w:tcBorders>
            <w:shd w:val="clear" w:color="000000" w:fill="0C2577"/>
            <w:vAlign w:val="center"/>
            <w:hideMark/>
          </w:tcPr>
          <w:p w14:paraId="0FBC7DE9" w14:textId="77777777" w:rsidR="0043099F" w:rsidRPr="0043099F" w:rsidRDefault="0043099F" w:rsidP="0043099F">
            <w:pPr>
              <w:jc w:val="center"/>
              <w:rPr>
                <w:rFonts w:cs="Calibri"/>
                <w:b/>
                <w:bCs/>
                <w:color w:val="FFFFFF"/>
                <w:sz w:val="20"/>
                <w:szCs w:val="20"/>
              </w:rPr>
            </w:pPr>
            <w:r w:rsidRPr="0043099F">
              <w:rPr>
                <w:rFonts w:cs="Calibri"/>
                <w:b/>
                <w:bCs/>
                <w:color w:val="FFFFFF"/>
                <w:sz w:val="20"/>
                <w:szCs w:val="20"/>
              </w:rPr>
              <w:t># Called</w:t>
            </w:r>
          </w:p>
        </w:tc>
        <w:tc>
          <w:tcPr>
            <w:tcW w:w="4767" w:type="dxa"/>
            <w:gridSpan w:val="5"/>
            <w:tcBorders>
              <w:top w:val="nil"/>
              <w:left w:val="nil"/>
              <w:bottom w:val="nil"/>
              <w:right w:val="nil"/>
            </w:tcBorders>
            <w:shd w:val="clear" w:color="000000" w:fill="0C2577"/>
            <w:vAlign w:val="center"/>
            <w:hideMark/>
          </w:tcPr>
          <w:p w14:paraId="4D37173B" w14:textId="77777777" w:rsidR="0043099F" w:rsidRPr="0043099F" w:rsidRDefault="0043099F" w:rsidP="0043099F">
            <w:pPr>
              <w:jc w:val="center"/>
              <w:rPr>
                <w:rFonts w:cs="Calibri"/>
                <w:b/>
                <w:bCs/>
                <w:color w:val="FFFFFF"/>
                <w:sz w:val="20"/>
                <w:szCs w:val="20"/>
              </w:rPr>
            </w:pPr>
            <w:r w:rsidRPr="0043099F">
              <w:rPr>
                <w:rFonts w:cs="Calibri"/>
                <w:b/>
                <w:bCs/>
                <w:color w:val="FFFFFF"/>
                <w:sz w:val="20"/>
                <w:szCs w:val="20"/>
              </w:rPr>
              <w:t>Average Event Hour</w:t>
            </w:r>
          </w:p>
        </w:tc>
      </w:tr>
      <w:tr w:rsidR="0043099F" w:rsidRPr="0043099F" w14:paraId="0F50C35B" w14:textId="77777777" w:rsidTr="00546AFB">
        <w:trPr>
          <w:trHeight w:val="765"/>
          <w:jc w:val="center"/>
        </w:trPr>
        <w:tc>
          <w:tcPr>
            <w:tcW w:w="1079" w:type="dxa"/>
            <w:vMerge/>
            <w:tcBorders>
              <w:top w:val="nil"/>
              <w:left w:val="single" w:sz="4" w:space="0" w:color="FFFFFF"/>
              <w:bottom w:val="nil"/>
              <w:right w:val="single" w:sz="4" w:space="0" w:color="FFFFFF"/>
            </w:tcBorders>
            <w:vAlign w:val="center"/>
            <w:hideMark/>
          </w:tcPr>
          <w:p w14:paraId="1E8EF5B5" w14:textId="77777777" w:rsidR="0043099F" w:rsidRPr="0043099F" w:rsidRDefault="0043099F" w:rsidP="0043099F">
            <w:pPr>
              <w:rPr>
                <w:rFonts w:cs="Calibri"/>
                <w:b/>
                <w:bCs/>
                <w:color w:val="FFFFFF"/>
                <w:sz w:val="20"/>
                <w:szCs w:val="20"/>
              </w:rPr>
            </w:pPr>
          </w:p>
        </w:tc>
        <w:tc>
          <w:tcPr>
            <w:tcW w:w="944" w:type="dxa"/>
            <w:vMerge/>
            <w:tcBorders>
              <w:top w:val="nil"/>
              <w:left w:val="single" w:sz="4" w:space="0" w:color="FFFFFF"/>
              <w:bottom w:val="nil"/>
              <w:right w:val="single" w:sz="4" w:space="0" w:color="FFFFFF"/>
            </w:tcBorders>
            <w:vAlign w:val="center"/>
            <w:hideMark/>
          </w:tcPr>
          <w:p w14:paraId="6D74F2CC" w14:textId="77777777" w:rsidR="0043099F" w:rsidRPr="0043099F" w:rsidRDefault="0043099F" w:rsidP="0043099F">
            <w:pPr>
              <w:rPr>
                <w:rFonts w:cs="Calibri"/>
                <w:b/>
                <w:bCs/>
                <w:color w:val="FFFFFF"/>
                <w:sz w:val="20"/>
                <w:szCs w:val="20"/>
              </w:rPr>
            </w:pPr>
          </w:p>
        </w:tc>
        <w:tc>
          <w:tcPr>
            <w:tcW w:w="1238" w:type="dxa"/>
            <w:vMerge/>
            <w:tcBorders>
              <w:top w:val="nil"/>
              <w:left w:val="nil"/>
              <w:bottom w:val="nil"/>
              <w:right w:val="nil"/>
            </w:tcBorders>
            <w:vAlign w:val="center"/>
            <w:hideMark/>
          </w:tcPr>
          <w:p w14:paraId="3A937857" w14:textId="77777777" w:rsidR="0043099F" w:rsidRPr="0043099F" w:rsidRDefault="0043099F" w:rsidP="0043099F">
            <w:pPr>
              <w:rPr>
                <w:rFonts w:cs="Calibri"/>
                <w:b/>
                <w:bCs/>
                <w:color w:val="FFFFFF"/>
                <w:sz w:val="20"/>
                <w:szCs w:val="20"/>
              </w:rPr>
            </w:pPr>
          </w:p>
        </w:tc>
        <w:tc>
          <w:tcPr>
            <w:tcW w:w="829" w:type="dxa"/>
            <w:vMerge/>
            <w:tcBorders>
              <w:top w:val="nil"/>
              <w:left w:val="single" w:sz="4" w:space="0" w:color="FFFFFF"/>
              <w:bottom w:val="nil"/>
              <w:right w:val="single" w:sz="4" w:space="0" w:color="FFFFFF"/>
            </w:tcBorders>
            <w:vAlign w:val="center"/>
            <w:hideMark/>
          </w:tcPr>
          <w:p w14:paraId="467C81BD" w14:textId="77777777" w:rsidR="0043099F" w:rsidRPr="0043099F" w:rsidRDefault="0043099F" w:rsidP="0043099F">
            <w:pPr>
              <w:rPr>
                <w:rFonts w:cs="Calibri"/>
                <w:b/>
                <w:bCs/>
                <w:color w:val="FFFFFF"/>
                <w:sz w:val="20"/>
                <w:szCs w:val="20"/>
              </w:rPr>
            </w:pPr>
          </w:p>
        </w:tc>
        <w:tc>
          <w:tcPr>
            <w:tcW w:w="1067" w:type="dxa"/>
            <w:tcBorders>
              <w:top w:val="single" w:sz="4" w:space="0" w:color="E7E6E6"/>
              <w:left w:val="nil"/>
              <w:bottom w:val="nil"/>
              <w:right w:val="single" w:sz="4" w:space="0" w:color="FFFFFF"/>
            </w:tcBorders>
            <w:shd w:val="clear" w:color="000000" w:fill="0C2577"/>
            <w:vAlign w:val="center"/>
            <w:hideMark/>
          </w:tcPr>
          <w:p w14:paraId="318A0B39" w14:textId="77777777" w:rsidR="0043099F" w:rsidRPr="0043099F" w:rsidRDefault="0043099F" w:rsidP="0043099F">
            <w:pPr>
              <w:jc w:val="center"/>
              <w:rPr>
                <w:rFonts w:cs="Calibri"/>
                <w:b/>
                <w:bCs/>
                <w:color w:val="FFFFFF"/>
                <w:sz w:val="20"/>
                <w:szCs w:val="20"/>
              </w:rPr>
            </w:pPr>
            <w:r w:rsidRPr="0043099F">
              <w:rPr>
                <w:rFonts w:cs="Calibri"/>
                <w:b/>
                <w:bCs/>
                <w:color w:val="FFFFFF"/>
                <w:sz w:val="20"/>
                <w:szCs w:val="20"/>
              </w:rPr>
              <w:t>Reference (kW/Cust)</w:t>
            </w:r>
          </w:p>
        </w:tc>
        <w:tc>
          <w:tcPr>
            <w:tcW w:w="1067" w:type="dxa"/>
            <w:tcBorders>
              <w:top w:val="single" w:sz="4" w:space="0" w:color="E7E6E6"/>
              <w:left w:val="nil"/>
              <w:bottom w:val="nil"/>
              <w:right w:val="single" w:sz="4" w:space="0" w:color="FFFFFF"/>
            </w:tcBorders>
            <w:shd w:val="clear" w:color="000000" w:fill="0C2577"/>
            <w:vAlign w:val="center"/>
            <w:hideMark/>
          </w:tcPr>
          <w:p w14:paraId="17DD6233" w14:textId="77777777" w:rsidR="0043099F" w:rsidRPr="0043099F" w:rsidRDefault="0043099F" w:rsidP="0043099F">
            <w:pPr>
              <w:jc w:val="center"/>
              <w:rPr>
                <w:rFonts w:cs="Calibri"/>
                <w:b/>
                <w:bCs/>
                <w:color w:val="FFFFFF"/>
                <w:sz w:val="20"/>
                <w:szCs w:val="20"/>
              </w:rPr>
            </w:pPr>
            <w:r w:rsidRPr="0043099F">
              <w:rPr>
                <w:rFonts w:cs="Calibri"/>
                <w:b/>
                <w:bCs/>
                <w:color w:val="FFFFFF"/>
                <w:sz w:val="20"/>
                <w:szCs w:val="20"/>
              </w:rPr>
              <w:t>Impact (kW/Cust)</w:t>
            </w:r>
          </w:p>
        </w:tc>
        <w:tc>
          <w:tcPr>
            <w:tcW w:w="792" w:type="dxa"/>
            <w:tcBorders>
              <w:top w:val="single" w:sz="4" w:space="0" w:color="E7E6E6"/>
              <w:left w:val="nil"/>
              <w:bottom w:val="nil"/>
              <w:right w:val="single" w:sz="4" w:space="0" w:color="FFFFFF"/>
            </w:tcBorders>
            <w:shd w:val="clear" w:color="000000" w:fill="0C2577"/>
            <w:vAlign w:val="center"/>
            <w:hideMark/>
          </w:tcPr>
          <w:p w14:paraId="230D05DC" w14:textId="77777777" w:rsidR="0043099F" w:rsidRPr="0043099F" w:rsidRDefault="0043099F" w:rsidP="0043099F">
            <w:pPr>
              <w:jc w:val="center"/>
              <w:rPr>
                <w:rFonts w:cs="Calibri"/>
                <w:b/>
                <w:bCs/>
                <w:color w:val="FFFFFF"/>
                <w:sz w:val="20"/>
                <w:szCs w:val="20"/>
              </w:rPr>
            </w:pPr>
            <w:r w:rsidRPr="0043099F">
              <w:rPr>
                <w:rFonts w:cs="Calibri"/>
                <w:b/>
                <w:bCs/>
                <w:color w:val="FFFFFF"/>
                <w:sz w:val="20"/>
                <w:szCs w:val="20"/>
              </w:rPr>
              <w:t>% Impact</w:t>
            </w:r>
          </w:p>
        </w:tc>
        <w:tc>
          <w:tcPr>
            <w:tcW w:w="1063" w:type="dxa"/>
            <w:tcBorders>
              <w:top w:val="single" w:sz="4" w:space="0" w:color="E7E6E6"/>
              <w:left w:val="nil"/>
              <w:bottom w:val="nil"/>
              <w:right w:val="single" w:sz="4" w:space="0" w:color="FFFFFF"/>
            </w:tcBorders>
            <w:shd w:val="clear" w:color="000000" w:fill="0C2577"/>
            <w:vAlign w:val="center"/>
            <w:hideMark/>
          </w:tcPr>
          <w:p w14:paraId="45A69FC4" w14:textId="77777777" w:rsidR="0043099F" w:rsidRPr="0043099F" w:rsidRDefault="0043099F" w:rsidP="0043099F">
            <w:pPr>
              <w:jc w:val="center"/>
              <w:rPr>
                <w:rFonts w:cs="Calibri"/>
                <w:b/>
                <w:bCs/>
                <w:color w:val="FFFFFF"/>
                <w:sz w:val="20"/>
                <w:szCs w:val="20"/>
              </w:rPr>
            </w:pPr>
            <w:r w:rsidRPr="0043099F">
              <w:rPr>
                <w:rFonts w:cs="Calibri"/>
                <w:b/>
                <w:bCs/>
                <w:color w:val="FFFFFF"/>
                <w:sz w:val="20"/>
                <w:szCs w:val="20"/>
              </w:rPr>
              <w:t>Aggregate Impact (MW)</w:t>
            </w:r>
          </w:p>
        </w:tc>
        <w:tc>
          <w:tcPr>
            <w:tcW w:w="778" w:type="dxa"/>
            <w:tcBorders>
              <w:top w:val="single" w:sz="4" w:space="0" w:color="E7E6E6"/>
              <w:left w:val="nil"/>
              <w:bottom w:val="nil"/>
              <w:right w:val="nil"/>
            </w:tcBorders>
            <w:shd w:val="clear" w:color="000000" w:fill="0C2577"/>
            <w:vAlign w:val="center"/>
            <w:hideMark/>
          </w:tcPr>
          <w:p w14:paraId="244BE9B0" w14:textId="77777777" w:rsidR="0043099F" w:rsidRPr="0043099F" w:rsidRDefault="0043099F" w:rsidP="0043099F">
            <w:pPr>
              <w:jc w:val="center"/>
              <w:rPr>
                <w:rFonts w:cs="Calibri"/>
                <w:b/>
                <w:bCs/>
                <w:color w:val="FFFFFF"/>
                <w:sz w:val="20"/>
                <w:szCs w:val="20"/>
              </w:rPr>
            </w:pPr>
            <w:r w:rsidRPr="0043099F">
              <w:rPr>
                <w:rFonts w:cs="Calibri"/>
                <w:b/>
                <w:bCs/>
                <w:color w:val="FFFFFF"/>
                <w:sz w:val="20"/>
                <w:szCs w:val="20"/>
              </w:rPr>
              <w:t>Avg. Temp (°F)</w:t>
            </w:r>
          </w:p>
        </w:tc>
      </w:tr>
      <w:tr w:rsidR="0043099F" w:rsidRPr="0043099F" w14:paraId="0EFB9574" w14:textId="77777777" w:rsidTr="00546AFB">
        <w:trPr>
          <w:trHeight w:val="300"/>
          <w:jc w:val="center"/>
        </w:trPr>
        <w:tc>
          <w:tcPr>
            <w:tcW w:w="10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3394D" w14:textId="77777777" w:rsidR="0043099F" w:rsidRPr="0043099F" w:rsidRDefault="0043099F" w:rsidP="0043099F">
            <w:pPr>
              <w:jc w:val="center"/>
              <w:rPr>
                <w:rFonts w:cs="Calibri"/>
                <w:sz w:val="22"/>
                <w:szCs w:val="22"/>
              </w:rPr>
            </w:pPr>
            <w:r w:rsidRPr="0043099F">
              <w:rPr>
                <w:rFonts w:cs="Calibri"/>
                <w:sz w:val="22"/>
                <w:szCs w:val="22"/>
              </w:rPr>
              <w:t>Dually Enrolled</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14:paraId="0199FE24" w14:textId="77777777" w:rsidR="0043099F" w:rsidRPr="0043099F" w:rsidRDefault="0043099F" w:rsidP="0043099F">
            <w:pPr>
              <w:jc w:val="right"/>
              <w:rPr>
                <w:rFonts w:cs="Calibri"/>
                <w:sz w:val="22"/>
                <w:szCs w:val="22"/>
              </w:rPr>
            </w:pPr>
            <w:r w:rsidRPr="0043099F">
              <w:rPr>
                <w:rFonts w:cs="Calibri"/>
                <w:sz w:val="22"/>
                <w:szCs w:val="22"/>
              </w:rPr>
              <w:t>7/23/18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BB76347"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1568571D" w14:textId="77777777" w:rsidR="0043099F" w:rsidRPr="0043099F" w:rsidRDefault="0043099F" w:rsidP="0043099F">
            <w:pPr>
              <w:jc w:val="right"/>
              <w:rPr>
                <w:rFonts w:cs="Calibri"/>
                <w:sz w:val="22"/>
                <w:szCs w:val="22"/>
              </w:rPr>
            </w:pPr>
            <w:r w:rsidRPr="0043099F">
              <w:rPr>
                <w:rFonts w:cs="Calibri"/>
                <w:sz w:val="22"/>
                <w:szCs w:val="22"/>
              </w:rPr>
              <w:t>10,222</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5EE2BAFA" w14:textId="77777777" w:rsidR="0043099F" w:rsidRPr="0043099F" w:rsidRDefault="0043099F" w:rsidP="0043099F">
            <w:pPr>
              <w:jc w:val="right"/>
              <w:rPr>
                <w:rFonts w:cs="Calibri"/>
                <w:sz w:val="22"/>
                <w:szCs w:val="22"/>
              </w:rPr>
            </w:pPr>
            <w:r w:rsidRPr="0043099F">
              <w:rPr>
                <w:rFonts w:cs="Calibri"/>
                <w:sz w:val="22"/>
                <w:szCs w:val="22"/>
              </w:rPr>
              <w:t>2.64</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3B2BFD4C" w14:textId="77777777" w:rsidR="0043099F" w:rsidRPr="0043099F" w:rsidRDefault="0043099F" w:rsidP="0043099F">
            <w:pPr>
              <w:jc w:val="right"/>
              <w:rPr>
                <w:rFonts w:cs="Calibri"/>
                <w:sz w:val="22"/>
                <w:szCs w:val="22"/>
              </w:rPr>
            </w:pPr>
            <w:r w:rsidRPr="0043099F">
              <w:rPr>
                <w:rFonts w:cs="Calibri"/>
                <w:sz w:val="22"/>
                <w:szCs w:val="22"/>
              </w:rPr>
              <w:t>0.22</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14:paraId="21A12121" w14:textId="77777777" w:rsidR="0043099F" w:rsidRPr="0043099F" w:rsidRDefault="0043099F" w:rsidP="0043099F">
            <w:pPr>
              <w:jc w:val="right"/>
              <w:rPr>
                <w:rFonts w:cs="Calibri"/>
                <w:sz w:val="22"/>
                <w:szCs w:val="22"/>
              </w:rPr>
            </w:pPr>
            <w:r w:rsidRPr="0043099F">
              <w:rPr>
                <w:rFonts w:cs="Calibri"/>
                <w:sz w:val="22"/>
                <w:szCs w:val="22"/>
              </w:rPr>
              <w:t>8.3%</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3D80C4A2" w14:textId="77777777" w:rsidR="0043099F" w:rsidRPr="0043099F" w:rsidRDefault="0043099F" w:rsidP="0043099F">
            <w:pPr>
              <w:jc w:val="right"/>
              <w:rPr>
                <w:rFonts w:cs="Calibri"/>
                <w:sz w:val="22"/>
                <w:szCs w:val="22"/>
              </w:rPr>
            </w:pPr>
            <w:r w:rsidRPr="0043099F">
              <w:rPr>
                <w:rFonts w:cs="Calibri"/>
                <w:sz w:val="22"/>
                <w:szCs w:val="22"/>
              </w:rPr>
              <w:t>2.2</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14:paraId="100445EF" w14:textId="77777777" w:rsidR="0043099F" w:rsidRPr="0043099F" w:rsidRDefault="0043099F" w:rsidP="0043099F">
            <w:pPr>
              <w:jc w:val="right"/>
              <w:rPr>
                <w:rFonts w:cs="Calibri"/>
                <w:sz w:val="22"/>
                <w:szCs w:val="22"/>
              </w:rPr>
            </w:pPr>
            <w:r w:rsidRPr="0043099F">
              <w:rPr>
                <w:rFonts w:cs="Calibri"/>
                <w:sz w:val="22"/>
                <w:szCs w:val="22"/>
              </w:rPr>
              <w:t>98.0</w:t>
            </w:r>
          </w:p>
        </w:tc>
      </w:tr>
      <w:tr w:rsidR="0043099F" w:rsidRPr="0043099F" w14:paraId="2C372437" w14:textId="77777777" w:rsidTr="00546AFB">
        <w:trPr>
          <w:trHeight w:val="30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64A13C62"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1896731D" w14:textId="77777777" w:rsidR="0043099F" w:rsidRPr="0043099F" w:rsidRDefault="0043099F" w:rsidP="0043099F">
            <w:pPr>
              <w:jc w:val="right"/>
              <w:rPr>
                <w:rFonts w:cs="Calibri"/>
                <w:sz w:val="22"/>
                <w:szCs w:val="22"/>
              </w:rPr>
            </w:pPr>
            <w:r w:rsidRPr="0043099F">
              <w:rPr>
                <w:rFonts w:cs="Calibri"/>
                <w:sz w:val="22"/>
                <w:szCs w:val="22"/>
              </w:rPr>
              <w:t>7/24/18</w:t>
            </w:r>
          </w:p>
        </w:tc>
        <w:tc>
          <w:tcPr>
            <w:tcW w:w="1238" w:type="dxa"/>
            <w:tcBorders>
              <w:top w:val="nil"/>
              <w:left w:val="nil"/>
              <w:bottom w:val="single" w:sz="4" w:space="0" w:color="auto"/>
              <w:right w:val="single" w:sz="4" w:space="0" w:color="auto"/>
            </w:tcBorders>
            <w:shd w:val="clear" w:color="auto" w:fill="auto"/>
            <w:noWrap/>
            <w:vAlign w:val="center"/>
            <w:hideMark/>
          </w:tcPr>
          <w:p w14:paraId="5ECAEE82"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2A2CDC4D" w14:textId="77777777" w:rsidR="0043099F" w:rsidRPr="0043099F" w:rsidRDefault="0043099F" w:rsidP="0043099F">
            <w:pPr>
              <w:jc w:val="right"/>
              <w:rPr>
                <w:rFonts w:cs="Calibri"/>
                <w:sz w:val="22"/>
                <w:szCs w:val="22"/>
              </w:rPr>
            </w:pPr>
            <w:r w:rsidRPr="0043099F">
              <w:rPr>
                <w:rFonts w:cs="Calibri"/>
                <w:sz w:val="22"/>
                <w:szCs w:val="22"/>
              </w:rPr>
              <w:t>10,860</w:t>
            </w:r>
          </w:p>
        </w:tc>
        <w:tc>
          <w:tcPr>
            <w:tcW w:w="1067" w:type="dxa"/>
            <w:tcBorders>
              <w:top w:val="nil"/>
              <w:left w:val="nil"/>
              <w:bottom w:val="single" w:sz="4" w:space="0" w:color="auto"/>
              <w:right w:val="single" w:sz="4" w:space="0" w:color="auto"/>
            </w:tcBorders>
            <w:shd w:val="clear" w:color="auto" w:fill="auto"/>
            <w:noWrap/>
            <w:vAlign w:val="bottom"/>
            <w:hideMark/>
          </w:tcPr>
          <w:p w14:paraId="160C3F1B" w14:textId="77777777" w:rsidR="0043099F" w:rsidRPr="0043099F" w:rsidRDefault="0043099F" w:rsidP="0043099F">
            <w:pPr>
              <w:jc w:val="right"/>
              <w:rPr>
                <w:rFonts w:cs="Calibri"/>
                <w:sz w:val="22"/>
                <w:szCs w:val="22"/>
              </w:rPr>
            </w:pPr>
            <w:r w:rsidRPr="0043099F">
              <w:rPr>
                <w:rFonts w:cs="Calibri"/>
                <w:sz w:val="22"/>
                <w:szCs w:val="22"/>
              </w:rPr>
              <w:t>2.72</w:t>
            </w:r>
          </w:p>
        </w:tc>
        <w:tc>
          <w:tcPr>
            <w:tcW w:w="1067" w:type="dxa"/>
            <w:tcBorders>
              <w:top w:val="nil"/>
              <w:left w:val="nil"/>
              <w:bottom w:val="single" w:sz="4" w:space="0" w:color="auto"/>
              <w:right w:val="single" w:sz="4" w:space="0" w:color="auto"/>
            </w:tcBorders>
            <w:shd w:val="clear" w:color="auto" w:fill="auto"/>
            <w:noWrap/>
            <w:vAlign w:val="bottom"/>
            <w:hideMark/>
          </w:tcPr>
          <w:p w14:paraId="6EDDAD12" w14:textId="77777777" w:rsidR="0043099F" w:rsidRPr="0043099F" w:rsidRDefault="0043099F" w:rsidP="0043099F">
            <w:pPr>
              <w:jc w:val="right"/>
              <w:rPr>
                <w:rFonts w:cs="Calibri"/>
                <w:sz w:val="22"/>
                <w:szCs w:val="22"/>
              </w:rPr>
            </w:pPr>
            <w:r w:rsidRPr="0043099F">
              <w:rPr>
                <w:rFonts w:cs="Calibri"/>
                <w:sz w:val="22"/>
                <w:szCs w:val="22"/>
              </w:rPr>
              <w:t>0.23</w:t>
            </w:r>
          </w:p>
        </w:tc>
        <w:tc>
          <w:tcPr>
            <w:tcW w:w="792" w:type="dxa"/>
            <w:tcBorders>
              <w:top w:val="nil"/>
              <w:left w:val="nil"/>
              <w:bottom w:val="single" w:sz="4" w:space="0" w:color="auto"/>
              <w:right w:val="single" w:sz="4" w:space="0" w:color="auto"/>
            </w:tcBorders>
            <w:shd w:val="clear" w:color="auto" w:fill="auto"/>
            <w:noWrap/>
            <w:vAlign w:val="bottom"/>
            <w:hideMark/>
          </w:tcPr>
          <w:p w14:paraId="49458991" w14:textId="77777777" w:rsidR="0043099F" w:rsidRPr="0043099F" w:rsidRDefault="0043099F" w:rsidP="0043099F">
            <w:pPr>
              <w:jc w:val="right"/>
              <w:rPr>
                <w:rFonts w:cs="Calibri"/>
                <w:sz w:val="22"/>
                <w:szCs w:val="22"/>
              </w:rPr>
            </w:pPr>
            <w:r w:rsidRPr="0043099F">
              <w:rPr>
                <w:rFonts w:cs="Calibri"/>
                <w:sz w:val="22"/>
                <w:szCs w:val="22"/>
              </w:rPr>
              <w:t>8.5%</w:t>
            </w:r>
          </w:p>
        </w:tc>
        <w:tc>
          <w:tcPr>
            <w:tcW w:w="1063" w:type="dxa"/>
            <w:tcBorders>
              <w:top w:val="nil"/>
              <w:left w:val="nil"/>
              <w:bottom w:val="single" w:sz="4" w:space="0" w:color="auto"/>
              <w:right w:val="single" w:sz="4" w:space="0" w:color="auto"/>
            </w:tcBorders>
            <w:shd w:val="clear" w:color="auto" w:fill="auto"/>
            <w:noWrap/>
            <w:vAlign w:val="bottom"/>
            <w:hideMark/>
          </w:tcPr>
          <w:p w14:paraId="0BBB6D99" w14:textId="77777777" w:rsidR="0043099F" w:rsidRPr="0043099F" w:rsidRDefault="0043099F" w:rsidP="0043099F">
            <w:pPr>
              <w:jc w:val="right"/>
              <w:rPr>
                <w:rFonts w:cs="Calibri"/>
                <w:sz w:val="22"/>
                <w:szCs w:val="22"/>
              </w:rPr>
            </w:pPr>
            <w:r w:rsidRPr="0043099F">
              <w:rPr>
                <w:rFonts w:cs="Calibri"/>
                <w:sz w:val="22"/>
                <w:szCs w:val="22"/>
              </w:rPr>
              <w:t>2.0</w:t>
            </w:r>
          </w:p>
        </w:tc>
        <w:tc>
          <w:tcPr>
            <w:tcW w:w="778" w:type="dxa"/>
            <w:tcBorders>
              <w:top w:val="nil"/>
              <w:left w:val="nil"/>
              <w:bottom w:val="single" w:sz="4" w:space="0" w:color="auto"/>
              <w:right w:val="single" w:sz="4" w:space="0" w:color="auto"/>
            </w:tcBorders>
            <w:shd w:val="clear" w:color="auto" w:fill="auto"/>
            <w:noWrap/>
            <w:vAlign w:val="bottom"/>
            <w:hideMark/>
          </w:tcPr>
          <w:p w14:paraId="30684BF8" w14:textId="77777777" w:rsidR="0043099F" w:rsidRPr="0043099F" w:rsidRDefault="0043099F" w:rsidP="0043099F">
            <w:pPr>
              <w:jc w:val="right"/>
              <w:rPr>
                <w:rFonts w:cs="Calibri"/>
                <w:sz w:val="22"/>
                <w:szCs w:val="22"/>
              </w:rPr>
            </w:pPr>
            <w:r w:rsidRPr="0043099F">
              <w:rPr>
                <w:rFonts w:cs="Calibri"/>
                <w:sz w:val="22"/>
                <w:szCs w:val="22"/>
              </w:rPr>
              <w:t>100.7</w:t>
            </w:r>
          </w:p>
        </w:tc>
      </w:tr>
      <w:tr w:rsidR="0043099F" w:rsidRPr="0043099F" w14:paraId="79319C03" w14:textId="77777777" w:rsidTr="00546AFB">
        <w:trPr>
          <w:trHeight w:val="30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5A751185"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582DF65A" w14:textId="77777777" w:rsidR="0043099F" w:rsidRPr="0043099F" w:rsidRDefault="0043099F" w:rsidP="0043099F">
            <w:pPr>
              <w:jc w:val="right"/>
              <w:rPr>
                <w:rFonts w:cs="Calibri"/>
                <w:sz w:val="22"/>
                <w:szCs w:val="22"/>
              </w:rPr>
            </w:pPr>
            <w:r w:rsidRPr="0043099F">
              <w:rPr>
                <w:rFonts w:cs="Calibri"/>
                <w:sz w:val="22"/>
                <w:szCs w:val="22"/>
              </w:rPr>
              <w:t>7/25/18</w:t>
            </w:r>
          </w:p>
        </w:tc>
        <w:tc>
          <w:tcPr>
            <w:tcW w:w="1238" w:type="dxa"/>
            <w:tcBorders>
              <w:top w:val="nil"/>
              <w:left w:val="nil"/>
              <w:bottom w:val="single" w:sz="4" w:space="0" w:color="auto"/>
              <w:right w:val="single" w:sz="4" w:space="0" w:color="auto"/>
            </w:tcBorders>
            <w:shd w:val="clear" w:color="auto" w:fill="auto"/>
            <w:noWrap/>
            <w:vAlign w:val="center"/>
            <w:hideMark/>
          </w:tcPr>
          <w:p w14:paraId="7650CF22" w14:textId="77777777" w:rsidR="0043099F" w:rsidRPr="0043099F" w:rsidRDefault="0043099F" w:rsidP="0043099F">
            <w:pPr>
              <w:jc w:val="center"/>
              <w:rPr>
                <w:rFonts w:cs="Calibri"/>
                <w:sz w:val="20"/>
                <w:szCs w:val="20"/>
              </w:rPr>
            </w:pPr>
            <w:r w:rsidRPr="0043099F">
              <w:rPr>
                <w:rFonts w:cs="Calibri"/>
                <w:sz w:val="20"/>
                <w:szCs w:val="20"/>
              </w:rPr>
              <w:t>Yes</w:t>
            </w:r>
          </w:p>
        </w:tc>
        <w:tc>
          <w:tcPr>
            <w:tcW w:w="829" w:type="dxa"/>
            <w:tcBorders>
              <w:top w:val="nil"/>
              <w:left w:val="nil"/>
              <w:bottom w:val="single" w:sz="4" w:space="0" w:color="auto"/>
              <w:right w:val="single" w:sz="4" w:space="0" w:color="auto"/>
            </w:tcBorders>
            <w:shd w:val="clear" w:color="auto" w:fill="auto"/>
            <w:noWrap/>
            <w:vAlign w:val="bottom"/>
            <w:hideMark/>
          </w:tcPr>
          <w:p w14:paraId="15272F89" w14:textId="77777777" w:rsidR="0043099F" w:rsidRPr="0043099F" w:rsidRDefault="0043099F" w:rsidP="0043099F">
            <w:pPr>
              <w:jc w:val="right"/>
              <w:rPr>
                <w:rFonts w:cs="Calibri"/>
                <w:sz w:val="22"/>
                <w:szCs w:val="22"/>
              </w:rPr>
            </w:pPr>
            <w:r w:rsidRPr="0043099F">
              <w:rPr>
                <w:rFonts w:cs="Calibri"/>
                <w:sz w:val="22"/>
                <w:szCs w:val="22"/>
              </w:rPr>
              <w:t>3,888</w:t>
            </w:r>
          </w:p>
        </w:tc>
        <w:tc>
          <w:tcPr>
            <w:tcW w:w="1067" w:type="dxa"/>
            <w:tcBorders>
              <w:top w:val="nil"/>
              <w:left w:val="nil"/>
              <w:bottom w:val="single" w:sz="4" w:space="0" w:color="auto"/>
              <w:right w:val="single" w:sz="4" w:space="0" w:color="auto"/>
            </w:tcBorders>
            <w:shd w:val="clear" w:color="auto" w:fill="auto"/>
            <w:noWrap/>
            <w:vAlign w:val="bottom"/>
            <w:hideMark/>
          </w:tcPr>
          <w:p w14:paraId="1B5748B4" w14:textId="77777777" w:rsidR="0043099F" w:rsidRPr="0043099F" w:rsidRDefault="0043099F" w:rsidP="0043099F">
            <w:pPr>
              <w:jc w:val="right"/>
              <w:rPr>
                <w:rFonts w:cs="Calibri"/>
                <w:sz w:val="22"/>
                <w:szCs w:val="22"/>
              </w:rPr>
            </w:pPr>
            <w:r w:rsidRPr="0043099F">
              <w:rPr>
                <w:rFonts w:cs="Calibri"/>
                <w:sz w:val="22"/>
                <w:szCs w:val="22"/>
              </w:rPr>
              <w:t>2.72</w:t>
            </w:r>
          </w:p>
        </w:tc>
        <w:tc>
          <w:tcPr>
            <w:tcW w:w="1067" w:type="dxa"/>
            <w:tcBorders>
              <w:top w:val="nil"/>
              <w:left w:val="nil"/>
              <w:bottom w:val="single" w:sz="4" w:space="0" w:color="auto"/>
              <w:right w:val="single" w:sz="4" w:space="0" w:color="auto"/>
            </w:tcBorders>
            <w:shd w:val="clear" w:color="auto" w:fill="auto"/>
            <w:noWrap/>
            <w:vAlign w:val="bottom"/>
            <w:hideMark/>
          </w:tcPr>
          <w:p w14:paraId="7E8CE220" w14:textId="77777777" w:rsidR="0043099F" w:rsidRPr="0043099F" w:rsidRDefault="0043099F" w:rsidP="0043099F">
            <w:pPr>
              <w:jc w:val="right"/>
              <w:rPr>
                <w:rFonts w:cs="Calibri"/>
                <w:sz w:val="22"/>
                <w:szCs w:val="22"/>
              </w:rPr>
            </w:pPr>
            <w:r w:rsidRPr="0043099F">
              <w:rPr>
                <w:rFonts w:cs="Calibri"/>
                <w:sz w:val="22"/>
                <w:szCs w:val="22"/>
              </w:rPr>
              <w:t>0.48</w:t>
            </w:r>
          </w:p>
        </w:tc>
        <w:tc>
          <w:tcPr>
            <w:tcW w:w="792" w:type="dxa"/>
            <w:tcBorders>
              <w:top w:val="nil"/>
              <w:left w:val="nil"/>
              <w:bottom w:val="single" w:sz="4" w:space="0" w:color="auto"/>
              <w:right w:val="single" w:sz="4" w:space="0" w:color="auto"/>
            </w:tcBorders>
            <w:shd w:val="clear" w:color="auto" w:fill="auto"/>
            <w:noWrap/>
            <w:vAlign w:val="bottom"/>
            <w:hideMark/>
          </w:tcPr>
          <w:p w14:paraId="7DCBE36D" w14:textId="77777777" w:rsidR="0043099F" w:rsidRPr="0043099F" w:rsidRDefault="0043099F" w:rsidP="0043099F">
            <w:pPr>
              <w:jc w:val="right"/>
              <w:rPr>
                <w:rFonts w:cs="Calibri"/>
                <w:sz w:val="22"/>
                <w:szCs w:val="22"/>
              </w:rPr>
            </w:pPr>
            <w:r w:rsidRPr="0043099F">
              <w:rPr>
                <w:rFonts w:cs="Calibri"/>
                <w:sz w:val="22"/>
                <w:szCs w:val="22"/>
              </w:rPr>
              <w:t>17.8%</w:t>
            </w:r>
          </w:p>
        </w:tc>
        <w:tc>
          <w:tcPr>
            <w:tcW w:w="1063" w:type="dxa"/>
            <w:tcBorders>
              <w:top w:val="nil"/>
              <w:left w:val="nil"/>
              <w:bottom w:val="single" w:sz="4" w:space="0" w:color="auto"/>
              <w:right w:val="single" w:sz="4" w:space="0" w:color="auto"/>
            </w:tcBorders>
            <w:shd w:val="clear" w:color="auto" w:fill="auto"/>
            <w:noWrap/>
            <w:vAlign w:val="bottom"/>
            <w:hideMark/>
          </w:tcPr>
          <w:p w14:paraId="11E0CBE7" w14:textId="77777777" w:rsidR="0043099F" w:rsidRPr="0043099F" w:rsidRDefault="0043099F" w:rsidP="0043099F">
            <w:pPr>
              <w:jc w:val="right"/>
              <w:rPr>
                <w:rFonts w:cs="Calibri"/>
                <w:sz w:val="22"/>
                <w:szCs w:val="22"/>
              </w:rPr>
            </w:pPr>
            <w:r w:rsidRPr="0043099F">
              <w:rPr>
                <w:rFonts w:cs="Calibri"/>
                <w:sz w:val="22"/>
                <w:szCs w:val="22"/>
              </w:rPr>
              <w:t>1.2</w:t>
            </w:r>
          </w:p>
        </w:tc>
        <w:tc>
          <w:tcPr>
            <w:tcW w:w="778" w:type="dxa"/>
            <w:tcBorders>
              <w:top w:val="nil"/>
              <w:left w:val="nil"/>
              <w:bottom w:val="single" w:sz="4" w:space="0" w:color="auto"/>
              <w:right w:val="single" w:sz="4" w:space="0" w:color="auto"/>
            </w:tcBorders>
            <w:shd w:val="clear" w:color="auto" w:fill="auto"/>
            <w:noWrap/>
            <w:vAlign w:val="bottom"/>
            <w:hideMark/>
          </w:tcPr>
          <w:p w14:paraId="77FB27C5" w14:textId="77777777" w:rsidR="0043099F" w:rsidRPr="0043099F" w:rsidRDefault="0043099F" w:rsidP="0043099F">
            <w:pPr>
              <w:jc w:val="right"/>
              <w:rPr>
                <w:rFonts w:cs="Calibri"/>
                <w:sz w:val="22"/>
                <w:szCs w:val="22"/>
              </w:rPr>
            </w:pPr>
            <w:r w:rsidRPr="0043099F">
              <w:rPr>
                <w:rFonts w:cs="Calibri"/>
                <w:sz w:val="22"/>
                <w:szCs w:val="22"/>
              </w:rPr>
              <w:t>100.1</w:t>
            </w:r>
          </w:p>
        </w:tc>
      </w:tr>
      <w:tr w:rsidR="0043099F" w:rsidRPr="0043099F" w14:paraId="455CA79C" w14:textId="77777777" w:rsidTr="00546AFB">
        <w:trPr>
          <w:trHeight w:val="30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7F3B0B35"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1729F4A8" w14:textId="77777777" w:rsidR="0043099F" w:rsidRPr="0043099F" w:rsidRDefault="0043099F" w:rsidP="0043099F">
            <w:pPr>
              <w:jc w:val="right"/>
              <w:rPr>
                <w:rFonts w:cs="Calibri"/>
                <w:sz w:val="22"/>
                <w:szCs w:val="22"/>
              </w:rPr>
            </w:pPr>
            <w:r w:rsidRPr="0043099F">
              <w:rPr>
                <w:rFonts w:cs="Calibri"/>
                <w:sz w:val="22"/>
                <w:szCs w:val="22"/>
              </w:rPr>
              <w:t>7/26/18</w:t>
            </w:r>
          </w:p>
        </w:tc>
        <w:tc>
          <w:tcPr>
            <w:tcW w:w="1238" w:type="dxa"/>
            <w:tcBorders>
              <w:top w:val="nil"/>
              <w:left w:val="nil"/>
              <w:bottom w:val="single" w:sz="4" w:space="0" w:color="auto"/>
              <w:right w:val="single" w:sz="4" w:space="0" w:color="auto"/>
            </w:tcBorders>
            <w:shd w:val="clear" w:color="auto" w:fill="auto"/>
            <w:noWrap/>
            <w:vAlign w:val="center"/>
            <w:hideMark/>
          </w:tcPr>
          <w:p w14:paraId="3F9B8302" w14:textId="77777777" w:rsidR="0043099F" w:rsidRPr="0043099F" w:rsidRDefault="0043099F" w:rsidP="0043099F">
            <w:pPr>
              <w:jc w:val="center"/>
              <w:rPr>
                <w:rFonts w:cs="Calibri"/>
                <w:sz w:val="20"/>
                <w:szCs w:val="20"/>
              </w:rPr>
            </w:pPr>
            <w:r w:rsidRPr="0043099F">
              <w:rPr>
                <w:rFonts w:cs="Calibri"/>
                <w:sz w:val="20"/>
                <w:szCs w:val="20"/>
              </w:rPr>
              <w:t>Yes</w:t>
            </w:r>
          </w:p>
        </w:tc>
        <w:tc>
          <w:tcPr>
            <w:tcW w:w="829" w:type="dxa"/>
            <w:tcBorders>
              <w:top w:val="nil"/>
              <w:left w:val="nil"/>
              <w:bottom w:val="single" w:sz="4" w:space="0" w:color="auto"/>
              <w:right w:val="single" w:sz="4" w:space="0" w:color="auto"/>
            </w:tcBorders>
            <w:shd w:val="clear" w:color="auto" w:fill="auto"/>
            <w:noWrap/>
            <w:vAlign w:val="bottom"/>
            <w:hideMark/>
          </w:tcPr>
          <w:p w14:paraId="4BFDC37C" w14:textId="77777777" w:rsidR="0043099F" w:rsidRPr="0043099F" w:rsidRDefault="0043099F" w:rsidP="0043099F">
            <w:pPr>
              <w:jc w:val="right"/>
              <w:rPr>
                <w:rFonts w:cs="Calibri"/>
                <w:sz w:val="22"/>
                <w:szCs w:val="22"/>
              </w:rPr>
            </w:pPr>
            <w:r w:rsidRPr="0043099F">
              <w:rPr>
                <w:rFonts w:cs="Calibri"/>
                <w:sz w:val="22"/>
                <w:szCs w:val="22"/>
              </w:rPr>
              <w:t>5,826</w:t>
            </w:r>
          </w:p>
        </w:tc>
        <w:tc>
          <w:tcPr>
            <w:tcW w:w="1067" w:type="dxa"/>
            <w:tcBorders>
              <w:top w:val="nil"/>
              <w:left w:val="nil"/>
              <w:bottom w:val="single" w:sz="4" w:space="0" w:color="auto"/>
              <w:right w:val="single" w:sz="4" w:space="0" w:color="auto"/>
            </w:tcBorders>
            <w:shd w:val="clear" w:color="auto" w:fill="auto"/>
            <w:noWrap/>
            <w:vAlign w:val="bottom"/>
            <w:hideMark/>
          </w:tcPr>
          <w:p w14:paraId="61414B21" w14:textId="77777777" w:rsidR="0043099F" w:rsidRPr="0043099F" w:rsidRDefault="0043099F" w:rsidP="0043099F">
            <w:pPr>
              <w:jc w:val="right"/>
              <w:rPr>
                <w:rFonts w:cs="Calibri"/>
                <w:sz w:val="22"/>
                <w:szCs w:val="22"/>
              </w:rPr>
            </w:pPr>
            <w:r w:rsidRPr="0043099F">
              <w:rPr>
                <w:rFonts w:cs="Calibri"/>
                <w:sz w:val="22"/>
                <w:szCs w:val="22"/>
              </w:rPr>
              <w:t>2.05</w:t>
            </w:r>
          </w:p>
        </w:tc>
        <w:tc>
          <w:tcPr>
            <w:tcW w:w="1067" w:type="dxa"/>
            <w:tcBorders>
              <w:top w:val="nil"/>
              <w:left w:val="nil"/>
              <w:bottom w:val="single" w:sz="4" w:space="0" w:color="auto"/>
              <w:right w:val="single" w:sz="4" w:space="0" w:color="auto"/>
            </w:tcBorders>
            <w:shd w:val="clear" w:color="auto" w:fill="auto"/>
            <w:noWrap/>
            <w:vAlign w:val="bottom"/>
            <w:hideMark/>
          </w:tcPr>
          <w:p w14:paraId="20EC1E16" w14:textId="77777777" w:rsidR="0043099F" w:rsidRPr="0043099F" w:rsidRDefault="0043099F" w:rsidP="0043099F">
            <w:pPr>
              <w:jc w:val="right"/>
              <w:rPr>
                <w:rFonts w:cs="Calibri"/>
                <w:sz w:val="22"/>
                <w:szCs w:val="22"/>
              </w:rPr>
            </w:pPr>
            <w:r w:rsidRPr="0043099F">
              <w:rPr>
                <w:rFonts w:cs="Calibri"/>
                <w:sz w:val="22"/>
                <w:szCs w:val="22"/>
              </w:rPr>
              <w:t>0.37</w:t>
            </w:r>
          </w:p>
        </w:tc>
        <w:tc>
          <w:tcPr>
            <w:tcW w:w="792" w:type="dxa"/>
            <w:tcBorders>
              <w:top w:val="nil"/>
              <w:left w:val="nil"/>
              <w:bottom w:val="single" w:sz="4" w:space="0" w:color="auto"/>
              <w:right w:val="single" w:sz="4" w:space="0" w:color="auto"/>
            </w:tcBorders>
            <w:shd w:val="clear" w:color="auto" w:fill="auto"/>
            <w:noWrap/>
            <w:vAlign w:val="bottom"/>
            <w:hideMark/>
          </w:tcPr>
          <w:p w14:paraId="1D4AF774" w14:textId="77777777" w:rsidR="0043099F" w:rsidRPr="0043099F" w:rsidRDefault="0043099F" w:rsidP="0043099F">
            <w:pPr>
              <w:jc w:val="right"/>
              <w:rPr>
                <w:rFonts w:cs="Calibri"/>
                <w:sz w:val="22"/>
                <w:szCs w:val="22"/>
              </w:rPr>
            </w:pPr>
            <w:r w:rsidRPr="0043099F">
              <w:rPr>
                <w:rFonts w:cs="Calibri"/>
                <w:sz w:val="22"/>
                <w:szCs w:val="22"/>
              </w:rPr>
              <w:t>18.1%</w:t>
            </w:r>
          </w:p>
        </w:tc>
        <w:tc>
          <w:tcPr>
            <w:tcW w:w="1063" w:type="dxa"/>
            <w:tcBorders>
              <w:top w:val="nil"/>
              <w:left w:val="nil"/>
              <w:bottom w:val="single" w:sz="4" w:space="0" w:color="auto"/>
              <w:right w:val="single" w:sz="4" w:space="0" w:color="auto"/>
            </w:tcBorders>
            <w:shd w:val="clear" w:color="auto" w:fill="auto"/>
            <w:noWrap/>
            <w:vAlign w:val="bottom"/>
            <w:hideMark/>
          </w:tcPr>
          <w:p w14:paraId="6003DF3A" w14:textId="77777777" w:rsidR="0043099F" w:rsidRPr="0043099F" w:rsidRDefault="0043099F" w:rsidP="0043099F">
            <w:pPr>
              <w:jc w:val="right"/>
              <w:rPr>
                <w:rFonts w:cs="Calibri"/>
                <w:sz w:val="22"/>
                <w:szCs w:val="22"/>
              </w:rPr>
            </w:pPr>
            <w:r w:rsidRPr="0043099F">
              <w:rPr>
                <w:rFonts w:cs="Calibri"/>
                <w:sz w:val="22"/>
                <w:szCs w:val="22"/>
              </w:rPr>
              <w:t>1.6</w:t>
            </w:r>
          </w:p>
        </w:tc>
        <w:tc>
          <w:tcPr>
            <w:tcW w:w="778" w:type="dxa"/>
            <w:tcBorders>
              <w:top w:val="nil"/>
              <w:left w:val="nil"/>
              <w:bottom w:val="single" w:sz="4" w:space="0" w:color="auto"/>
              <w:right w:val="single" w:sz="4" w:space="0" w:color="auto"/>
            </w:tcBorders>
            <w:shd w:val="clear" w:color="auto" w:fill="auto"/>
            <w:noWrap/>
            <w:vAlign w:val="bottom"/>
            <w:hideMark/>
          </w:tcPr>
          <w:p w14:paraId="0F9795DB" w14:textId="77777777" w:rsidR="0043099F" w:rsidRPr="0043099F" w:rsidRDefault="0043099F" w:rsidP="0043099F">
            <w:pPr>
              <w:jc w:val="right"/>
              <w:rPr>
                <w:rFonts w:cs="Calibri"/>
                <w:sz w:val="22"/>
                <w:szCs w:val="22"/>
              </w:rPr>
            </w:pPr>
            <w:r w:rsidRPr="0043099F">
              <w:rPr>
                <w:rFonts w:cs="Calibri"/>
                <w:sz w:val="22"/>
                <w:szCs w:val="22"/>
              </w:rPr>
              <w:t>90.4</w:t>
            </w:r>
          </w:p>
        </w:tc>
      </w:tr>
      <w:tr w:rsidR="0043099F" w:rsidRPr="0043099F" w14:paraId="7CCC3CA7" w14:textId="77777777" w:rsidTr="00546AFB">
        <w:trPr>
          <w:trHeight w:val="30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0E96D63B"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4BA53EA5" w14:textId="77777777" w:rsidR="0043099F" w:rsidRPr="0043099F" w:rsidRDefault="0043099F" w:rsidP="0043099F">
            <w:pPr>
              <w:jc w:val="right"/>
              <w:rPr>
                <w:rFonts w:cs="Calibri"/>
                <w:sz w:val="22"/>
                <w:szCs w:val="22"/>
              </w:rPr>
            </w:pPr>
            <w:r w:rsidRPr="0043099F">
              <w:rPr>
                <w:rFonts w:cs="Calibri"/>
                <w:sz w:val="22"/>
                <w:szCs w:val="22"/>
              </w:rPr>
              <w:t>7/27/18</w:t>
            </w:r>
          </w:p>
        </w:tc>
        <w:tc>
          <w:tcPr>
            <w:tcW w:w="1238" w:type="dxa"/>
            <w:tcBorders>
              <w:top w:val="nil"/>
              <w:left w:val="nil"/>
              <w:bottom w:val="single" w:sz="4" w:space="0" w:color="auto"/>
              <w:right w:val="single" w:sz="4" w:space="0" w:color="auto"/>
            </w:tcBorders>
            <w:shd w:val="clear" w:color="auto" w:fill="auto"/>
            <w:noWrap/>
            <w:vAlign w:val="center"/>
            <w:hideMark/>
          </w:tcPr>
          <w:p w14:paraId="1D611609"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309725CC" w14:textId="77777777" w:rsidR="0043099F" w:rsidRPr="0043099F" w:rsidRDefault="0043099F" w:rsidP="0043099F">
            <w:pPr>
              <w:jc w:val="right"/>
              <w:rPr>
                <w:rFonts w:cs="Calibri"/>
                <w:sz w:val="22"/>
                <w:szCs w:val="22"/>
              </w:rPr>
            </w:pPr>
            <w:r w:rsidRPr="0043099F">
              <w:rPr>
                <w:rFonts w:cs="Calibri"/>
                <w:sz w:val="22"/>
                <w:szCs w:val="22"/>
              </w:rPr>
              <w:t>107</w:t>
            </w:r>
          </w:p>
        </w:tc>
        <w:tc>
          <w:tcPr>
            <w:tcW w:w="1067" w:type="dxa"/>
            <w:tcBorders>
              <w:top w:val="nil"/>
              <w:left w:val="nil"/>
              <w:bottom w:val="single" w:sz="4" w:space="0" w:color="auto"/>
              <w:right w:val="single" w:sz="4" w:space="0" w:color="auto"/>
            </w:tcBorders>
            <w:shd w:val="clear" w:color="auto" w:fill="auto"/>
            <w:noWrap/>
            <w:vAlign w:val="bottom"/>
            <w:hideMark/>
          </w:tcPr>
          <w:p w14:paraId="3191C460" w14:textId="77777777" w:rsidR="0043099F" w:rsidRPr="0043099F" w:rsidRDefault="0043099F" w:rsidP="0043099F">
            <w:pPr>
              <w:jc w:val="right"/>
              <w:rPr>
                <w:rFonts w:cs="Calibri"/>
                <w:sz w:val="22"/>
                <w:szCs w:val="22"/>
              </w:rPr>
            </w:pPr>
            <w:r w:rsidRPr="0043099F">
              <w:rPr>
                <w:rFonts w:cs="Calibri"/>
                <w:sz w:val="22"/>
                <w:szCs w:val="22"/>
              </w:rPr>
              <w:t>1.63</w:t>
            </w:r>
          </w:p>
        </w:tc>
        <w:tc>
          <w:tcPr>
            <w:tcW w:w="1067" w:type="dxa"/>
            <w:tcBorders>
              <w:top w:val="nil"/>
              <w:left w:val="nil"/>
              <w:bottom w:val="single" w:sz="4" w:space="0" w:color="auto"/>
              <w:right w:val="single" w:sz="4" w:space="0" w:color="auto"/>
            </w:tcBorders>
            <w:shd w:val="clear" w:color="auto" w:fill="auto"/>
            <w:noWrap/>
            <w:vAlign w:val="bottom"/>
            <w:hideMark/>
          </w:tcPr>
          <w:p w14:paraId="4027525E" w14:textId="77777777" w:rsidR="0043099F" w:rsidRPr="0043099F" w:rsidRDefault="0043099F" w:rsidP="0043099F">
            <w:pPr>
              <w:jc w:val="right"/>
              <w:rPr>
                <w:rFonts w:cs="Calibri"/>
                <w:sz w:val="22"/>
                <w:szCs w:val="22"/>
              </w:rPr>
            </w:pPr>
            <w:r w:rsidRPr="0043099F">
              <w:rPr>
                <w:rFonts w:cs="Calibri"/>
                <w:sz w:val="22"/>
                <w:szCs w:val="22"/>
              </w:rPr>
              <w:t>0.03</w:t>
            </w:r>
          </w:p>
        </w:tc>
        <w:tc>
          <w:tcPr>
            <w:tcW w:w="792" w:type="dxa"/>
            <w:tcBorders>
              <w:top w:val="nil"/>
              <w:left w:val="nil"/>
              <w:bottom w:val="single" w:sz="4" w:space="0" w:color="auto"/>
              <w:right w:val="single" w:sz="4" w:space="0" w:color="auto"/>
            </w:tcBorders>
            <w:shd w:val="clear" w:color="auto" w:fill="auto"/>
            <w:noWrap/>
            <w:vAlign w:val="bottom"/>
            <w:hideMark/>
          </w:tcPr>
          <w:p w14:paraId="3F8FC288" w14:textId="77777777" w:rsidR="0043099F" w:rsidRPr="0043099F" w:rsidRDefault="0043099F" w:rsidP="0043099F">
            <w:pPr>
              <w:jc w:val="right"/>
              <w:rPr>
                <w:rFonts w:cs="Calibri"/>
                <w:sz w:val="22"/>
                <w:szCs w:val="22"/>
              </w:rPr>
            </w:pPr>
            <w:r w:rsidRPr="0043099F">
              <w:rPr>
                <w:rFonts w:cs="Calibri"/>
                <w:sz w:val="22"/>
                <w:szCs w:val="22"/>
              </w:rPr>
              <w:t>2.1%</w:t>
            </w:r>
          </w:p>
        </w:tc>
        <w:tc>
          <w:tcPr>
            <w:tcW w:w="1063" w:type="dxa"/>
            <w:tcBorders>
              <w:top w:val="nil"/>
              <w:left w:val="nil"/>
              <w:bottom w:val="single" w:sz="4" w:space="0" w:color="auto"/>
              <w:right w:val="single" w:sz="4" w:space="0" w:color="auto"/>
            </w:tcBorders>
            <w:shd w:val="clear" w:color="auto" w:fill="auto"/>
            <w:noWrap/>
            <w:vAlign w:val="bottom"/>
            <w:hideMark/>
          </w:tcPr>
          <w:p w14:paraId="0926A1D8" w14:textId="77777777" w:rsidR="0043099F" w:rsidRPr="0043099F" w:rsidRDefault="0043099F" w:rsidP="0043099F">
            <w:pPr>
              <w:jc w:val="right"/>
              <w:rPr>
                <w:rFonts w:cs="Calibri"/>
                <w:sz w:val="22"/>
                <w:szCs w:val="22"/>
              </w:rPr>
            </w:pPr>
            <w:r w:rsidRPr="0043099F">
              <w:rPr>
                <w:rFonts w:cs="Calibri"/>
                <w:sz w:val="22"/>
                <w:szCs w:val="22"/>
              </w:rPr>
              <w:t>0.0</w:t>
            </w:r>
          </w:p>
        </w:tc>
        <w:tc>
          <w:tcPr>
            <w:tcW w:w="778" w:type="dxa"/>
            <w:tcBorders>
              <w:top w:val="nil"/>
              <w:left w:val="nil"/>
              <w:bottom w:val="single" w:sz="4" w:space="0" w:color="auto"/>
              <w:right w:val="single" w:sz="4" w:space="0" w:color="auto"/>
            </w:tcBorders>
            <w:shd w:val="clear" w:color="auto" w:fill="auto"/>
            <w:noWrap/>
            <w:vAlign w:val="bottom"/>
            <w:hideMark/>
          </w:tcPr>
          <w:p w14:paraId="2A1B850E" w14:textId="77777777" w:rsidR="0043099F" w:rsidRPr="0043099F" w:rsidRDefault="0043099F" w:rsidP="0043099F">
            <w:pPr>
              <w:jc w:val="right"/>
              <w:rPr>
                <w:rFonts w:cs="Calibri"/>
                <w:sz w:val="22"/>
                <w:szCs w:val="22"/>
              </w:rPr>
            </w:pPr>
            <w:r w:rsidRPr="0043099F">
              <w:rPr>
                <w:rFonts w:cs="Calibri"/>
                <w:sz w:val="22"/>
                <w:szCs w:val="22"/>
              </w:rPr>
              <w:t>83.3</w:t>
            </w:r>
          </w:p>
        </w:tc>
      </w:tr>
      <w:tr w:rsidR="0043099F" w:rsidRPr="0043099F" w14:paraId="6E854A3E" w14:textId="77777777" w:rsidTr="00546AFB">
        <w:trPr>
          <w:trHeight w:val="30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423FD950"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2680BBA3" w14:textId="77777777" w:rsidR="0043099F" w:rsidRPr="0043099F" w:rsidRDefault="0043099F" w:rsidP="0043099F">
            <w:pPr>
              <w:jc w:val="right"/>
              <w:rPr>
                <w:rFonts w:cs="Calibri"/>
                <w:sz w:val="22"/>
                <w:szCs w:val="22"/>
              </w:rPr>
            </w:pPr>
            <w:r w:rsidRPr="0043099F">
              <w:rPr>
                <w:rFonts w:cs="Calibri"/>
                <w:sz w:val="22"/>
                <w:szCs w:val="22"/>
              </w:rPr>
              <w:t>8/8/18</w:t>
            </w:r>
          </w:p>
        </w:tc>
        <w:tc>
          <w:tcPr>
            <w:tcW w:w="1238" w:type="dxa"/>
            <w:tcBorders>
              <w:top w:val="nil"/>
              <w:left w:val="nil"/>
              <w:bottom w:val="single" w:sz="4" w:space="0" w:color="auto"/>
              <w:right w:val="single" w:sz="4" w:space="0" w:color="auto"/>
            </w:tcBorders>
            <w:shd w:val="clear" w:color="auto" w:fill="auto"/>
            <w:noWrap/>
            <w:vAlign w:val="center"/>
            <w:hideMark/>
          </w:tcPr>
          <w:p w14:paraId="33AB336F"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49E0ED49" w14:textId="77777777" w:rsidR="0043099F" w:rsidRPr="0043099F" w:rsidRDefault="0043099F" w:rsidP="0043099F">
            <w:pPr>
              <w:jc w:val="right"/>
              <w:rPr>
                <w:rFonts w:cs="Calibri"/>
                <w:sz w:val="22"/>
                <w:szCs w:val="22"/>
              </w:rPr>
            </w:pPr>
            <w:r w:rsidRPr="0043099F">
              <w:rPr>
                <w:rFonts w:cs="Calibri"/>
                <w:sz w:val="22"/>
                <w:szCs w:val="22"/>
              </w:rPr>
              <w:t>10,058</w:t>
            </w:r>
          </w:p>
        </w:tc>
        <w:tc>
          <w:tcPr>
            <w:tcW w:w="1067" w:type="dxa"/>
            <w:tcBorders>
              <w:top w:val="nil"/>
              <w:left w:val="nil"/>
              <w:bottom w:val="single" w:sz="4" w:space="0" w:color="auto"/>
              <w:right w:val="single" w:sz="4" w:space="0" w:color="auto"/>
            </w:tcBorders>
            <w:shd w:val="clear" w:color="auto" w:fill="auto"/>
            <w:noWrap/>
            <w:vAlign w:val="bottom"/>
            <w:hideMark/>
          </w:tcPr>
          <w:p w14:paraId="54FBD9B1" w14:textId="77777777" w:rsidR="0043099F" w:rsidRPr="0043099F" w:rsidRDefault="0043099F" w:rsidP="0043099F">
            <w:pPr>
              <w:jc w:val="right"/>
              <w:rPr>
                <w:rFonts w:cs="Calibri"/>
                <w:sz w:val="22"/>
                <w:szCs w:val="22"/>
              </w:rPr>
            </w:pPr>
            <w:r w:rsidRPr="0043099F">
              <w:rPr>
                <w:rFonts w:cs="Calibri"/>
                <w:sz w:val="22"/>
                <w:szCs w:val="22"/>
              </w:rPr>
              <w:t>2.17</w:t>
            </w:r>
          </w:p>
        </w:tc>
        <w:tc>
          <w:tcPr>
            <w:tcW w:w="1067" w:type="dxa"/>
            <w:tcBorders>
              <w:top w:val="nil"/>
              <w:left w:val="nil"/>
              <w:bottom w:val="single" w:sz="4" w:space="0" w:color="auto"/>
              <w:right w:val="single" w:sz="4" w:space="0" w:color="auto"/>
            </w:tcBorders>
            <w:shd w:val="clear" w:color="auto" w:fill="auto"/>
            <w:noWrap/>
            <w:vAlign w:val="bottom"/>
            <w:hideMark/>
          </w:tcPr>
          <w:p w14:paraId="5CDB42C6" w14:textId="77777777" w:rsidR="0043099F" w:rsidRPr="0043099F" w:rsidRDefault="0043099F" w:rsidP="0043099F">
            <w:pPr>
              <w:jc w:val="right"/>
              <w:rPr>
                <w:rFonts w:cs="Calibri"/>
                <w:sz w:val="22"/>
                <w:szCs w:val="22"/>
              </w:rPr>
            </w:pPr>
            <w:r w:rsidRPr="0043099F">
              <w:rPr>
                <w:rFonts w:cs="Calibri"/>
                <w:sz w:val="22"/>
                <w:szCs w:val="22"/>
              </w:rPr>
              <w:t>0.21</w:t>
            </w:r>
          </w:p>
        </w:tc>
        <w:tc>
          <w:tcPr>
            <w:tcW w:w="792" w:type="dxa"/>
            <w:tcBorders>
              <w:top w:val="nil"/>
              <w:left w:val="nil"/>
              <w:bottom w:val="single" w:sz="4" w:space="0" w:color="auto"/>
              <w:right w:val="single" w:sz="4" w:space="0" w:color="auto"/>
            </w:tcBorders>
            <w:shd w:val="clear" w:color="auto" w:fill="auto"/>
            <w:noWrap/>
            <w:vAlign w:val="bottom"/>
            <w:hideMark/>
          </w:tcPr>
          <w:p w14:paraId="629DA036" w14:textId="77777777" w:rsidR="0043099F" w:rsidRPr="0043099F" w:rsidRDefault="0043099F" w:rsidP="0043099F">
            <w:pPr>
              <w:jc w:val="right"/>
              <w:rPr>
                <w:rFonts w:cs="Calibri"/>
                <w:sz w:val="22"/>
                <w:szCs w:val="22"/>
              </w:rPr>
            </w:pPr>
            <w:r w:rsidRPr="0043099F">
              <w:rPr>
                <w:rFonts w:cs="Calibri"/>
                <w:sz w:val="22"/>
                <w:szCs w:val="22"/>
              </w:rPr>
              <w:t>9.7%</w:t>
            </w:r>
          </w:p>
        </w:tc>
        <w:tc>
          <w:tcPr>
            <w:tcW w:w="1063" w:type="dxa"/>
            <w:tcBorders>
              <w:top w:val="nil"/>
              <w:left w:val="nil"/>
              <w:bottom w:val="single" w:sz="4" w:space="0" w:color="auto"/>
              <w:right w:val="single" w:sz="4" w:space="0" w:color="auto"/>
            </w:tcBorders>
            <w:shd w:val="clear" w:color="auto" w:fill="auto"/>
            <w:noWrap/>
            <w:vAlign w:val="bottom"/>
            <w:hideMark/>
          </w:tcPr>
          <w:p w14:paraId="5418223D" w14:textId="77777777" w:rsidR="0043099F" w:rsidRPr="0043099F" w:rsidRDefault="0043099F" w:rsidP="0043099F">
            <w:pPr>
              <w:jc w:val="right"/>
              <w:rPr>
                <w:rFonts w:cs="Calibri"/>
                <w:sz w:val="22"/>
                <w:szCs w:val="22"/>
              </w:rPr>
            </w:pPr>
            <w:r w:rsidRPr="0043099F">
              <w:rPr>
                <w:rFonts w:cs="Calibri"/>
                <w:sz w:val="22"/>
                <w:szCs w:val="22"/>
              </w:rPr>
              <w:t>2.1</w:t>
            </w:r>
          </w:p>
        </w:tc>
        <w:tc>
          <w:tcPr>
            <w:tcW w:w="778" w:type="dxa"/>
            <w:tcBorders>
              <w:top w:val="nil"/>
              <w:left w:val="nil"/>
              <w:bottom w:val="single" w:sz="4" w:space="0" w:color="auto"/>
              <w:right w:val="single" w:sz="4" w:space="0" w:color="auto"/>
            </w:tcBorders>
            <w:shd w:val="clear" w:color="auto" w:fill="auto"/>
            <w:noWrap/>
            <w:vAlign w:val="bottom"/>
            <w:hideMark/>
          </w:tcPr>
          <w:p w14:paraId="3CE66A35" w14:textId="77777777" w:rsidR="0043099F" w:rsidRPr="0043099F" w:rsidRDefault="0043099F" w:rsidP="0043099F">
            <w:pPr>
              <w:jc w:val="right"/>
              <w:rPr>
                <w:rFonts w:cs="Calibri"/>
                <w:sz w:val="22"/>
                <w:szCs w:val="22"/>
              </w:rPr>
            </w:pPr>
            <w:r w:rsidRPr="0043099F">
              <w:rPr>
                <w:rFonts w:cs="Calibri"/>
                <w:sz w:val="22"/>
                <w:szCs w:val="22"/>
              </w:rPr>
              <w:t>95.8</w:t>
            </w:r>
          </w:p>
        </w:tc>
      </w:tr>
      <w:tr w:rsidR="0043099F" w:rsidRPr="0043099F" w14:paraId="561E7B72" w14:textId="77777777" w:rsidTr="00546AFB">
        <w:trPr>
          <w:trHeight w:val="30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0A7E284F"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24DD14E0" w14:textId="77777777" w:rsidR="0043099F" w:rsidRPr="0043099F" w:rsidRDefault="0043099F" w:rsidP="0043099F">
            <w:pPr>
              <w:jc w:val="right"/>
              <w:rPr>
                <w:rFonts w:cs="Calibri"/>
                <w:sz w:val="22"/>
                <w:szCs w:val="22"/>
              </w:rPr>
            </w:pPr>
            <w:r w:rsidRPr="0043099F">
              <w:rPr>
                <w:rFonts w:cs="Calibri"/>
                <w:sz w:val="22"/>
                <w:szCs w:val="22"/>
              </w:rPr>
              <w:t>8/9/18</w:t>
            </w:r>
          </w:p>
        </w:tc>
        <w:tc>
          <w:tcPr>
            <w:tcW w:w="1238" w:type="dxa"/>
            <w:tcBorders>
              <w:top w:val="nil"/>
              <w:left w:val="nil"/>
              <w:bottom w:val="single" w:sz="4" w:space="0" w:color="auto"/>
              <w:right w:val="single" w:sz="4" w:space="0" w:color="auto"/>
            </w:tcBorders>
            <w:shd w:val="clear" w:color="auto" w:fill="auto"/>
            <w:noWrap/>
            <w:vAlign w:val="center"/>
            <w:hideMark/>
          </w:tcPr>
          <w:p w14:paraId="5076955D"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704CEF44" w14:textId="77777777" w:rsidR="0043099F" w:rsidRPr="0043099F" w:rsidRDefault="0043099F" w:rsidP="0043099F">
            <w:pPr>
              <w:jc w:val="right"/>
              <w:rPr>
                <w:rFonts w:cs="Calibri"/>
                <w:sz w:val="22"/>
                <w:szCs w:val="22"/>
              </w:rPr>
            </w:pPr>
            <w:r w:rsidRPr="0043099F">
              <w:rPr>
                <w:rFonts w:cs="Calibri"/>
                <w:sz w:val="22"/>
                <w:szCs w:val="22"/>
              </w:rPr>
              <w:t>12,145</w:t>
            </w:r>
          </w:p>
        </w:tc>
        <w:tc>
          <w:tcPr>
            <w:tcW w:w="1067" w:type="dxa"/>
            <w:tcBorders>
              <w:top w:val="nil"/>
              <w:left w:val="nil"/>
              <w:bottom w:val="single" w:sz="4" w:space="0" w:color="auto"/>
              <w:right w:val="single" w:sz="4" w:space="0" w:color="auto"/>
            </w:tcBorders>
            <w:shd w:val="clear" w:color="auto" w:fill="auto"/>
            <w:noWrap/>
            <w:vAlign w:val="bottom"/>
            <w:hideMark/>
          </w:tcPr>
          <w:p w14:paraId="528405C7" w14:textId="77777777" w:rsidR="0043099F" w:rsidRPr="0043099F" w:rsidRDefault="0043099F" w:rsidP="0043099F">
            <w:pPr>
              <w:jc w:val="right"/>
              <w:rPr>
                <w:rFonts w:cs="Calibri"/>
                <w:sz w:val="22"/>
                <w:szCs w:val="22"/>
              </w:rPr>
            </w:pPr>
            <w:r w:rsidRPr="0043099F">
              <w:rPr>
                <w:rFonts w:cs="Calibri"/>
                <w:sz w:val="22"/>
                <w:szCs w:val="22"/>
              </w:rPr>
              <w:t>2.44</w:t>
            </w:r>
          </w:p>
        </w:tc>
        <w:tc>
          <w:tcPr>
            <w:tcW w:w="1067" w:type="dxa"/>
            <w:tcBorders>
              <w:top w:val="nil"/>
              <w:left w:val="nil"/>
              <w:bottom w:val="single" w:sz="4" w:space="0" w:color="auto"/>
              <w:right w:val="single" w:sz="4" w:space="0" w:color="auto"/>
            </w:tcBorders>
            <w:shd w:val="clear" w:color="auto" w:fill="auto"/>
            <w:noWrap/>
            <w:vAlign w:val="bottom"/>
            <w:hideMark/>
          </w:tcPr>
          <w:p w14:paraId="2DDE89B9" w14:textId="77777777" w:rsidR="0043099F" w:rsidRPr="0043099F" w:rsidRDefault="0043099F" w:rsidP="0043099F">
            <w:pPr>
              <w:jc w:val="right"/>
              <w:rPr>
                <w:rFonts w:cs="Calibri"/>
                <w:sz w:val="22"/>
                <w:szCs w:val="22"/>
              </w:rPr>
            </w:pPr>
            <w:r w:rsidRPr="0043099F">
              <w:rPr>
                <w:rFonts w:cs="Calibri"/>
                <w:sz w:val="22"/>
                <w:szCs w:val="22"/>
              </w:rPr>
              <w:t>0.29</w:t>
            </w:r>
          </w:p>
        </w:tc>
        <w:tc>
          <w:tcPr>
            <w:tcW w:w="792" w:type="dxa"/>
            <w:tcBorders>
              <w:top w:val="nil"/>
              <w:left w:val="nil"/>
              <w:bottom w:val="single" w:sz="4" w:space="0" w:color="auto"/>
              <w:right w:val="single" w:sz="4" w:space="0" w:color="auto"/>
            </w:tcBorders>
            <w:shd w:val="clear" w:color="auto" w:fill="auto"/>
            <w:noWrap/>
            <w:vAlign w:val="bottom"/>
            <w:hideMark/>
          </w:tcPr>
          <w:p w14:paraId="4D563D4C" w14:textId="77777777" w:rsidR="0043099F" w:rsidRPr="0043099F" w:rsidRDefault="0043099F" w:rsidP="0043099F">
            <w:pPr>
              <w:jc w:val="right"/>
              <w:rPr>
                <w:rFonts w:cs="Calibri"/>
                <w:sz w:val="22"/>
                <w:szCs w:val="22"/>
              </w:rPr>
            </w:pPr>
            <w:r w:rsidRPr="0043099F">
              <w:rPr>
                <w:rFonts w:cs="Calibri"/>
                <w:sz w:val="22"/>
                <w:szCs w:val="22"/>
              </w:rPr>
              <w:t>11.7%</w:t>
            </w:r>
          </w:p>
        </w:tc>
        <w:tc>
          <w:tcPr>
            <w:tcW w:w="1063" w:type="dxa"/>
            <w:tcBorders>
              <w:top w:val="nil"/>
              <w:left w:val="nil"/>
              <w:bottom w:val="single" w:sz="4" w:space="0" w:color="auto"/>
              <w:right w:val="single" w:sz="4" w:space="0" w:color="auto"/>
            </w:tcBorders>
            <w:shd w:val="clear" w:color="auto" w:fill="auto"/>
            <w:noWrap/>
            <w:vAlign w:val="bottom"/>
            <w:hideMark/>
          </w:tcPr>
          <w:p w14:paraId="007A6434" w14:textId="77777777" w:rsidR="0043099F" w:rsidRPr="0043099F" w:rsidRDefault="0043099F" w:rsidP="0043099F">
            <w:pPr>
              <w:jc w:val="right"/>
              <w:rPr>
                <w:rFonts w:cs="Calibri"/>
                <w:sz w:val="22"/>
                <w:szCs w:val="22"/>
              </w:rPr>
            </w:pPr>
            <w:r w:rsidRPr="0043099F">
              <w:rPr>
                <w:rFonts w:cs="Calibri"/>
                <w:sz w:val="22"/>
                <w:szCs w:val="22"/>
              </w:rPr>
              <w:t>3.5</w:t>
            </w:r>
          </w:p>
        </w:tc>
        <w:tc>
          <w:tcPr>
            <w:tcW w:w="778" w:type="dxa"/>
            <w:tcBorders>
              <w:top w:val="nil"/>
              <w:left w:val="nil"/>
              <w:bottom w:val="single" w:sz="4" w:space="0" w:color="auto"/>
              <w:right w:val="single" w:sz="4" w:space="0" w:color="auto"/>
            </w:tcBorders>
            <w:shd w:val="clear" w:color="auto" w:fill="auto"/>
            <w:noWrap/>
            <w:vAlign w:val="bottom"/>
            <w:hideMark/>
          </w:tcPr>
          <w:p w14:paraId="7262DF54" w14:textId="77777777" w:rsidR="0043099F" w:rsidRPr="0043099F" w:rsidRDefault="0043099F" w:rsidP="0043099F">
            <w:pPr>
              <w:jc w:val="right"/>
              <w:rPr>
                <w:rFonts w:cs="Calibri"/>
                <w:sz w:val="22"/>
                <w:szCs w:val="22"/>
              </w:rPr>
            </w:pPr>
            <w:r w:rsidRPr="0043099F">
              <w:rPr>
                <w:rFonts w:cs="Calibri"/>
                <w:sz w:val="22"/>
                <w:szCs w:val="22"/>
              </w:rPr>
              <w:t>99.4</w:t>
            </w:r>
          </w:p>
        </w:tc>
      </w:tr>
      <w:tr w:rsidR="0043099F" w:rsidRPr="0043099F" w14:paraId="61665683" w14:textId="77777777" w:rsidTr="00546AFB">
        <w:trPr>
          <w:trHeight w:val="30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6A72B960"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4E3E8678" w14:textId="77777777" w:rsidR="0043099F" w:rsidRPr="0043099F" w:rsidRDefault="0043099F" w:rsidP="0043099F">
            <w:pPr>
              <w:jc w:val="right"/>
              <w:rPr>
                <w:rFonts w:cs="Calibri"/>
                <w:sz w:val="22"/>
                <w:szCs w:val="22"/>
              </w:rPr>
            </w:pPr>
            <w:r w:rsidRPr="0043099F">
              <w:rPr>
                <w:rFonts w:cs="Calibri"/>
                <w:sz w:val="22"/>
                <w:szCs w:val="22"/>
              </w:rPr>
              <w:t>8/10/18</w:t>
            </w:r>
          </w:p>
        </w:tc>
        <w:tc>
          <w:tcPr>
            <w:tcW w:w="1238" w:type="dxa"/>
            <w:tcBorders>
              <w:top w:val="nil"/>
              <w:left w:val="nil"/>
              <w:bottom w:val="single" w:sz="4" w:space="0" w:color="auto"/>
              <w:right w:val="single" w:sz="4" w:space="0" w:color="auto"/>
            </w:tcBorders>
            <w:shd w:val="clear" w:color="auto" w:fill="auto"/>
            <w:noWrap/>
            <w:vAlign w:val="center"/>
            <w:hideMark/>
          </w:tcPr>
          <w:p w14:paraId="4FB98754"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1B898446" w14:textId="77777777" w:rsidR="0043099F" w:rsidRPr="0043099F" w:rsidRDefault="0043099F" w:rsidP="0043099F">
            <w:pPr>
              <w:jc w:val="right"/>
              <w:rPr>
                <w:rFonts w:cs="Calibri"/>
                <w:sz w:val="22"/>
                <w:szCs w:val="22"/>
              </w:rPr>
            </w:pPr>
            <w:r w:rsidRPr="0043099F">
              <w:rPr>
                <w:rFonts w:cs="Calibri"/>
                <w:sz w:val="22"/>
                <w:szCs w:val="22"/>
              </w:rPr>
              <w:t>4,993</w:t>
            </w:r>
          </w:p>
        </w:tc>
        <w:tc>
          <w:tcPr>
            <w:tcW w:w="1067" w:type="dxa"/>
            <w:tcBorders>
              <w:top w:val="nil"/>
              <w:left w:val="nil"/>
              <w:bottom w:val="single" w:sz="4" w:space="0" w:color="auto"/>
              <w:right w:val="single" w:sz="4" w:space="0" w:color="auto"/>
            </w:tcBorders>
            <w:shd w:val="clear" w:color="auto" w:fill="auto"/>
            <w:noWrap/>
            <w:vAlign w:val="bottom"/>
            <w:hideMark/>
          </w:tcPr>
          <w:p w14:paraId="05A43458" w14:textId="77777777" w:rsidR="0043099F" w:rsidRPr="0043099F" w:rsidRDefault="0043099F" w:rsidP="0043099F">
            <w:pPr>
              <w:jc w:val="right"/>
              <w:rPr>
                <w:rFonts w:cs="Calibri"/>
                <w:sz w:val="22"/>
                <w:szCs w:val="22"/>
              </w:rPr>
            </w:pPr>
            <w:r w:rsidRPr="0043099F">
              <w:rPr>
                <w:rFonts w:cs="Calibri"/>
                <w:sz w:val="22"/>
                <w:szCs w:val="22"/>
              </w:rPr>
              <w:t>2.79</w:t>
            </w:r>
          </w:p>
        </w:tc>
        <w:tc>
          <w:tcPr>
            <w:tcW w:w="1067" w:type="dxa"/>
            <w:tcBorders>
              <w:top w:val="nil"/>
              <w:left w:val="nil"/>
              <w:bottom w:val="single" w:sz="4" w:space="0" w:color="auto"/>
              <w:right w:val="single" w:sz="4" w:space="0" w:color="auto"/>
            </w:tcBorders>
            <w:shd w:val="clear" w:color="auto" w:fill="auto"/>
            <w:noWrap/>
            <w:vAlign w:val="bottom"/>
            <w:hideMark/>
          </w:tcPr>
          <w:p w14:paraId="0778CF51" w14:textId="77777777" w:rsidR="0043099F" w:rsidRPr="0043099F" w:rsidRDefault="0043099F" w:rsidP="0043099F">
            <w:pPr>
              <w:jc w:val="right"/>
              <w:rPr>
                <w:rFonts w:cs="Calibri"/>
                <w:sz w:val="22"/>
                <w:szCs w:val="22"/>
              </w:rPr>
            </w:pPr>
            <w:r w:rsidRPr="0043099F">
              <w:rPr>
                <w:rFonts w:cs="Calibri"/>
                <w:sz w:val="22"/>
                <w:szCs w:val="22"/>
              </w:rPr>
              <w:t>0.21</w:t>
            </w:r>
          </w:p>
        </w:tc>
        <w:tc>
          <w:tcPr>
            <w:tcW w:w="792" w:type="dxa"/>
            <w:tcBorders>
              <w:top w:val="nil"/>
              <w:left w:val="nil"/>
              <w:bottom w:val="single" w:sz="4" w:space="0" w:color="auto"/>
              <w:right w:val="single" w:sz="4" w:space="0" w:color="auto"/>
            </w:tcBorders>
            <w:shd w:val="clear" w:color="auto" w:fill="auto"/>
            <w:noWrap/>
            <w:vAlign w:val="bottom"/>
            <w:hideMark/>
          </w:tcPr>
          <w:p w14:paraId="40B60482" w14:textId="77777777" w:rsidR="0043099F" w:rsidRPr="0043099F" w:rsidRDefault="0043099F" w:rsidP="0043099F">
            <w:pPr>
              <w:jc w:val="right"/>
              <w:rPr>
                <w:rFonts w:cs="Calibri"/>
                <w:sz w:val="22"/>
                <w:szCs w:val="22"/>
              </w:rPr>
            </w:pPr>
            <w:r w:rsidRPr="0043099F">
              <w:rPr>
                <w:rFonts w:cs="Calibri"/>
                <w:sz w:val="22"/>
                <w:szCs w:val="22"/>
              </w:rPr>
              <w:t>7.7%</w:t>
            </w:r>
          </w:p>
        </w:tc>
        <w:tc>
          <w:tcPr>
            <w:tcW w:w="1063" w:type="dxa"/>
            <w:tcBorders>
              <w:top w:val="nil"/>
              <w:left w:val="nil"/>
              <w:bottom w:val="single" w:sz="4" w:space="0" w:color="auto"/>
              <w:right w:val="single" w:sz="4" w:space="0" w:color="auto"/>
            </w:tcBorders>
            <w:shd w:val="clear" w:color="auto" w:fill="auto"/>
            <w:noWrap/>
            <w:vAlign w:val="bottom"/>
            <w:hideMark/>
          </w:tcPr>
          <w:p w14:paraId="21D7BDE7" w14:textId="77777777" w:rsidR="0043099F" w:rsidRPr="0043099F" w:rsidRDefault="0043099F" w:rsidP="0043099F">
            <w:pPr>
              <w:jc w:val="right"/>
              <w:rPr>
                <w:rFonts w:cs="Calibri"/>
                <w:sz w:val="22"/>
                <w:szCs w:val="22"/>
              </w:rPr>
            </w:pPr>
            <w:r w:rsidRPr="0043099F">
              <w:rPr>
                <w:rFonts w:cs="Calibri"/>
                <w:sz w:val="22"/>
                <w:szCs w:val="22"/>
              </w:rPr>
              <w:t>1.1</w:t>
            </w:r>
          </w:p>
        </w:tc>
        <w:tc>
          <w:tcPr>
            <w:tcW w:w="778" w:type="dxa"/>
            <w:tcBorders>
              <w:top w:val="nil"/>
              <w:left w:val="nil"/>
              <w:bottom w:val="single" w:sz="4" w:space="0" w:color="auto"/>
              <w:right w:val="single" w:sz="4" w:space="0" w:color="auto"/>
            </w:tcBorders>
            <w:shd w:val="clear" w:color="auto" w:fill="auto"/>
            <w:noWrap/>
            <w:vAlign w:val="bottom"/>
            <w:hideMark/>
          </w:tcPr>
          <w:p w14:paraId="6C9D161D" w14:textId="77777777" w:rsidR="0043099F" w:rsidRPr="0043099F" w:rsidRDefault="0043099F" w:rsidP="0043099F">
            <w:pPr>
              <w:jc w:val="right"/>
              <w:rPr>
                <w:rFonts w:cs="Calibri"/>
                <w:sz w:val="22"/>
                <w:szCs w:val="22"/>
              </w:rPr>
            </w:pPr>
            <w:r w:rsidRPr="0043099F">
              <w:rPr>
                <w:rFonts w:cs="Calibri"/>
                <w:sz w:val="22"/>
                <w:szCs w:val="22"/>
              </w:rPr>
              <w:t>102.0</w:t>
            </w:r>
          </w:p>
        </w:tc>
      </w:tr>
      <w:tr w:rsidR="0043099F" w:rsidRPr="0043099F" w14:paraId="2C4919AB" w14:textId="77777777" w:rsidTr="00546AFB">
        <w:trPr>
          <w:trHeight w:val="30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2E11C2B9"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7A67F298" w14:textId="77777777" w:rsidR="0043099F" w:rsidRPr="0043099F" w:rsidRDefault="0043099F" w:rsidP="0043099F">
            <w:pPr>
              <w:jc w:val="right"/>
              <w:rPr>
                <w:rFonts w:cs="Calibri"/>
                <w:sz w:val="22"/>
                <w:szCs w:val="22"/>
              </w:rPr>
            </w:pPr>
            <w:r w:rsidRPr="0043099F">
              <w:rPr>
                <w:rFonts w:cs="Calibri"/>
                <w:sz w:val="22"/>
                <w:szCs w:val="22"/>
              </w:rPr>
              <w:t>9/26/18</w:t>
            </w:r>
          </w:p>
        </w:tc>
        <w:tc>
          <w:tcPr>
            <w:tcW w:w="1238" w:type="dxa"/>
            <w:tcBorders>
              <w:top w:val="nil"/>
              <w:left w:val="nil"/>
              <w:bottom w:val="single" w:sz="4" w:space="0" w:color="auto"/>
              <w:right w:val="single" w:sz="4" w:space="0" w:color="auto"/>
            </w:tcBorders>
            <w:shd w:val="clear" w:color="auto" w:fill="auto"/>
            <w:noWrap/>
            <w:vAlign w:val="center"/>
            <w:hideMark/>
          </w:tcPr>
          <w:p w14:paraId="00D2A4B0"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2C04A3F8" w14:textId="77777777" w:rsidR="0043099F" w:rsidRPr="0043099F" w:rsidRDefault="0043099F" w:rsidP="0043099F">
            <w:pPr>
              <w:jc w:val="right"/>
              <w:rPr>
                <w:rFonts w:cs="Calibri"/>
                <w:sz w:val="22"/>
                <w:szCs w:val="22"/>
              </w:rPr>
            </w:pPr>
            <w:r w:rsidRPr="0043099F">
              <w:rPr>
                <w:rFonts w:cs="Calibri"/>
                <w:sz w:val="22"/>
                <w:szCs w:val="22"/>
              </w:rPr>
              <w:t>108</w:t>
            </w:r>
          </w:p>
        </w:tc>
        <w:tc>
          <w:tcPr>
            <w:tcW w:w="1067" w:type="dxa"/>
            <w:tcBorders>
              <w:top w:val="nil"/>
              <w:left w:val="nil"/>
              <w:bottom w:val="single" w:sz="4" w:space="0" w:color="auto"/>
              <w:right w:val="single" w:sz="4" w:space="0" w:color="auto"/>
            </w:tcBorders>
            <w:shd w:val="clear" w:color="auto" w:fill="auto"/>
            <w:noWrap/>
            <w:vAlign w:val="bottom"/>
            <w:hideMark/>
          </w:tcPr>
          <w:p w14:paraId="49132521" w14:textId="77777777" w:rsidR="0043099F" w:rsidRPr="0043099F" w:rsidRDefault="0043099F" w:rsidP="0043099F">
            <w:pPr>
              <w:jc w:val="right"/>
              <w:rPr>
                <w:rFonts w:cs="Calibri"/>
                <w:sz w:val="22"/>
                <w:szCs w:val="22"/>
              </w:rPr>
            </w:pPr>
            <w:r w:rsidRPr="0043099F">
              <w:rPr>
                <w:rFonts w:cs="Calibri"/>
                <w:sz w:val="22"/>
                <w:szCs w:val="22"/>
              </w:rPr>
              <w:t>1.35</w:t>
            </w:r>
          </w:p>
        </w:tc>
        <w:tc>
          <w:tcPr>
            <w:tcW w:w="1067" w:type="dxa"/>
            <w:tcBorders>
              <w:top w:val="nil"/>
              <w:left w:val="nil"/>
              <w:bottom w:val="single" w:sz="4" w:space="0" w:color="auto"/>
              <w:right w:val="single" w:sz="4" w:space="0" w:color="auto"/>
            </w:tcBorders>
            <w:shd w:val="clear" w:color="auto" w:fill="auto"/>
            <w:noWrap/>
            <w:vAlign w:val="bottom"/>
            <w:hideMark/>
          </w:tcPr>
          <w:p w14:paraId="7E8445A1" w14:textId="77777777" w:rsidR="0043099F" w:rsidRPr="0043099F" w:rsidRDefault="0043099F" w:rsidP="0043099F">
            <w:pPr>
              <w:jc w:val="right"/>
              <w:rPr>
                <w:rFonts w:cs="Calibri"/>
                <w:sz w:val="22"/>
                <w:szCs w:val="22"/>
              </w:rPr>
            </w:pPr>
            <w:r w:rsidRPr="0043099F">
              <w:rPr>
                <w:rFonts w:cs="Calibri"/>
                <w:sz w:val="22"/>
                <w:szCs w:val="22"/>
              </w:rPr>
              <w:t>0.14</w:t>
            </w:r>
          </w:p>
        </w:tc>
        <w:tc>
          <w:tcPr>
            <w:tcW w:w="792" w:type="dxa"/>
            <w:tcBorders>
              <w:top w:val="nil"/>
              <w:left w:val="nil"/>
              <w:bottom w:val="single" w:sz="4" w:space="0" w:color="auto"/>
              <w:right w:val="single" w:sz="4" w:space="0" w:color="auto"/>
            </w:tcBorders>
            <w:shd w:val="clear" w:color="auto" w:fill="auto"/>
            <w:noWrap/>
            <w:vAlign w:val="bottom"/>
            <w:hideMark/>
          </w:tcPr>
          <w:p w14:paraId="33702388" w14:textId="77777777" w:rsidR="0043099F" w:rsidRPr="0043099F" w:rsidRDefault="0043099F" w:rsidP="0043099F">
            <w:pPr>
              <w:jc w:val="right"/>
              <w:rPr>
                <w:rFonts w:cs="Calibri"/>
                <w:sz w:val="22"/>
                <w:szCs w:val="22"/>
              </w:rPr>
            </w:pPr>
            <w:r w:rsidRPr="0043099F">
              <w:rPr>
                <w:rFonts w:cs="Calibri"/>
                <w:sz w:val="22"/>
                <w:szCs w:val="22"/>
              </w:rPr>
              <w:t>10.2%</w:t>
            </w:r>
          </w:p>
        </w:tc>
        <w:tc>
          <w:tcPr>
            <w:tcW w:w="1063" w:type="dxa"/>
            <w:tcBorders>
              <w:top w:val="nil"/>
              <w:left w:val="nil"/>
              <w:bottom w:val="single" w:sz="4" w:space="0" w:color="auto"/>
              <w:right w:val="single" w:sz="4" w:space="0" w:color="auto"/>
            </w:tcBorders>
            <w:shd w:val="clear" w:color="auto" w:fill="auto"/>
            <w:noWrap/>
            <w:vAlign w:val="bottom"/>
            <w:hideMark/>
          </w:tcPr>
          <w:p w14:paraId="700FDD90" w14:textId="77777777" w:rsidR="0043099F" w:rsidRPr="0043099F" w:rsidRDefault="0043099F" w:rsidP="0043099F">
            <w:pPr>
              <w:jc w:val="right"/>
              <w:rPr>
                <w:rFonts w:cs="Calibri"/>
                <w:sz w:val="22"/>
                <w:szCs w:val="22"/>
              </w:rPr>
            </w:pPr>
            <w:r w:rsidRPr="0043099F">
              <w:rPr>
                <w:rFonts w:cs="Calibri"/>
                <w:sz w:val="22"/>
                <w:szCs w:val="22"/>
              </w:rPr>
              <w:t>0.0</w:t>
            </w:r>
          </w:p>
        </w:tc>
        <w:tc>
          <w:tcPr>
            <w:tcW w:w="778" w:type="dxa"/>
            <w:tcBorders>
              <w:top w:val="nil"/>
              <w:left w:val="nil"/>
              <w:bottom w:val="single" w:sz="4" w:space="0" w:color="auto"/>
              <w:right w:val="single" w:sz="4" w:space="0" w:color="auto"/>
            </w:tcBorders>
            <w:shd w:val="clear" w:color="auto" w:fill="auto"/>
            <w:noWrap/>
            <w:vAlign w:val="bottom"/>
            <w:hideMark/>
          </w:tcPr>
          <w:p w14:paraId="2BB3D041" w14:textId="77777777" w:rsidR="0043099F" w:rsidRPr="0043099F" w:rsidRDefault="0043099F" w:rsidP="0043099F">
            <w:pPr>
              <w:jc w:val="right"/>
              <w:rPr>
                <w:rFonts w:cs="Calibri"/>
                <w:sz w:val="22"/>
                <w:szCs w:val="22"/>
              </w:rPr>
            </w:pPr>
            <w:r w:rsidRPr="0043099F">
              <w:rPr>
                <w:rFonts w:cs="Calibri"/>
                <w:sz w:val="22"/>
                <w:szCs w:val="22"/>
              </w:rPr>
              <w:t>95.6</w:t>
            </w:r>
          </w:p>
        </w:tc>
      </w:tr>
      <w:tr w:rsidR="0043099F" w:rsidRPr="0043099F" w14:paraId="7216B68F" w14:textId="77777777" w:rsidTr="00546AFB">
        <w:trPr>
          <w:trHeight w:val="300"/>
          <w:jc w:val="center"/>
        </w:trPr>
        <w:tc>
          <w:tcPr>
            <w:tcW w:w="10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A769D" w14:textId="1A01F179" w:rsidR="0043099F" w:rsidRPr="0043099F" w:rsidRDefault="00546AFB" w:rsidP="0043099F">
            <w:pPr>
              <w:jc w:val="center"/>
              <w:rPr>
                <w:rFonts w:cs="Calibri"/>
                <w:sz w:val="22"/>
                <w:szCs w:val="22"/>
              </w:rPr>
            </w:pPr>
            <w:r>
              <w:rPr>
                <w:rFonts w:cs="Calibri"/>
                <w:sz w:val="22"/>
                <w:szCs w:val="22"/>
              </w:rPr>
              <w:t>SmartAC™</w:t>
            </w:r>
            <w:r w:rsidR="0043099F" w:rsidRPr="0043099F">
              <w:rPr>
                <w:rFonts w:cs="Calibri"/>
                <w:sz w:val="22"/>
                <w:szCs w:val="22"/>
              </w:rPr>
              <w:t xml:space="preserve"> Only</w:t>
            </w:r>
          </w:p>
        </w:tc>
        <w:tc>
          <w:tcPr>
            <w:tcW w:w="944" w:type="dxa"/>
            <w:tcBorders>
              <w:top w:val="nil"/>
              <w:left w:val="nil"/>
              <w:bottom w:val="single" w:sz="4" w:space="0" w:color="auto"/>
              <w:right w:val="single" w:sz="4" w:space="0" w:color="auto"/>
            </w:tcBorders>
            <w:shd w:val="clear" w:color="auto" w:fill="auto"/>
            <w:noWrap/>
            <w:vAlign w:val="bottom"/>
            <w:hideMark/>
          </w:tcPr>
          <w:p w14:paraId="0E550F13" w14:textId="77777777" w:rsidR="0043099F" w:rsidRPr="0043099F" w:rsidRDefault="0043099F" w:rsidP="0043099F">
            <w:pPr>
              <w:jc w:val="right"/>
              <w:rPr>
                <w:rFonts w:cs="Calibri"/>
                <w:sz w:val="22"/>
                <w:szCs w:val="22"/>
              </w:rPr>
            </w:pPr>
            <w:r w:rsidRPr="0043099F">
              <w:rPr>
                <w:rFonts w:cs="Calibri"/>
                <w:sz w:val="22"/>
                <w:szCs w:val="22"/>
              </w:rPr>
              <w:t>7/23/18</w:t>
            </w:r>
          </w:p>
        </w:tc>
        <w:tc>
          <w:tcPr>
            <w:tcW w:w="1238" w:type="dxa"/>
            <w:tcBorders>
              <w:top w:val="nil"/>
              <w:left w:val="nil"/>
              <w:bottom w:val="single" w:sz="4" w:space="0" w:color="auto"/>
              <w:right w:val="single" w:sz="4" w:space="0" w:color="auto"/>
            </w:tcBorders>
            <w:shd w:val="clear" w:color="auto" w:fill="auto"/>
            <w:noWrap/>
            <w:vAlign w:val="center"/>
            <w:hideMark/>
          </w:tcPr>
          <w:p w14:paraId="702FFB8E"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7BD26481" w14:textId="77777777" w:rsidR="0043099F" w:rsidRPr="0043099F" w:rsidRDefault="0043099F" w:rsidP="0043099F">
            <w:pPr>
              <w:jc w:val="right"/>
              <w:rPr>
                <w:rFonts w:cs="Calibri"/>
                <w:sz w:val="22"/>
                <w:szCs w:val="22"/>
              </w:rPr>
            </w:pPr>
            <w:r w:rsidRPr="0043099F">
              <w:rPr>
                <w:rFonts w:cs="Calibri"/>
                <w:sz w:val="22"/>
                <w:szCs w:val="22"/>
              </w:rPr>
              <w:t>44,781</w:t>
            </w:r>
          </w:p>
        </w:tc>
        <w:tc>
          <w:tcPr>
            <w:tcW w:w="1067" w:type="dxa"/>
            <w:tcBorders>
              <w:top w:val="nil"/>
              <w:left w:val="nil"/>
              <w:bottom w:val="single" w:sz="4" w:space="0" w:color="auto"/>
              <w:right w:val="single" w:sz="4" w:space="0" w:color="auto"/>
            </w:tcBorders>
            <w:shd w:val="clear" w:color="auto" w:fill="auto"/>
            <w:noWrap/>
            <w:vAlign w:val="bottom"/>
            <w:hideMark/>
          </w:tcPr>
          <w:p w14:paraId="516694AF" w14:textId="77777777" w:rsidR="0043099F" w:rsidRPr="0043099F" w:rsidRDefault="0043099F" w:rsidP="0043099F">
            <w:pPr>
              <w:jc w:val="right"/>
              <w:rPr>
                <w:rFonts w:cs="Calibri"/>
                <w:sz w:val="22"/>
                <w:szCs w:val="22"/>
              </w:rPr>
            </w:pPr>
            <w:r w:rsidRPr="0043099F">
              <w:rPr>
                <w:rFonts w:cs="Calibri"/>
                <w:sz w:val="22"/>
                <w:szCs w:val="22"/>
              </w:rPr>
              <w:t>2.64</w:t>
            </w:r>
          </w:p>
        </w:tc>
        <w:tc>
          <w:tcPr>
            <w:tcW w:w="1067" w:type="dxa"/>
            <w:tcBorders>
              <w:top w:val="nil"/>
              <w:left w:val="nil"/>
              <w:bottom w:val="single" w:sz="4" w:space="0" w:color="auto"/>
              <w:right w:val="single" w:sz="4" w:space="0" w:color="auto"/>
            </w:tcBorders>
            <w:shd w:val="clear" w:color="auto" w:fill="auto"/>
            <w:noWrap/>
            <w:vAlign w:val="bottom"/>
            <w:hideMark/>
          </w:tcPr>
          <w:p w14:paraId="6762E619" w14:textId="77777777" w:rsidR="0043099F" w:rsidRPr="0043099F" w:rsidRDefault="0043099F" w:rsidP="0043099F">
            <w:pPr>
              <w:jc w:val="right"/>
              <w:rPr>
                <w:rFonts w:cs="Calibri"/>
                <w:sz w:val="22"/>
                <w:szCs w:val="22"/>
              </w:rPr>
            </w:pPr>
            <w:r w:rsidRPr="0043099F">
              <w:rPr>
                <w:rFonts w:cs="Calibri"/>
                <w:sz w:val="22"/>
                <w:szCs w:val="22"/>
              </w:rPr>
              <w:t>0.29</w:t>
            </w:r>
          </w:p>
        </w:tc>
        <w:tc>
          <w:tcPr>
            <w:tcW w:w="792" w:type="dxa"/>
            <w:tcBorders>
              <w:top w:val="nil"/>
              <w:left w:val="nil"/>
              <w:bottom w:val="single" w:sz="4" w:space="0" w:color="auto"/>
              <w:right w:val="single" w:sz="4" w:space="0" w:color="auto"/>
            </w:tcBorders>
            <w:shd w:val="clear" w:color="auto" w:fill="auto"/>
            <w:noWrap/>
            <w:vAlign w:val="bottom"/>
            <w:hideMark/>
          </w:tcPr>
          <w:p w14:paraId="582235D5" w14:textId="77777777" w:rsidR="0043099F" w:rsidRPr="0043099F" w:rsidRDefault="0043099F" w:rsidP="0043099F">
            <w:pPr>
              <w:jc w:val="right"/>
              <w:rPr>
                <w:rFonts w:cs="Calibri"/>
                <w:sz w:val="22"/>
                <w:szCs w:val="22"/>
              </w:rPr>
            </w:pPr>
            <w:r w:rsidRPr="0043099F">
              <w:rPr>
                <w:rFonts w:cs="Calibri"/>
                <w:sz w:val="22"/>
                <w:szCs w:val="22"/>
              </w:rPr>
              <w:t>11.0%</w:t>
            </w:r>
          </w:p>
        </w:tc>
        <w:tc>
          <w:tcPr>
            <w:tcW w:w="1063" w:type="dxa"/>
            <w:tcBorders>
              <w:top w:val="nil"/>
              <w:left w:val="nil"/>
              <w:bottom w:val="single" w:sz="4" w:space="0" w:color="auto"/>
              <w:right w:val="single" w:sz="4" w:space="0" w:color="auto"/>
            </w:tcBorders>
            <w:shd w:val="clear" w:color="auto" w:fill="auto"/>
            <w:noWrap/>
            <w:vAlign w:val="bottom"/>
            <w:hideMark/>
          </w:tcPr>
          <w:p w14:paraId="337803AC" w14:textId="77777777" w:rsidR="0043099F" w:rsidRPr="0043099F" w:rsidRDefault="0043099F" w:rsidP="0043099F">
            <w:pPr>
              <w:jc w:val="right"/>
              <w:rPr>
                <w:rFonts w:cs="Calibri"/>
                <w:sz w:val="22"/>
                <w:szCs w:val="22"/>
              </w:rPr>
            </w:pPr>
            <w:r w:rsidRPr="0043099F">
              <w:rPr>
                <w:rFonts w:cs="Calibri"/>
                <w:sz w:val="22"/>
                <w:szCs w:val="22"/>
              </w:rPr>
              <w:t>13.0</w:t>
            </w:r>
          </w:p>
        </w:tc>
        <w:tc>
          <w:tcPr>
            <w:tcW w:w="778" w:type="dxa"/>
            <w:tcBorders>
              <w:top w:val="nil"/>
              <w:left w:val="nil"/>
              <w:bottom w:val="single" w:sz="4" w:space="0" w:color="auto"/>
              <w:right w:val="single" w:sz="4" w:space="0" w:color="auto"/>
            </w:tcBorders>
            <w:shd w:val="clear" w:color="auto" w:fill="auto"/>
            <w:noWrap/>
            <w:vAlign w:val="bottom"/>
            <w:hideMark/>
          </w:tcPr>
          <w:p w14:paraId="1E31A86A" w14:textId="77777777" w:rsidR="0043099F" w:rsidRPr="0043099F" w:rsidRDefault="0043099F" w:rsidP="0043099F">
            <w:pPr>
              <w:jc w:val="right"/>
              <w:rPr>
                <w:rFonts w:cs="Calibri"/>
                <w:sz w:val="22"/>
                <w:szCs w:val="22"/>
              </w:rPr>
            </w:pPr>
            <w:r w:rsidRPr="0043099F">
              <w:rPr>
                <w:rFonts w:cs="Calibri"/>
                <w:sz w:val="22"/>
                <w:szCs w:val="22"/>
              </w:rPr>
              <w:t>98.3</w:t>
            </w:r>
          </w:p>
        </w:tc>
      </w:tr>
      <w:tr w:rsidR="0043099F" w:rsidRPr="0043099F" w14:paraId="57E0538A" w14:textId="77777777" w:rsidTr="00546AFB">
        <w:trPr>
          <w:trHeight w:val="300"/>
          <w:jc w:val="center"/>
        </w:trPr>
        <w:tc>
          <w:tcPr>
            <w:tcW w:w="1079" w:type="dxa"/>
            <w:vMerge/>
            <w:tcBorders>
              <w:top w:val="nil"/>
              <w:left w:val="single" w:sz="4" w:space="0" w:color="auto"/>
              <w:bottom w:val="single" w:sz="4" w:space="0" w:color="auto"/>
              <w:right w:val="single" w:sz="4" w:space="0" w:color="auto"/>
            </w:tcBorders>
            <w:vAlign w:val="center"/>
            <w:hideMark/>
          </w:tcPr>
          <w:p w14:paraId="6C6673CC"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31755006" w14:textId="77777777" w:rsidR="0043099F" w:rsidRPr="0043099F" w:rsidRDefault="0043099F" w:rsidP="0043099F">
            <w:pPr>
              <w:jc w:val="right"/>
              <w:rPr>
                <w:rFonts w:cs="Calibri"/>
                <w:sz w:val="22"/>
                <w:szCs w:val="22"/>
              </w:rPr>
            </w:pPr>
            <w:r w:rsidRPr="0043099F">
              <w:rPr>
                <w:rFonts w:cs="Calibri"/>
                <w:sz w:val="22"/>
                <w:szCs w:val="22"/>
              </w:rPr>
              <w:t>7/24/18</w:t>
            </w:r>
          </w:p>
        </w:tc>
        <w:tc>
          <w:tcPr>
            <w:tcW w:w="1238" w:type="dxa"/>
            <w:tcBorders>
              <w:top w:val="nil"/>
              <w:left w:val="nil"/>
              <w:bottom w:val="single" w:sz="4" w:space="0" w:color="auto"/>
              <w:right w:val="single" w:sz="4" w:space="0" w:color="auto"/>
            </w:tcBorders>
            <w:shd w:val="clear" w:color="auto" w:fill="auto"/>
            <w:noWrap/>
            <w:vAlign w:val="center"/>
            <w:hideMark/>
          </w:tcPr>
          <w:p w14:paraId="7C8BB3D8"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167F521E" w14:textId="77777777" w:rsidR="0043099F" w:rsidRPr="0043099F" w:rsidRDefault="0043099F" w:rsidP="0043099F">
            <w:pPr>
              <w:jc w:val="right"/>
              <w:rPr>
                <w:rFonts w:cs="Calibri"/>
                <w:sz w:val="22"/>
                <w:szCs w:val="22"/>
              </w:rPr>
            </w:pPr>
            <w:r w:rsidRPr="0043099F">
              <w:rPr>
                <w:rFonts w:cs="Calibri"/>
                <w:sz w:val="22"/>
                <w:szCs w:val="22"/>
              </w:rPr>
              <w:t>47,037</w:t>
            </w:r>
          </w:p>
        </w:tc>
        <w:tc>
          <w:tcPr>
            <w:tcW w:w="1067" w:type="dxa"/>
            <w:tcBorders>
              <w:top w:val="nil"/>
              <w:left w:val="nil"/>
              <w:bottom w:val="single" w:sz="4" w:space="0" w:color="auto"/>
              <w:right w:val="single" w:sz="4" w:space="0" w:color="auto"/>
            </w:tcBorders>
            <w:shd w:val="clear" w:color="auto" w:fill="auto"/>
            <w:noWrap/>
            <w:vAlign w:val="bottom"/>
            <w:hideMark/>
          </w:tcPr>
          <w:p w14:paraId="2D7E0B10" w14:textId="77777777" w:rsidR="0043099F" w:rsidRPr="0043099F" w:rsidRDefault="0043099F" w:rsidP="0043099F">
            <w:pPr>
              <w:jc w:val="right"/>
              <w:rPr>
                <w:rFonts w:cs="Calibri"/>
                <w:sz w:val="22"/>
                <w:szCs w:val="22"/>
              </w:rPr>
            </w:pPr>
            <w:r w:rsidRPr="0043099F">
              <w:rPr>
                <w:rFonts w:cs="Calibri"/>
                <w:sz w:val="22"/>
                <w:szCs w:val="22"/>
              </w:rPr>
              <w:t>2.72</w:t>
            </w:r>
          </w:p>
        </w:tc>
        <w:tc>
          <w:tcPr>
            <w:tcW w:w="1067" w:type="dxa"/>
            <w:tcBorders>
              <w:top w:val="nil"/>
              <w:left w:val="nil"/>
              <w:bottom w:val="single" w:sz="4" w:space="0" w:color="auto"/>
              <w:right w:val="single" w:sz="4" w:space="0" w:color="auto"/>
            </w:tcBorders>
            <w:shd w:val="clear" w:color="auto" w:fill="auto"/>
            <w:noWrap/>
            <w:vAlign w:val="bottom"/>
            <w:hideMark/>
          </w:tcPr>
          <w:p w14:paraId="577B2733" w14:textId="77777777" w:rsidR="0043099F" w:rsidRPr="0043099F" w:rsidRDefault="0043099F" w:rsidP="0043099F">
            <w:pPr>
              <w:jc w:val="right"/>
              <w:rPr>
                <w:rFonts w:cs="Calibri"/>
                <w:sz w:val="22"/>
                <w:szCs w:val="22"/>
              </w:rPr>
            </w:pPr>
            <w:r w:rsidRPr="0043099F">
              <w:rPr>
                <w:rFonts w:cs="Calibri"/>
                <w:sz w:val="22"/>
                <w:szCs w:val="22"/>
              </w:rPr>
              <w:t>0.30</w:t>
            </w:r>
          </w:p>
        </w:tc>
        <w:tc>
          <w:tcPr>
            <w:tcW w:w="792" w:type="dxa"/>
            <w:tcBorders>
              <w:top w:val="nil"/>
              <w:left w:val="nil"/>
              <w:bottom w:val="single" w:sz="4" w:space="0" w:color="auto"/>
              <w:right w:val="single" w:sz="4" w:space="0" w:color="auto"/>
            </w:tcBorders>
            <w:shd w:val="clear" w:color="auto" w:fill="auto"/>
            <w:noWrap/>
            <w:vAlign w:val="bottom"/>
            <w:hideMark/>
          </w:tcPr>
          <w:p w14:paraId="2A9BA6D2" w14:textId="77777777" w:rsidR="0043099F" w:rsidRPr="0043099F" w:rsidRDefault="0043099F" w:rsidP="0043099F">
            <w:pPr>
              <w:jc w:val="right"/>
              <w:rPr>
                <w:rFonts w:cs="Calibri"/>
                <w:sz w:val="22"/>
                <w:szCs w:val="22"/>
              </w:rPr>
            </w:pPr>
            <w:r w:rsidRPr="0043099F">
              <w:rPr>
                <w:rFonts w:cs="Calibri"/>
                <w:sz w:val="22"/>
                <w:szCs w:val="22"/>
              </w:rPr>
              <w:t>11.2%</w:t>
            </w:r>
          </w:p>
        </w:tc>
        <w:tc>
          <w:tcPr>
            <w:tcW w:w="1063" w:type="dxa"/>
            <w:tcBorders>
              <w:top w:val="nil"/>
              <w:left w:val="nil"/>
              <w:bottom w:val="single" w:sz="4" w:space="0" w:color="auto"/>
              <w:right w:val="single" w:sz="4" w:space="0" w:color="auto"/>
            </w:tcBorders>
            <w:shd w:val="clear" w:color="auto" w:fill="auto"/>
            <w:noWrap/>
            <w:vAlign w:val="bottom"/>
            <w:hideMark/>
          </w:tcPr>
          <w:p w14:paraId="305B9138" w14:textId="77777777" w:rsidR="0043099F" w:rsidRPr="0043099F" w:rsidRDefault="0043099F" w:rsidP="0043099F">
            <w:pPr>
              <w:jc w:val="right"/>
              <w:rPr>
                <w:rFonts w:cs="Calibri"/>
                <w:sz w:val="22"/>
                <w:szCs w:val="22"/>
              </w:rPr>
            </w:pPr>
            <w:r w:rsidRPr="0043099F">
              <w:rPr>
                <w:rFonts w:cs="Calibri"/>
                <w:sz w:val="22"/>
                <w:szCs w:val="22"/>
              </w:rPr>
              <w:t>11.5</w:t>
            </w:r>
          </w:p>
        </w:tc>
        <w:tc>
          <w:tcPr>
            <w:tcW w:w="778" w:type="dxa"/>
            <w:tcBorders>
              <w:top w:val="nil"/>
              <w:left w:val="nil"/>
              <w:bottom w:val="single" w:sz="4" w:space="0" w:color="auto"/>
              <w:right w:val="single" w:sz="4" w:space="0" w:color="auto"/>
            </w:tcBorders>
            <w:shd w:val="clear" w:color="auto" w:fill="auto"/>
            <w:noWrap/>
            <w:vAlign w:val="bottom"/>
            <w:hideMark/>
          </w:tcPr>
          <w:p w14:paraId="43DEDD65" w14:textId="77777777" w:rsidR="0043099F" w:rsidRPr="0043099F" w:rsidRDefault="0043099F" w:rsidP="0043099F">
            <w:pPr>
              <w:jc w:val="right"/>
              <w:rPr>
                <w:rFonts w:cs="Calibri"/>
                <w:sz w:val="22"/>
                <w:szCs w:val="22"/>
              </w:rPr>
            </w:pPr>
            <w:r w:rsidRPr="0043099F">
              <w:rPr>
                <w:rFonts w:cs="Calibri"/>
                <w:sz w:val="22"/>
                <w:szCs w:val="22"/>
              </w:rPr>
              <w:t>100.8</w:t>
            </w:r>
          </w:p>
        </w:tc>
      </w:tr>
      <w:tr w:rsidR="0043099F" w:rsidRPr="0043099F" w14:paraId="67F6ABEB" w14:textId="77777777" w:rsidTr="00546AFB">
        <w:trPr>
          <w:trHeight w:val="300"/>
          <w:jc w:val="center"/>
        </w:trPr>
        <w:tc>
          <w:tcPr>
            <w:tcW w:w="1079" w:type="dxa"/>
            <w:vMerge/>
            <w:tcBorders>
              <w:top w:val="nil"/>
              <w:left w:val="single" w:sz="4" w:space="0" w:color="auto"/>
              <w:bottom w:val="single" w:sz="4" w:space="0" w:color="auto"/>
              <w:right w:val="single" w:sz="4" w:space="0" w:color="auto"/>
            </w:tcBorders>
            <w:vAlign w:val="center"/>
            <w:hideMark/>
          </w:tcPr>
          <w:p w14:paraId="53F1CBE5"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7E27E635" w14:textId="77777777" w:rsidR="0043099F" w:rsidRPr="0043099F" w:rsidRDefault="0043099F" w:rsidP="0043099F">
            <w:pPr>
              <w:jc w:val="right"/>
              <w:rPr>
                <w:rFonts w:cs="Calibri"/>
                <w:sz w:val="22"/>
                <w:szCs w:val="22"/>
              </w:rPr>
            </w:pPr>
            <w:r w:rsidRPr="0043099F">
              <w:rPr>
                <w:rFonts w:cs="Calibri"/>
                <w:sz w:val="22"/>
                <w:szCs w:val="22"/>
              </w:rPr>
              <w:t>7/25/18</w:t>
            </w:r>
          </w:p>
        </w:tc>
        <w:tc>
          <w:tcPr>
            <w:tcW w:w="1238" w:type="dxa"/>
            <w:tcBorders>
              <w:top w:val="nil"/>
              <w:left w:val="nil"/>
              <w:bottom w:val="single" w:sz="4" w:space="0" w:color="auto"/>
              <w:right w:val="single" w:sz="4" w:space="0" w:color="auto"/>
            </w:tcBorders>
            <w:shd w:val="clear" w:color="auto" w:fill="auto"/>
            <w:noWrap/>
            <w:vAlign w:val="center"/>
            <w:hideMark/>
          </w:tcPr>
          <w:p w14:paraId="5BB76D2C" w14:textId="77777777" w:rsidR="0043099F" w:rsidRPr="0043099F" w:rsidRDefault="0043099F" w:rsidP="0043099F">
            <w:pPr>
              <w:jc w:val="center"/>
              <w:rPr>
                <w:rFonts w:cs="Calibri"/>
                <w:sz w:val="20"/>
                <w:szCs w:val="20"/>
              </w:rPr>
            </w:pPr>
            <w:r w:rsidRPr="0043099F">
              <w:rPr>
                <w:rFonts w:cs="Calibri"/>
                <w:sz w:val="20"/>
                <w:szCs w:val="20"/>
              </w:rPr>
              <w:t>Yes</w:t>
            </w:r>
          </w:p>
        </w:tc>
        <w:tc>
          <w:tcPr>
            <w:tcW w:w="829" w:type="dxa"/>
            <w:tcBorders>
              <w:top w:val="nil"/>
              <w:left w:val="nil"/>
              <w:bottom w:val="single" w:sz="4" w:space="0" w:color="auto"/>
              <w:right w:val="single" w:sz="4" w:space="0" w:color="auto"/>
            </w:tcBorders>
            <w:shd w:val="clear" w:color="auto" w:fill="auto"/>
            <w:noWrap/>
            <w:vAlign w:val="bottom"/>
            <w:hideMark/>
          </w:tcPr>
          <w:p w14:paraId="26E41CCF" w14:textId="77777777" w:rsidR="0043099F" w:rsidRPr="0043099F" w:rsidRDefault="0043099F" w:rsidP="0043099F">
            <w:pPr>
              <w:jc w:val="right"/>
              <w:rPr>
                <w:rFonts w:cs="Calibri"/>
                <w:sz w:val="22"/>
                <w:szCs w:val="22"/>
              </w:rPr>
            </w:pPr>
            <w:r w:rsidRPr="0043099F">
              <w:rPr>
                <w:rFonts w:cs="Calibri"/>
                <w:sz w:val="22"/>
                <w:szCs w:val="22"/>
              </w:rPr>
              <w:t>20,269</w:t>
            </w:r>
          </w:p>
        </w:tc>
        <w:tc>
          <w:tcPr>
            <w:tcW w:w="1067" w:type="dxa"/>
            <w:tcBorders>
              <w:top w:val="nil"/>
              <w:left w:val="nil"/>
              <w:bottom w:val="single" w:sz="4" w:space="0" w:color="auto"/>
              <w:right w:val="single" w:sz="4" w:space="0" w:color="auto"/>
            </w:tcBorders>
            <w:shd w:val="clear" w:color="auto" w:fill="auto"/>
            <w:noWrap/>
            <w:vAlign w:val="bottom"/>
            <w:hideMark/>
          </w:tcPr>
          <w:p w14:paraId="1831F34A" w14:textId="77777777" w:rsidR="0043099F" w:rsidRPr="0043099F" w:rsidRDefault="0043099F" w:rsidP="0043099F">
            <w:pPr>
              <w:jc w:val="right"/>
              <w:rPr>
                <w:rFonts w:cs="Calibri"/>
                <w:sz w:val="22"/>
                <w:szCs w:val="22"/>
              </w:rPr>
            </w:pPr>
            <w:r w:rsidRPr="0043099F">
              <w:rPr>
                <w:rFonts w:cs="Calibri"/>
                <w:sz w:val="22"/>
                <w:szCs w:val="22"/>
              </w:rPr>
              <w:t>2.87</w:t>
            </w:r>
          </w:p>
        </w:tc>
        <w:tc>
          <w:tcPr>
            <w:tcW w:w="1067" w:type="dxa"/>
            <w:tcBorders>
              <w:top w:val="nil"/>
              <w:left w:val="nil"/>
              <w:bottom w:val="single" w:sz="4" w:space="0" w:color="auto"/>
              <w:right w:val="single" w:sz="4" w:space="0" w:color="auto"/>
            </w:tcBorders>
            <w:shd w:val="clear" w:color="auto" w:fill="auto"/>
            <w:noWrap/>
            <w:vAlign w:val="bottom"/>
            <w:hideMark/>
          </w:tcPr>
          <w:p w14:paraId="4F4F194D" w14:textId="77777777" w:rsidR="0043099F" w:rsidRPr="0043099F" w:rsidRDefault="0043099F" w:rsidP="0043099F">
            <w:pPr>
              <w:jc w:val="right"/>
              <w:rPr>
                <w:rFonts w:cs="Calibri"/>
                <w:sz w:val="22"/>
                <w:szCs w:val="22"/>
              </w:rPr>
            </w:pPr>
            <w:r w:rsidRPr="0043099F">
              <w:rPr>
                <w:rFonts w:cs="Calibri"/>
                <w:sz w:val="22"/>
                <w:szCs w:val="22"/>
              </w:rPr>
              <w:t>0.44</w:t>
            </w:r>
          </w:p>
        </w:tc>
        <w:tc>
          <w:tcPr>
            <w:tcW w:w="792" w:type="dxa"/>
            <w:tcBorders>
              <w:top w:val="nil"/>
              <w:left w:val="nil"/>
              <w:bottom w:val="single" w:sz="4" w:space="0" w:color="auto"/>
              <w:right w:val="single" w:sz="4" w:space="0" w:color="auto"/>
            </w:tcBorders>
            <w:shd w:val="clear" w:color="auto" w:fill="auto"/>
            <w:noWrap/>
            <w:vAlign w:val="bottom"/>
            <w:hideMark/>
          </w:tcPr>
          <w:p w14:paraId="288A7A63" w14:textId="77777777" w:rsidR="0043099F" w:rsidRPr="0043099F" w:rsidRDefault="0043099F" w:rsidP="0043099F">
            <w:pPr>
              <w:jc w:val="right"/>
              <w:rPr>
                <w:rFonts w:cs="Calibri"/>
                <w:sz w:val="22"/>
                <w:szCs w:val="22"/>
              </w:rPr>
            </w:pPr>
            <w:r w:rsidRPr="0043099F">
              <w:rPr>
                <w:rFonts w:cs="Calibri"/>
                <w:sz w:val="22"/>
                <w:szCs w:val="22"/>
              </w:rPr>
              <w:t>15.4%</w:t>
            </w:r>
          </w:p>
        </w:tc>
        <w:tc>
          <w:tcPr>
            <w:tcW w:w="1063" w:type="dxa"/>
            <w:tcBorders>
              <w:top w:val="nil"/>
              <w:left w:val="nil"/>
              <w:bottom w:val="single" w:sz="4" w:space="0" w:color="auto"/>
              <w:right w:val="single" w:sz="4" w:space="0" w:color="auto"/>
            </w:tcBorders>
            <w:shd w:val="clear" w:color="auto" w:fill="auto"/>
            <w:noWrap/>
            <w:vAlign w:val="bottom"/>
            <w:hideMark/>
          </w:tcPr>
          <w:p w14:paraId="6385F284" w14:textId="77777777" w:rsidR="0043099F" w:rsidRPr="0043099F" w:rsidRDefault="0043099F" w:rsidP="0043099F">
            <w:pPr>
              <w:jc w:val="right"/>
              <w:rPr>
                <w:rFonts w:cs="Calibri"/>
                <w:sz w:val="22"/>
                <w:szCs w:val="22"/>
              </w:rPr>
            </w:pPr>
            <w:r w:rsidRPr="0043099F">
              <w:rPr>
                <w:rFonts w:cs="Calibri"/>
                <w:sz w:val="22"/>
                <w:szCs w:val="22"/>
              </w:rPr>
              <w:t>4.7</w:t>
            </w:r>
          </w:p>
        </w:tc>
        <w:tc>
          <w:tcPr>
            <w:tcW w:w="778" w:type="dxa"/>
            <w:tcBorders>
              <w:top w:val="nil"/>
              <w:left w:val="nil"/>
              <w:bottom w:val="single" w:sz="4" w:space="0" w:color="auto"/>
              <w:right w:val="single" w:sz="4" w:space="0" w:color="auto"/>
            </w:tcBorders>
            <w:shd w:val="clear" w:color="auto" w:fill="auto"/>
            <w:noWrap/>
            <w:vAlign w:val="bottom"/>
            <w:hideMark/>
          </w:tcPr>
          <w:p w14:paraId="24B5A7E4" w14:textId="77777777" w:rsidR="0043099F" w:rsidRPr="0043099F" w:rsidRDefault="0043099F" w:rsidP="0043099F">
            <w:pPr>
              <w:jc w:val="right"/>
              <w:rPr>
                <w:rFonts w:cs="Calibri"/>
                <w:sz w:val="22"/>
                <w:szCs w:val="22"/>
              </w:rPr>
            </w:pPr>
            <w:r w:rsidRPr="0043099F">
              <w:rPr>
                <w:rFonts w:cs="Calibri"/>
                <w:sz w:val="22"/>
                <w:szCs w:val="22"/>
              </w:rPr>
              <w:t>100.9</w:t>
            </w:r>
          </w:p>
        </w:tc>
      </w:tr>
      <w:tr w:rsidR="0043099F" w:rsidRPr="0043099F" w14:paraId="5235B3BE" w14:textId="77777777" w:rsidTr="00546AFB">
        <w:trPr>
          <w:trHeight w:val="300"/>
          <w:jc w:val="center"/>
        </w:trPr>
        <w:tc>
          <w:tcPr>
            <w:tcW w:w="1079" w:type="dxa"/>
            <w:vMerge/>
            <w:tcBorders>
              <w:top w:val="nil"/>
              <w:left w:val="single" w:sz="4" w:space="0" w:color="auto"/>
              <w:bottom w:val="single" w:sz="4" w:space="0" w:color="auto"/>
              <w:right w:val="single" w:sz="4" w:space="0" w:color="auto"/>
            </w:tcBorders>
            <w:vAlign w:val="center"/>
            <w:hideMark/>
          </w:tcPr>
          <w:p w14:paraId="7D2E4B41"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740A0A99" w14:textId="77777777" w:rsidR="0043099F" w:rsidRPr="0043099F" w:rsidRDefault="0043099F" w:rsidP="0043099F">
            <w:pPr>
              <w:jc w:val="right"/>
              <w:rPr>
                <w:rFonts w:cs="Calibri"/>
                <w:sz w:val="22"/>
                <w:szCs w:val="22"/>
              </w:rPr>
            </w:pPr>
            <w:r w:rsidRPr="0043099F">
              <w:rPr>
                <w:rFonts w:cs="Calibri"/>
                <w:sz w:val="22"/>
                <w:szCs w:val="22"/>
              </w:rPr>
              <w:t>7/26/18</w:t>
            </w:r>
          </w:p>
        </w:tc>
        <w:tc>
          <w:tcPr>
            <w:tcW w:w="1238" w:type="dxa"/>
            <w:tcBorders>
              <w:top w:val="nil"/>
              <w:left w:val="nil"/>
              <w:bottom w:val="single" w:sz="4" w:space="0" w:color="auto"/>
              <w:right w:val="single" w:sz="4" w:space="0" w:color="auto"/>
            </w:tcBorders>
            <w:shd w:val="clear" w:color="auto" w:fill="auto"/>
            <w:noWrap/>
            <w:vAlign w:val="center"/>
            <w:hideMark/>
          </w:tcPr>
          <w:p w14:paraId="404597E0" w14:textId="77777777" w:rsidR="0043099F" w:rsidRPr="0043099F" w:rsidRDefault="0043099F" w:rsidP="0043099F">
            <w:pPr>
              <w:jc w:val="center"/>
              <w:rPr>
                <w:rFonts w:cs="Calibri"/>
                <w:sz w:val="20"/>
                <w:szCs w:val="20"/>
              </w:rPr>
            </w:pPr>
            <w:r w:rsidRPr="0043099F">
              <w:rPr>
                <w:rFonts w:cs="Calibri"/>
                <w:sz w:val="20"/>
                <w:szCs w:val="20"/>
              </w:rPr>
              <w:t>Yes</w:t>
            </w:r>
          </w:p>
        </w:tc>
        <w:tc>
          <w:tcPr>
            <w:tcW w:w="829" w:type="dxa"/>
            <w:tcBorders>
              <w:top w:val="nil"/>
              <w:left w:val="nil"/>
              <w:bottom w:val="single" w:sz="4" w:space="0" w:color="auto"/>
              <w:right w:val="single" w:sz="4" w:space="0" w:color="auto"/>
            </w:tcBorders>
            <w:shd w:val="clear" w:color="auto" w:fill="auto"/>
            <w:noWrap/>
            <w:vAlign w:val="bottom"/>
            <w:hideMark/>
          </w:tcPr>
          <w:p w14:paraId="48E055CD" w14:textId="77777777" w:rsidR="0043099F" w:rsidRPr="0043099F" w:rsidRDefault="0043099F" w:rsidP="0043099F">
            <w:pPr>
              <w:jc w:val="right"/>
              <w:rPr>
                <w:rFonts w:cs="Calibri"/>
                <w:sz w:val="22"/>
                <w:szCs w:val="22"/>
              </w:rPr>
            </w:pPr>
            <w:r w:rsidRPr="0043099F">
              <w:rPr>
                <w:rFonts w:cs="Calibri"/>
                <w:sz w:val="22"/>
                <w:szCs w:val="22"/>
              </w:rPr>
              <w:t>28,088</w:t>
            </w:r>
          </w:p>
        </w:tc>
        <w:tc>
          <w:tcPr>
            <w:tcW w:w="1067" w:type="dxa"/>
            <w:tcBorders>
              <w:top w:val="nil"/>
              <w:left w:val="nil"/>
              <w:bottom w:val="single" w:sz="4" w:space="0" w:color="auto"/>
              <w:right w:val="single" w:sz="4" w:space="0" w:color="auto"/>
            </w:tcBorders>
            <w:shd w:val="clear" w:color="auto" w:fill="auto"/>
            <w:noWrap/>
            <w:vAlign w:val="bottom"/>
            <w:hideMark/>
          </w:tcPr>
          <w:p w14:paraId="614862C0" w14:textId="77777777" w:rsidR="0043099F" w:rsidRPr="0043099F" w:rsidRDefault="0043099F" w:rsidP="0043099F">
            <w:pPr>
              <w:jc w:val="right"/>
              <w:rPr>
                <w:rFonts w:cs="Calibri"/>
                <w:sz w:val="22"/>
                <w:szCs w:val="22"/>
              </w:rPr>
            </w:pPr>
            <w:r w:rsidRPr="0043099F">
              <w:rPr>
                <w:rFonts w:cs="Calibri"/>
                <w:sz w:val="22"/>
                <w:szCs w:val="22"/>
              </w:rPr>
              <w:t>2.14</w:t>
            </w:r>
          </w:p>
        </w:tc>
        <w:tc>
          <w:tcPr>
            <w:tcW w:w="1067" w:type="dxa"/>
            <w:tcBorders>
              <w:top w:val="nil"/>
              <w:left w:val="nil"/>
              <w:bottom w:val="single" w:sz="4" w:space="0" w:color="auto"/>
              <w:right w:val="single" w:sz="4" w:space="0" w:color="auto"/>
            </w:tcBorders>
            <w:shd w:val="clear" w:color="auto" w:fill="auto"/>
            <w:noWrap/>
            <w:vAlign w:val="bottom"/>
            <w:hideMark/>
          </w:tcPr>
          <w:p w14:paraId="31015251" w14:textId="77777777" w:rsidR="0043099F" w:rsidRPr="0043099F" w:rsidRDefault="0043099F" w:rsidP="0043099F">
            <w:pPr>
              <w:jc w:val="right"/>
              <w:rPr>
                <w:rFonts w:cs="Calibri"/>
                <w:sz w:val="22"/>
                <w:szCs w:val="22"/>
              </w:rPr>
            </w:pPr>
            <w:r w:rsidRPr="0043099F">
              <w:rPr>
                <w:rFonts w:cs="Calibri"/>
                <w:sz w:val="22"/>
                <w:szCs w:val="22"/>
              </w:rPr>
              <w:t>0.31</w:t>
            </w:r>
          </w:p>
        </w:tc>
        <w:tc>
          <w:tcPr>
            <w:tcW w:w="792" w:type="dxa"/>
            <w:tcBorders>
              <w:top w:val="nil"/>
              <w:left w:val="nil"/>
              <w:bottom w:val="single" w:sz="4" w:space="0" w:color="auto"/>
              <w:right w:val="single" w:sz="4" w:space="0" w:color="auto"/>
            </w:tcBorders>
            <w:shd w:val="clear" w:color="auto" w:fill="auto"/>
            <w:noWrap/>
            <w:vAlign w:val="bottom"/>
            <w:hideMark/>
          </w:tcPr>
          <w:p w14:paraId="1ABFBCDA" w14:textId="77777777" w:rsidR="0043099F" w:rsidRPr="0043099F" w:rsidRDefault="0043099F" w:rsidP="0043099F">
            <w:pPr>
              <w:jc w:val="right"/>
              <w:rPr>
                <w:rFonts w:cs="Calibri"/>
                <w:sz w:val="22"/>
                <w:szCs w:val="22"/>
              </w:rPr>
            </w:pPr>
            <w:r w:rsidRPr="0043099F">
              <w:rPr>
                <w:rFonts w:cs="Calibri"/>
                <w:sz w:val="22"/>
                <w:szCs w:val="22"/>
              </w:rPr>
              <w:t>14.7%</w:t>
            </w:r>
          </w:p>
        </w:tc>
        <w:tc>
          <w:tcPr>
            <w:tcW w:w="1063" w:type="dxa"/>
            <w:tcBorders>
              <w:top w:val="nil"/>
              <w:left w:val="nil"/>
              <w:bottom w:val="single" w:sz="4" w:space="0" w:color="auto"/>
              <w:right w:val="single" w:sz="4" w:space="0" w:color="auto"/>
            </w:tcBorders>
            <w:shd w:val="clear" w:color="auto" w:fill="auto"/>
            <w:noWrap/>
            <w:vAlign w:val="bottom"/>
            <w:hideMark/>
          </w:tcPr>
          <w:p w14:paraId="48BCBF5A" w14:textId="77777777" w:rsidR="0043099F" w:rsidRPr="0043099F" w:rsidRDefault="0043099F" w:rsidP="0043099F">
            <w:pPr>
              <w:jc w:val="right"/>
              <w:rPr>
                <w:rFonts w:cs="Calibri"/>
                <w:sz w:val="22"/>
                <w:szCs w:val="22"/>
              </w:rPr>
            </w:pPr>
            <w:r w:rsidRPr="0043099F">
              <w:rPr>
                <w:rFonts w:cs="Calibri"/>
                <w:sz w:val="22"/>
                <w:szCs w:val="22"/>
              </w:rPr>
              <w:t>6.6</w:t>
            </w:r>
          </w:p>
        </w:tc>
        <w:tc>
          <w:tcPr>
            <w:tcW w:w="778" w:type="dxa"/>
            <w:tcBorders>
              <w:top w:val="nil"/>
              <w:left w:val="nil"/>
              <w:bottom w:val="single" w:sz="4" w:space="0" w:color="auto"/>
              <w:right w:val="single" w:sz="4" w:space="0" w:color="auto"/>
            </w:tcBorders>
            <w:shd w:val="clear" w:color="auto" w:fill="auto"/>
            <w:noWrap/>
            <w:vAlign w:val="bottom"/>
            <w:hideMark/>
          </w:tcPr>
          <w:p w14:paraId="0C05B677" w14:textId="77777777" w:rsidR="0043099F" w:rsidRPr="0043099F" w:rsidRDefault="0043099F" w:rsidP="0043099F">
            <w:pPr>
              <w:jc w:val="right"/>
              <w:rPr>
                <w:rFonts w:cs="Calibri"/>
                <w:sz w:val="22"/>
                <w:szCs w:val="22"/>
              </w:rPr>
            </w:pPr>
            <w:r w:rsidRPr="0043099F">
              <w:rPr>
                <w:rFonts w:cs="Calibri"/>
                <w:sz w:val="22"/>
                <w:szCs w:val="22"/>
              </w:rPr>
              <w:t>90.7</w:t>
            </w:r>
          </w:p>
        </w:tc>
      </w:tr>
      <w:tr w:rsidR="0043099F" w:rsidRPr="0043099F" w14:paraId="67BE033F" w14:textId="77777777" w:rsidTr="00546AFB">
        <w:trPr>
          <w:trHeight w:val="300"/>
          <w:jc w:val="center"/>
        </w:trPr>
        <w:tc>
          <w:tcPr>
            <w:tcW w:w="1079" w:type="dxa"/>
            <w:vMerge/>
            <w:tcBorders>
              <w:top w:val="nil"/>
              <w:left w:val="single" w:sz="4" w:space="0" w:color="auto"/>
              <w:bottom w:val="single" w:sz="4" w:space="0" w:color="auto"/>
              <w:right w:val="single" w:sz="4" w:space="0" w:color="auto"/>
            </w:tcBorders>
            <w:vAlign w:val="center"/>
            <w:hideMark/>
          </w:tcPr>
          <w:p w14:paraId="713D68EC"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5BEF0AF6" w14:textId="77777777" w:rsidR="0043099F" w:rsidRPr="0043099F" w:rsidRDefault="0043099F" w:rsidP="0043099F">
            <w:pPr>
              <w:jc w:val="right"/>
              <w:rPr>
                <w:rFonts w:cs="Calibri"/>
                <w:sz w:val="22"/>
                <w:szCs w:val="22"/>
              </w:rPr>
            </w:pPr>
            <w:r w:rsidRPr="0043099F">
              <w:rPr>
                <w:rFonts w:cs="Calibri"/>
                <w:sz w:val="22"/>
                <w:szCs w:val="22"/>
              </w:rPr>
              <w:t>7/27/18</w:t>
            </w:r>
          </w:p>
        </w:tc>
        <w:tc>
          <w:tcPr>
            <w:tcW w:w="1238" w:type="dxa"/>
            <w:tcBorders>
              <w:top w:val="nil"/>
              <w:left w:val="nil"/>
              <w:bottom w:val="single" w:sz="4" w:space="0" w:color="auto"/>
              <w:right w:val="single" w:sz="4" w:space="0" w:color="auto"/>
            </w:tcBorders>
            <w:shd w:val="clear" w:color="auto" w:fill="auto"/>
            <w:noWrap/>
            <w:vAlign w:val="center"/>
            <w:hideMark/>
          </w:tcPr>
          <w:p w14:paraId="7C84687D"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7EA97D8A" w14:textId="77777777" w:rsidR="0043099F" w:rsidRPr="0043099F" w:rsidRDefault="0043099F" w:rsidP="0043099F">
            <w:pPr>
              <w:jc w:val="right"/>
              <w:rPr>
                <w:rFonts w:cs="Calibri"/>
                <w:sz w:val="22"/>
                <w:szCs w:val="22"/>
              </w:rPr>
            </w:pPr>
            <w:r w:rsidRPr="0043099F">
              <w:rPr>
                <w:rFonts w:cs="Calibri"/>
                <w:sz w:val="22"/>
                <w:szCs w:val="22"/>
              </w:rPr>
              <w:t>624</w:t>
            </w:r>
          </w:p>
        </w:tc>
        <w:tc>
          <w:tcPr>
            <w:tcW w:w="1067" w:type="dxa"/>
            <w:tcBorders>
              <w:top w:val="nil"/>
              <w:left w:val="nil"/>
              <w:bottom w:val="single" w:sz="4" w:space="0" w:color="auto"/>
              <w:right w:val="single" w:sz="4" w:space="0" w:color="auto"/>
            </w:tcBorders>
            <w:shd w:val="clear" w:color="auto" w:fill="auto"/>
            <w:noWrap/>
            <w:vAlign w:val="bottom"/>
            <w:hideMark/>
          </w:tcPr>
          <w:p w14:paraId="47421A55" w14:textId="77777777" w:rsidR="0043099F" w:rsidRPr="0043099F" w:rsidRDefault="0043099F" w:rsidP="0043099F">
            <w:pPr>
              <w:jc w:val="right"/>
              <w:rPr>
                <w:rFonts w:cs="Calibri"/>
                <w:sz w:val="22"/>
                <w:szCs w:val="22"/>
              </w:rPr>
            </w:pPr>
            <w:r w:rsidRPr="0043099F">
              <w:rPr>
                <w:rFonts w:cs="Calibri"/>
                <w:sz w:val="22"/>
                <w:szCs w:val="22"/>
              </w:rPr>
              <w:t>1.60</w:t>
            </w:r>
          </w:p>
        </w:tc>
        <w:tc>
          <w:tcPr>
            <w:tcW w:w="1067" w:type="dxa"/>
            <w:tcBorders>
              <w:top w:val="nil"/>
              <w:left w:val="nil"/>
              <w:bottom w:val="single" w:sz="4" w:space="0" w:color="auto"/>
              <w:right w:val="single" w:sz="4" w:space="0" w:color="auto"/>
            </w:tcBorders>
            <w:shd w:val="clear" w:color="auto" w:fill="auto"/>
            <w:noWrap/>
            <w:vAlign w:val="bottom"/>
            <w:hideMark/>
          </w:tcPr>
          <w:p w14:paraId="4DF90AD1" w14:textId="77777777" w:rsidR="0043099F" w:rsidRPr="0043099F" w:rsidRDefault="0043099F" w:rsidP="0043099F">
            <w:pPr>
              <w:jc w:val="right"/>
              <w:rPr>
                <w:rFonts w:cs="Calibri"/>
                <w:sz w:val="22"/>
                <w:szCs w:val="22"/>
              </w:rPr>
            </w:pPr>
            <w:r w:rsidRPr="0043099F">
              <w:rPr>
                <w:rFonts w:cs="Calibri"/>
                <w:sz w:val="22"/>
                <w:szCs w:val="22"/>
              </w:rPr>
              <w:t>0.07</w:t>
            </w:r>
          </w:p>
        </w:tc>
        <w:tc>
          <w:tcPr>
            <w:tcW w:w="792" w:type="dxa"/>
            <w:tcBorders>
              <w:top w:val="nil"/>
              <w:left w:val="nil"/>
              <w:bottom w:val="single" w:sz="4" w:space="0" w:color="auto"/>
              <w:right w:val="single" w:sz="4" w:space="0" w:color="auto"/>
            </w:tcBorders>
            <w:shd w:val="clear" w:color="auto" w:fill="auto"/>
            <w:noWrap/>
            <w:vAlign w:val="bottom"/>
            <w:hideMark/>
          </w:tcPr>
          <w:p w14:paraId="6620C8E4" w14:textId="77777777" w:rsidR="0043099F" w:rsidRPr="0043099F" w:rsidRDefault="0043099F" w:rsidP="0043099F">
            <w:pPr>
              <w:jc w:val="right"/>
              <w:rPr>
                <w:rFonts w:cs="Calibri"/>
                <w:sz w:val="22"/>
                <w:szCs w:val="22"/>
              </w:rPr>
            </w:pPr>
            <w:r w:rsidRPr="0043099F">
              <w:rPr>
                <w:rFonts w:cs="Calibri"/>
                <w:sz w:val="22"/>
                <w:szCs w:val="22"/>
              </w:rPr>
              <w:t>4.1%</w:t>
            </w:r>
          </w:p>
        </w:tc>
        <w:tc>
          <w:tcPr>
            <w:tcW w:w="1063" w:type="dxa"/>
            <w:tcBorders>
              <w:top w:val="nil"/>
              <w:left w:val="nil"/>
              <w:bottom w:val="single" w:sz="4" w:space="0" w:color="auto"/>
              <w:right w:val="single" w:sz="4" w:space="0" w:color="auto"/>
            </w:tcBorders>
            <w:shd w:val="clear" w:color="auto" w:fill="auto"/>
            <w:noWrap/>
            <w:vAlign w:val="bottom"/>
            <w:hideMark/>
          </w:tcPr>
          <w:p w14:paraId="12C7D249" w14:textId="77777777" w:rsidR="0043099F" w:rsidRPr="0043099F" w:rsidRDefault="0043099F" w:rsidP="0043099F">
            <w:pPr>
              <w:jc w:val="right"/>
              <w:rPr>
                <w:rFonts w:cs="Calibri"/>
                <w:sz w:val="22"/>
                <w:szCs w:val="22"/>
              </w:rPr>
            </w:pPr>
            <w:r w:rsidRPr="0043099F">
              <w:rPr>
                <w:rFonts w:cs="Calibri"/>
                <w:sz w:val="22"/>
                <w:szCs w:val="22"/>
              </w:rPr>
              <w:t>0.0</w:t>
            </w:r>
          </w:p>
        </w:tc>
        <w:tc>
          <w:tcPr>
            <w:tcW w:w="778" w:type="dxa"/>
            <w:tcBorders>
              <w:top w:val="nil"/>
              <w:left w:val="nil"/>
              <w:bottom w:val="single" w:sz="4" w:space="0" w:color="auto"/>
              <w:right w:val="single" w:sz="4" w:space="0" w:color="auto"/>
            </w:tcBorders>
            <w:shd w:val="clear" w:color="auto" w:fill="auto"/>
            <w:noWrap/>
            <w:vAlign w:val="bottom"/>
            <w:hideMark/>
          </w:tcPr>
          <w:p w14:paraId="16DAECE0" w14:textId="77777777" w:rsidR="0043099F" w:rsidRPr="0043099F" w:rsidRDefault="0043099F" w:rsidP="0043099F">
            <w:pPr>
              <w:jc w:val="right"/>
              <w:rPr>
                <w:rFonts w:cs="Calibri"/>
                <w:sz w:val="22"/>
                <w:szCs w:val="22"/>
              </w:rPr>
            </w:pPr>
            <w:r w:rsidRPr="0043099F">
              <w:rPr>
                <w:rFonts w:cs="Calibri"/>
                <w:sz w:val="22"/>
                <w:szCs w:val="22"/>
              </w:rPr>
              <w:t>78.4</w:t>
            </w:r>
          </w:p>
        </w:tc>
      </w:tr>
      <w:tr w:rsidR="0043099F" w:rsidRPr="0043099F" w14:paraId="4D4B5F5F" w14:textId="77777777" w:rsidTr="00546AFB">
        <w:trPr>
          <w:trHeight w:val="300"/>
          <w:jc w:val="center"/>
        </w:trPr>
        <w:tc>
          <w:tcPr>
            <w:tcW w:w="1079" w:type="dxa"/>
            <w:vMerge/>
            <w:tcBorders>
              <w:top w:val="nil"/>
              <w:left w:val="single" w:sz="4" w:space="0" w:color="auto"/>
              <w:bottom w:val="single" w:sz="4" w:space="0" w:color="auto"/>
              <w:right w:val="single" w:sz="4" w:space="0" w:color="auto"/>
            </w:tcBorders>
            <w:vAlign w:val="center"/>
            <w:hideMark/>
          </w:tcPr>
          <w:p w14:paraId="7F8F78BA"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3E17668A" w14:textId="77777777" w:rsidR="0043099F" w:rsidRPr="0043099F" w:rsidRDefault="0043099F" w:rsidP="0043099F">
            <w:pPr>
              <w:jc w:val="right"/>
              <w:rPr>
                <w:rFonts w:cs="Calibri"/>
                <w:sz w:val="22"/>
                <w:szCs w:val="22"/>
              </w:rPr>
            </w:pPr>
            <w:r w:rsidRPr="0043099F">
              <w:rPr>
                <w:rFonts w:cs="Calibri"/>
                <w:sz w:val="22"/>
                <w:szCs w:val="22"/>
              </w:rPr>
              <w:t>8/8/18</w:t>
            </w:r>
          </w:p>
        </w:tc>
        <w:tc>
          <w:tcPr>
            <w:tcW w:w="1238" w:type="dxa"/>
            <w:tcBorders>
              <w:top w:val="nil"/>
              <w:left w:val="nil"/>
              <w:bottom w:val="single" w:sz="4" w:space="0" w:color="auto"/>
              <w:right w:val="single" w:sz="4" w:space="0" w:color="auto"/>
            </w:tcBorders>
            <w:shd w:val="clear" w:color="auto" w:fill="auto"/>
            <w:noWrap/>
            <w:vAlign w:val="center"/>
            <w:hideMark/>
          </w:tcPr>
          <w:p w14:paraId="22C5966C"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1128825B" w14:textId="77777777" w:rsidR="0043099F" w:rsidRPr="0043099F" w:rsidRDefault="0043099F" w:rsidP="0043099F">
            <w:pPr>
              <w:jc w:val="right"/>
              <w:rPr>
                <w:rFonts w:cs="Calibri"/>
                <w:sz w:val="22"/>
                <w:szCs w:val="22"/>
              </w:rPr>
            </w:pPr>
            <w:r w:rsidRPr="0043099F">
              <w:rPr>
                <w:rFonts w:cs="Calibri"/>
                <w:sz w:val="22"/>
                <w:szCs w:val="22"/>
              </w:rPr>
              <w:t>43,744</w:t>
            </w:r>
          </w:p>
        </w:tc>
        <w:tc>
          <w:tcPr>
            <w:tcW w:w="1067" w:type="dxa"/>
            <w:tcBorders>
              <w:top w:val="nil"/>
              <w:left w:val="nil"/>
              <w:bottom w:val="single" w:sz="4" w:space="0" w:color="auto"/>
              <w:right w:val="single" w:sz="4" w:space="0" w:color="auto"/>
            </w:tcBorders>
            <w:shd w:val="clear" w:color="auto" w:fill="auto"/>
            <w:noWrap/>
            <w:vAlign w:val="bottom"/>
            <w:hideMark/>
          </w:tcPr>
          <w:p w14:paraId="5A1D9DB8" w14:textId="77777777" w:rsidR="0043099F" w:rsidRPr="0043099F" w:rsidRDefault="0043099F" w:rsidP="0043099F">
            <w:pPr>
              <w:jc w:val="right"/>
              <w:rPr>
                <w:rFonts w:cs="Calibri"/>
                <w:sz w:val="22"/>
                <w:szCs w:val="22"/>
              </w:rPr>
            </w:pPr>
            <w:r w:rsidRPr="0043099F">
              <w:rPr>
                <w:rFonts w:cs="Calibri"/>
                <w:sz w:val="22"/>
                <w:szCs w:val="22"/>
              </w:rPr>
              <w:t>2.16</w:t>
            </w:r>
          </w:p>
        </w:tc>
        <w:tc>
          <w:tcPr>
            <w:tcW w:w="1067" w:type="dxa"/>
            <w:tcBorders>
              <w:top w:val="nil"/>
              <w:left w:val="nil"/>
              <w:bottom w:val="single" w:sz="4" w:space="0" w:color="auto"/>
              <w:right w:val="single" w:sz="4" w:space="0" w:color="auto"/>
            </w:tcBorders>
            <w:shd w:val="clear" w:color="auto" w:fill="auto"/>
            <w:noWrap/>
            <w:vAlign w:val="bottom"/>
            <w:hideMark/>
          </w:tcPr>
          <w:p w14:paraId="3D3892AE" w14:textId="77777777" w:rsidR="0043099F" w:rsidRPr="0043099F" w:rsidRDefault="0043099F" w:rsidP="0043099F">
            <w:pPr>
              <w:jc w:val="right"/>
              <w:rPr>
                <w:rFonts w:cs="Calibri"/>
                <w:sz w:val="22"/>
                <w:szCs w:val="22"/>
              </w:rPr>
            </w:pPr>
            <w:r w:rsidRPr="0043099F">
              <w:rPr>
                <w:rFonts w:cs="Calibri"/>
                <w:sz w:val="22"/>
                <w:szCs w:val="22"/>
              </w:rPr>
              <w:t>0.27</w:t>
            </w:r>
          </w:p>
        </w:tc>
        <w:tc>
          <w:tcPr>
            <w:tcW w:w="792" w:type="dxa"/>
            <w:tcBorders>
              <w:top w:val="nil"/>
              <w:left w:val="nil"/>
              <w:bottom w:val="single" w:sz="4" w:space="0" w:color="auto"/>
              <w:right w:val="single" w:sz="4" w:space="0" w:color="auto"/>
            </w:tcBorders>
            <w:shd w:val="clear" w:color="auto" w:fill="auto"/>
            <w:noWrap/>
            <w:vAlign w:val="bottom"/>
            <w:hideMark/>
          </w:tcPr>
          <w:p w14:paraId="3E5FFA33" w14:textId="77777777" w:rsidR="0043099F" w:rsidRPr="0043099F" w:rsidRDefault="0043099F" w:rsidP="0043099F">
            <w:pPr>
              <w:jc w:val="right"/>
              <w:rPr>
                <w:rFonts w:cs="Calibri"/>
                <w:sz w:val="22"/>
                <w:szCs w:val="22"/>
              </w:rPr>
            </w:pPr>
            <w:r w:rsidRPr="0043099F">
              <w:rPr>
                <w:rFonts w:cs="Calibri"/>
                <w:sz w:val="22"/>
                <w:szCs w:val="22"/>
              </w:rPr>
              <w:t>12.6%</w:t>
            </w:r>
          </w:p>
        </w:tc>
        <w:tc>
          <w:tcPr>
            <w:tcW w:w="1063" w:type="dxa"/>
            <w:tcBorders>
              <w:top w:val="nil"/>
              <w:left w:val="nil"/>
              <w:bottom w:val="single" w:sz="4" w:space="0" w:color="auto"/>
              <w:right w:val="single" w:sz="4" w:space="0" w:color="auto"/>
            </w:tcBorders>
            <w:shd w:val="clear" w:color="auto" w:fill="auto"/>
            <w:noWrap/>
            <w:vAlign w:val="bottom"/>
            <w:hideMark/>
          </w:tcPr>
          <w:p w14:paraId="030E39F8" w14:textId="77777777" w:rsidR="0043099F" w:rsidRPr="0043099F" w:rsidRDefault="0043099F" w:rsidP="0043099F">
            <w:pPr>
              <w:jc w:val="right"/>
              <w:rPr>
                <w:rFonts w:cs="Calibri"/>
                <w:sz w:val="22"/>
                <w:szCs w:val="22"/>
              </w:rPr>
            </w:pPr>
            <w:r w:rsidRPr="0043099F">
              <w:rPr>
                <w:rFonts w:cs="Calibri"/>
                <w:sz w:val="22"/>
                <w:szCs w:val="22"/>
              </w:rPr>
              <w:t>11.9</w:t>
            </w:r>
          </w:p>
        </w:tc>
        <w:tc>
          <w:tcPr>
            <w:tcW w:w="778" w:type="dxa"/>
            <w:tcBorders>
              <w:top w:val="nil"/>
              <w:left w:val="nil"/>
              <w:bottom w:val="single" w:sz="4" w:space="0" w:color="auto"/>
              <w:right w:val="single" w:sz="4" w:space="0" w:color="auto"/>
            </w:tcBorders>
            <w:shd w:val="clear" w:color="auto" w:fill="auto"/>
            <w:noWrap/>
            <w:vAlign w:val="bottom"/>
            <w:hideMark/>
          </w:tcPr>
          <w:p w14:paraId="53D27E7D" w14:textId="77777777" w:rsidR="0043099F" w:rsidRPr="0043099F" w:rsidRDefault="0043099F" w:rsidP="0043099F">
            <w:pPr>
              <w:jc w:val="right"/>
              <w:rPr>
                <w:rFonts w:cs="Calibri"/>
                <w:sz w:val="22"/>
                <w:szCs w:val="22"/>
              </w:rPr>
            </w:pPr>
            <w:r w:rsidRPr="0043099F">
              <w:rPr>
                <w:rFonts w:cs="Calibri"/>
                <w:sz w:val="22"/>
                <w:szCs w:val="22"/>
              </w:rPr>
              <w:t>96.1</w:t>
            </w:r>
          </w:p>
        </w:tc>
      </w:tr>
      <w:tr w:rsidR="0043099F" w:rsidRPr="0043099F" w14:paraId="72C7CD5F" w14:textId="77777777" w:rsidTr="00546AFB">
        <w:trPr>
          <w:trHeight w:val="300"/>
          <w:jc w:val="center"/>
        </w:trPr>
        <w:tc>
          <w:tcPr>
            <w:tcW w:w="1079" w:type="dxa"/>
            <w:vMerge/>
            <w:tcBorders>
              <w:top w:val="nil"/>
              <w:left w:val="single" w:sz="4" w:space="0" w:color="auto"/>
              <w:bottom w:val="single" w:sz="4" w:space="0" w:color="auto"/>
              <w:right w:val="single" w:sz="4" w:space="0" w:color="auto"/>
            </w:tcBorders>
            <w:vAlign w:val="center"/>
            <w:hideMark/>
          </w:tcPr>
          <w:p w14:paraId="5F96A7CF"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31B0AA69" w14:textId="77777777" w:rsidR="0043099F" w:rsidRPr="0043099F" w:rsidRDefault="0043099F" w:rsidP="0043099F">
            <w:pPr>
              <w:jc w:val="right"/>
              <w:rPr>
                <w:rFonts w:cs="Calibri"/>
                <w:sz w:val="22"/>
                <w:szCs w:val="22"/>
              </w:rPr>
            </w:pPr>
            <w:r w:rsidRPr="0043099F">
              <w:rPr>
                <w:rFonts w:cs="Calibri"/>
                <w:sz w:val="22"/>
                <w:szCs w:val="22"/>
              </w:rPr>
              <w:t>8/9/18</w:t>
            </w:r>
          </w:p>
        </w:tc>
        <w:tc>
          <w:tcPr>
            <w:tcW w:w="1238" w:type="dxa"/>
            <w:tcBorders>
              <w:top w:val="nil"/>
              <w:left w:val="nil"/>
              <w:bottom w:val="single" w:sz="4" w:space="0" w:color="auto"/>
              <w:right w:val="single" w:sz="4" w:space="0" w:color="auto"/>
            </w:tcBorders>
            <w:shd w:val="clear" w:color="auto" w:fill="auto"/>
            <w:noWrap/>
            <w:vAlign w:val="center"/>
            <w:hideMark/>
          </w:tcPr>
          <w:p w14:paraId="61863B6F"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75A3017D" w14:textId="77777777" w:rsidR="0043099F" w:rsidRPr="0043099F" w:rsidRDefault="0043099F" w:rsidP="0043099F">
            <w:pPr>
              <w:jc w:val="right"/>
              <w:rPr>
                <w:rFonts w:cs="Calibri"/>
                <w:sz w:val="22"/>
                <w:szCs w:val="22"/>
              </w:rPr>
            </w:pPr>
            <w:r w:rsidRPr="0043099F">
              <w:rPr>
                <w:rFonts w:cs="Calibri"/>
                <w:sz w:val="22"/>
                <w:szCs w:val="22"/>
              </w:rPr>
              <w:t>58,106</w:t>
            </w:r>
          </w:p>
        </w:tc>
        <w:tc>
          <w:tcPr>
            <w:tcW w:w="1067" w:type="dxa"/>
            <w:tcBorders>
              <w:top w:val="nil"/>
              <w:left w:val="nil"/>
              <w:bottom w:val="single" w:sz="4" w:space="0" w:color="auto"/>
              <w:right w:val="single" w:sz="4" w:space="0" w:color="auto"/>
            </w:tcBorders>
            <w:shd w:val="clear" w:color="auto" w:fill="auto"/>
            <w:noWrap/>
            <w:vAlign w:val="bottom"/>
            <w:hideMark/>
          </w:tcPr>
          <w:p w14:paraId="097D1565" w14:textId="77777777" w:rsidR="0043099F" w:rsidRPr="0043099F" w:rsidRDefault="0043099F" w:rsidP="0043099F">
            <w:pPr>
              <w:jc w:val="right"/>
              <w:rPr>
                <w:rFonts w:cs="Calibri"/>
                <w:sz w:val="22"/>
                <w:szCs w:val="22"/>
              </w:rPr>
            </w:pPr>
            <w:r w:rsidRPr="0043099F">
              <w:rPr>
                <w:rFonts w:cs="Calibri"/>
                <w:sz w:val="22"/>
                <w:szCs w:val="22"/>
              </w:rPr>
              <w:t>2.45</w:t>
            </w:r>
          </w:p>
        </w:tc>
        <w:tc>
          <w:tcPr>
            <w:tcW w:w="1067" w:type="dxa"/>
            <w:tcBorders>
              <w:top w:val="nil"/>
              <w:left w:val="nil"/>
              <w:bottom w:val="single" w:sz="4" w:space="0" w:color="auto"/>
              <w:right w:val="single" w:sz="4" w:space="0" w:color="auto"/>
            </w:tcBorders>
            <w:shd w:val="clear" w:color="auto" w:fill="auto"/>
            <w:noWrap/>
            <w:vAlign w:val="bottom"/>
            <w:hideMark/>
          </w:tcPr>
          <w:p w14:paraId="1EAA7645" w14:textId="77777777" w:rsidR="0043099F" w:rsidRPr="0043099F" w:rsidRDefault="0043099F" w:rsidP="0043099F">
            <w:pPr>
              <w:jc w:val="right"/>
              <w:rPr>
                <w:rFonts w:cs="Calibri"/>
                <w:sz w:val="22"/>
                <w:szCs w:val="22"/>
              </w:rPr>
            </w:pPr>
            <w:r w:rsidRPr="0043099F">
              <w:rPr>
                <w:rFonts w:cs="Calibri"/>
                <w:sz w:val="22"/>
                <w:szCs w:val="22"/>
              </w:rPr>
              <w:t>0.36</w:t>
            </w:r>
          </w:p>
        </w:tc>
        <w:tc>
          <w:tcPr>
            <w:tcW w:w="792" w:type="dxa"/>
            <w:tcBorders>
              <w:top w:val="nil"/>
              <w:left w:val="nil"/>
              <w:bottom w:val="single" w:sz="4" w:space="0" w:color="auto"/>
              <w:right w:val="single" w:sz="4" w:space="0" w:color="auto"/>
            </w:tcBorders>
            <w:shd w:val="clear" w:color="auto" w:fill="auto"/>
            <w:noWrap/>
            <w:vAlign w:val="bottom"/>
            <w:hideMark/>
          </w:tcPr>
          <w:p w14:paraId="0C87FFD9" w14:textId="77777777" w:rsidR="0043099F" w:rsidRPr="0043099F" w:rsidRDefault="0043099F" w:rsidP="0043099F">
            <w:pPr>
              <w:jc w:val="right"/>
              <w:rPr>
                <w:rFonts w:cs="Calibri"/>
                <w:sz w:val="22"/>
                <w:szCs w:val="22"/>
              </w:rPr>
            </w:pPr>
            <w:r w:rsidRPr="0043099F">
              <w:rPr>
                <w:rFonts w:cs="Calibri"/>
                <w:sz w:val="22"/>
                <w:szCs w:val="22"/>
              </w:rPr>
              <w:t>14.5%</w:t>
            </w:r>
          </w:p>
        </w:tc>
        <w:tc>
          <w:tcPr>
            <w:tcW w:w="1063" w:type="dxa"/>
            <w:tcBorders>
              <w:top w:val="nil"/>
              <w:left w:val="nil"/>
              <w:bottom w:val="single" w:sz="4" w:space="0" w:color="auto"/>
              <w:right w:val="single" w:sz="4" w:space="0" w:color="auto"/>
            </w:tcBorders>
            <w:shd w:val="clear" w:color="auto" w:fill="auto"/>
            <w:noWrap/>
            <w:vAlign w:val="bottom"/>
            <w:hideMark/>
          </w:tcPr>
          <w:p w14:paraId="586EE5F2" w14:textId="77777777" w:rsidR="0043099F" w:rsidRPr="0043099F" w:rsidRDefault="0043099F" w:rsidP="0043099F">
            <w:pPr>
              <w:jc w:val="right"/>
              <w:rPr>
                <w:rFonts w:cs="Calibri"/>
                <w:sz w:val="22"/>
                <w:szCs w:val="22"/>
              </w:rPr>
            </w:pPr>
            <w:r w:rsidRPr="0043099F">
              <w:rPr>
                <w:rFonts w:cs="Calibri"/>
                <w:sz w:val="22"/>
                <w:szCs w:val="22"/>
              </w:rPr>
              <w:t>20.6</w:t>
            </w:r>
          </w:p>
        </w:tc>
        <w:tc>
          <w:tcPr>
            <w:tcW w:w="778" w:type="dxa"/>
            <w:tcBorders>
              <w:top w:val="nil"/>
              <w:left w:val="nil"/>
              <w:bottom w:val="single" w:sz="4" w:space="0" w:color="auto"/>
              <w:right w:val="single" w:sz="4" w:space="0" w:color="auto"/>
            </w:tcBorders>
            <w:shd w:val="clear" w:color="auto" w:fill="auto"/>
            <w:noWrap/>
            <w:vAlign w:val="bottom"/>
            <w:hideMark/>
          </w:tcPr>
          <w:p w14:paraId="31786502" w14:textId="77777777" w:rsidR="0043099F" w:rsidRPr="0043099F" w:rsidRDefault="0043099F" w:rsidP="0043099F">
            <w:pPr>
              <w:jc w:val="right"/>
              <w:rPr>
                <w:rFonts w:cs="Calibri"/>
                <w:sz w:val="22"/>
                <w:szCs w:val="22"/>
              </w:rPr>
            </w:pPr>
            <w:r w:rsidRPr="0043099F">
              <w:rPr>
                <w:rFonts w:cs="Calibri"/>
                <w:sz w:val="22"/>
                <w:szCs w:val="22"/>
              </w:rPr>
              <w:t>99.9</w:t>
            </w:r>
          </w:p>
        </w:tc>
      </w:tr>
      <w:tr w:rsidR="0043099F" w:rsidRPr="0043099F" w14:paraId="6EE677B2" w14:textId="77777777" w:rsidTr="00546AFB">
        <w:trPr>
          <w:trHeight w:val="300"/>
          <w:jc w:val="center"/>
        </w:trPr>
        <w:tc>
          <w:tcPr>
            <w:tcW w:w="1079" w:type="dxa"/>
            <w:vMerge/>
            <w:tcBorders>
              <w:top w:val="nil"/>
              <w:left w:val="single" w:sz="4" w:space="0" w:color="auto"/>
              <w:bottom w:val="single" w:sz="4" w:space="0" w:color="auto"/>
              <w:right w:val="single" w:sz="4" w:space="0" w:color="auto"/>
            </w:tcBorders>
            <w:vAlign w:val="center"/>
            <w:hideMark/>
          </w:tcPr>
          <w:p w14:paraId="761EB8EF"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13A999BF" w14:textId="77777777" w:rsidR="0043099F" w:rsidRPr="0043099F" w:rsidRDefault="0043099F" w:rsidP="0043099F">
            <w:pPr>
              <w:jc w:val="right"/>
              <w:rPr>
                <w:rFonts w:cs="Calibri"/>
                <w:sz w:val="22"/>
                <w:szCs w:val="22"/>
              </w:rPr>
            </w:pPr>
            <w:r w:rsidRPr="0043099F">
              <w:rPr>
                <w:rFonts w:cs="Calibri"/>
                <w:sz w:val="22"/>
                <w:szCs w:val="22"/>
              </w:rPr>
              <w:t>8/10/18</w:t>
            </w:r>
          </w:p>
        </w:tc>
        <w:tc>
          <w:tcPr>
            <w:tcW w:w="1238" w:type="dxa"/>
            <w:tcBorders>
              <w:top w:val="nil"/>
              <w:left w:val="nil"/>
              <w:bottom w:val="single" w:sz="4" w:space="0" w:color="auto"/>
              <w:right w:val="single" w:sz="4" w:space="0" w:color="auto"/>
            </w:tcBorders>
            <w:shd w:val="clear" w:color="auto" w:fill="auto"/>
            <w:noWrap/>
            <w:vAlign w:val="center"/>
            <w:hideMark/>
          </w:tcPr>
          <w:p w14:paraId="6C7BDDAB"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66F3EC8B" w14:textId="77777777" w:rsidR="0043099F" w:rsidRPr="0043099F" w:rsidRDefault="0043099F" w:rsidP="0043099F">
            <w:pPr>
              <w:jc w:val="right"/>
              <w:rPr>
                <w:rFonts w:cs="Calibri"/>
                <w:sz w:val="22"/>
                <w:szCs w:val="22"/>
              </w:rPr>
            </w:pPr>
            <w:r w:rsidRPr="0043099F">
              <w:rPr>
                <w:rFonts w:cs="Calibri"/>
                <w:sz w:val="22"/>
                <w:szCs w:val="22"/>
              </w:rPr>
              <w:t>20,155</w:t>
            </w:r>
          </w:p>
        </w:tc>
        <w:tc>
          <w:tcPr>
            <w:tcW w:w="1067" w:type="dxa"/>
            <w:tcBorders>
              <w:top w:val="nil"/>
              <w:left w:val="nil"/>
              <w:bottom w:val="single" w:sz="4" w:space="0" w:color="auto"/>
              <w:right w:val="single" w:sz="4" w:space="0" w:color="auto"/>
            </w:tcBorders>
            <w:shd w:val="clear" w:color="auto" w:fill="auto"/>
            <w:noWrap/>
            <w:vAlign w:val="bottom"/>
            <w:hideMark/>
          </w:tcPr>
          <w:p w14:paraId="36C6816A" w14:textId="77777777" w:rsidR="0043099F" w:rsidRPr="0043099F" w:rsidRDefault="0043099F" w:rsidP="0043099F">
            <w:pPr>
              <w:jc w:val="right"/>
              <w:rPr>
                <w:rFonts w:cs="Calibri"/>
                <w:sz w:val="22"/>
                <w:szCs w:val="22"/>
              </w:rPr>
            </w:pPr>
            <w:r w:rsidRPr="0043099F">
              <w:rPr>
                <w:rFonts w:cs="Calibri"/>
                <w:sz w:val="22"/>
                <w:szCs w:val="22"/>
              </w:rPr>
              <w:t>2.63</w:t>
            </w:r>
          </w:p>
        </w:tc>
        <w:tc>
          <w:tcPr>
            <w:tcW w:w="1067" w:type="dxa"/>
            <w:tcBorders>
              <w:top w:val="nil"/>
              <w:left w:val="nil"/>
              <w:bottom w:val="single" w:sz="4" w:space="0" w:color="auto"/>
              <w:right w:val="single" w:sz="4" w:space="0" w:color="auto"/>
            </w:tcBorders>
            <w:shd w:val="clear" w:color="auto" w:fill="auto"/>
            <w:noWrap/>
            <w:vAlign w:val="bottom"/>
            <w:hideMark/>
          </w:tcPr>
          <w:p w14:paraId="785F8F14" w14:textId="77777777" w:rsidR="0043099F" w:rsidRPr="0043099F" w:rsidRDefault="0043099F" w:rsidP="0043099F">
            <w:pPr>
              <w:jc w:val="right"/>
              <w:rPr>
                <w:rFonts w:cs="Calibri"/>
                <w:sz w:val="22"/>
                <w:szCs w:val="22"/>
              </w:rPr>
            </w:pPr>
            <w:r w:rsidRPr="0043099F">
              <w:rPr>
                <w:rFonts w:cs="Calibri"/>
                <w:sz w:val="22"/>
                <w:szCs w:val="22"/>
              </w:rPr>
              <w:t>0.21</w:t>
            </w:r>
          </w:p>
        </w:tc>
        <w:tc>
          <w:tcPr>
            <w:tcW w:w="792" w:type="dxa"/>
            <w:tcBorders>
              <w:top w:val="nil"/>
              <w:left w:val="nil"/>
              <w:bottom w:val="single" w:sz="4" w:space="0" w:color="auto"/>
              <w:right w:val="single" w:sz="4" w:space="0" w:color="auto"/>
            </w:tcBorders>
            <w:shd w:val="clear" w:color="auto" w:fill="auto"/>
            <w:noWrap/>
            <w:vAlign w:val="bottom"/>
            <w:hideMark/>
          </w:tcPr>
          <w:p w14:paraId="0500EEBA" w14:textId="77777777" w:rsidR="0043099F" w:rsidRPr="0043099F" w:rsidRDefault="0043099F" w:rsidP="0043099F">
            <w:pPr>
              <w:jc w:val="right"/>
              <w:rPr>
                <w:rFonts w:cs="Calibri"/>
                <w:sz w:val="22"/>
                <w:szCs w:val="22"/>
              </w:rPr>
            </w:pPr>
            <w:r w:rsidRPr="0043099F">
              <w:rPr>
                <w:rFonts w:cs="Calibri"/>
                <w:sz w:val="22"/>
                <w:szCs w:val="22"/>
              </w:rPr>
              <w:t>8.0%</w:t>
            </w:r>
          </w:p>
        </w:tc>
        <w:tc>
          <w:tcPr>
            <w:tcW w:w="1063" w:type="dxa"/>
            <w:tcBorders>
              <w:top w:val="nil"/>
              <w:left w:val="nil"/>
              <w:bottom w:val="single" w:sz="4" w:space="0" w:color="auto"/>
              <w:right w:val="single" w:sz="4" w:space="0" w:color="auto"/>
            </w:tcBorders>
            <w:shd w:val="clear" w:color="auto" w:fill="auto"/>
            <w:noWrap/>
            <w:vAlign w:val="bottom"/>
            <w:hideMark/>
          </w:tcPr>
          <w:p w14:paraId="0FD2FDCF" w14:textId="77777777" w:rsidR="0043099F" w:rsidRPr="0043099F" w:rsidRDefault="0043099F" w:rsidP="0043099F">
            <w:pPr>
              <w:jc w:val="right"/>
              <w:rPr>
                <w:rFonts w:cs="Calibri"/>
                <w:sz w:val="22"/>
                <w:szCs w:val="22"/>
              </w:rPr>
            </w:pPr>
            <w:r w:rsidRPr="0043099F">
              <w:rPr>
                <w:rFonts w:cs="Calibri"/>
                <w:sz w:val="22"/>
                <w:szCs w:val="22"/>
              </w:rPr>
              <w:t>4.2</w:t>
            </w:r>
          </w:p>
        </w:tc>
        <w:tc>
          <w:tcPr>
            <w:tcW w:w="778" w:type="dxa"/>
            <w:tcBorders>
              <w:top w:val="nil"/>
              <w:left w:val="nil"/>
              <w:bottom w:val="single" w:sz="4" w:space="0" w:color="auto"/>
              <w:right w:val="single" w:sz="4" w:space="0" w:color="auto"/>
            </w:tcBorders>
            <w:shd w:val="clear" w:color="auto" w:fill="auto"/>
            <w:noWrap/>
            <w:vAlign w:val="bottom"/>
            <w:hideMark/>
          </w:tcPr>
          <w:p w14:paraId="2C5FB66E" w14:textId="77777777" w:rsidR="0043099F" w:rsidRPr="0043099F" w:rsidRDefault="0043099F" w:rsidP="0043099F">
            <w:pPr>
              <w:jc w:val="right"/>
              <w:rPr>
                <w:rFonts w:cs="Calibri"/>
                <w:sz w:val="22"/>
                <w:szCs w:val="22"/>
              </w:rPr>
            </w:pPr>
            <w:r w:rsidRPr="0043099F">
              <w:rPr>
                <w:rFonts w:cs="Calibri"/>
                <w:sz w:val="22"/>
                <w:szCs w:val="22"/>
              </w:rPr>
              <w:t>102.2</w:t>
            </w:r>
          </w:p>
        </w:tc>
      </w:tr>
      <w:tr w:rsidR="0043099F" w:rsidRPr="0043099F" w14:paraId="0CF440D6" w14:textId="77777777" w:rsidTr="00546AFB">
        <w:trPr>
          <w:trHeight w:val="300"/>
          <w:jc w:val="center"/>
        </w:trPr>
        <w:tc>
          <w:tcPr>
            <w:tcW w:w="1079" w:type="dxa"/>
            <w:vMerge/>
            <w:tcBorders>
              <w:top w:val="nil"/>
              <w:left w:val="single" w:sz="4" w:space="0" w:color="auto"/>
              <w:bottom w:val="single" w:sz="4" w:space="0" w:color="auto"/>
              <w:right w:val="single" w:sz="4" w:space="0" w:color="auto"/>
            </w:tcBorders>
            <w:vAlign w:val="center"/>
            <w:hideMark/>
          </w:tcPr>
          <w:p w14:paraId="1A8ACA6C" w14:textId="77777777" w:rsidR="0043099F" w:rsidRPr="0043099F" w:rsidRDefault="0043099F" w:rsidP="0043099F">
            <w:pPr>
              <w:rPr>
                <w:rFonts w:cs="Calibri"/>
                <w:sz w:val="22"/>
                <w:szCs w:val="22"/>
              </w:rPr>
            </w:pPr>
          </w:p>
        </w:tc>
        <w:tc>
          <w:tcPr>
            <w:tcW w:w="944" w:type="dxa"/>
            <w:tcBorders>
              <w:top w:val="nil"/>
              <w:left w:val="nil"/>
              <w:bottom w:val="single" w:sz="4" w:space="0" w:color="auto"/>
              <w:right w:val="single" w:sz="4" w:space="0" w:color="auto"/>
            </w:tcBorders>
            <w:shd w:val="clear" w:color="auto" w:fill="auto"/>
            <w:noWrap/>
            <w:vAlign w:val="bottom"/>
            <w:hideMark/>
          </w:tcPr>
          <w:p w14:paraId="5984544B" w14:textId="77777777" w:rsidR="0043099F" w:rsidRPr="0043099F" w:rsidRDefault="0043099F" w:rsidP="0043099F">
            <w:pPr>
              <w:jc w:val="right"/>
              <w:rPr>
                <w:rFonts w:cs="Calibri"/>
                <w:sz w:val="22"/>
                <w:szCs w:val="22"/>
              </w:rPr>
            </w:pPr>
            <w:r w:rsidRPr="0043099F">
              <w:rPr>
                <w:rFonts w:cs="Calibri"/>
                <w:sz w:val="22"/>
                <w:szCs w:val="22"/>
              </w:rPr>
              <w:t>9/26/18</w:t>
            </w:r>
          </w:p>
        </w:tc>
        <w:tc>
          <w:tcPr>
            <w:tcW w:w="1238" w:type="dxa"/>
            <w:tcBorders>
              <w:top w:val="nil"/>
              <w:left w:val="nil"/>
              <w:bottom w:val="single" w:sz="4" w:space="0" w:color="auto"/>
              <w:right w:val="single" w:sz="4" w:space="0" w:color="auto"/>
            </w:tcBorders>
            <w:shd w:val="clear" w:color="auto" w:fill="auto"/>
            <w:noWrap/>
            <w:vAlign w:val="center"/>
            <w:hideMark/>
          </w:tcPr>
          <w:p w14:paraId="44A2B0E4" w14:textId="77777777" w:rsidR="0043099F" w:rsidRPr="0043099F" w:rsidRDefault="0043099F" w:rsidP="0043099F">
            <w:pPr>
              <w:jc w:val="center"/>
              <w:rPr>
                <w:rFonts w:cs="Calibri"/>
                <w:sz w:val="20"/>
                <w:szCs w:val="20"/>
              </w:rPr>
            </w:pPr>
            <w:r w:rsidRPr="0043099F">
              <w:rPr>
                <w:rFonts w:cs="Calibri"/>
                <w:sz w:val="20"/>
                <w:szCs w:val="20"/>
              </w:rPr>
              <w:t>No</w:t>
            </w:r>
          </w:p>
        </w:tc>
        <w:tc>
          <w:tcPr>
            <w:tcW w:w="829" w:type="dxa"/>
            <w:tcBorders>
              <w:top w:val="nil"/>
              <w:left w:val="nil"/>
              <w:bottom w:val="single" w:sz="4" w:space="0" w:color="auto"/>
              <w:right w:val="single" w:sz="4" w:space="0" w:color="auto"/>
            </w:tcBorders>
            <w:shd w:val="clear" w:color="auto" w:fill="auto"/>
            <w:noWrap/>
            <w:vAlign w:val="bottom"/>
            <w:hideMark/>
          </w:tcPr>
          <w:p w14:paraId="3068E708" w14:textId="77777777" w:rsidR="0043099F" w:rsidRPr="0043099F" w:rsidRDefault="0043099F" w:rsidP="0043099F">
            <w:pPr>
              <w:jc w:val="right"/>
              <w:rPr>
                <w:rFonts w:cs="Calibri"/>
                <w:sz w:val="22"/>
                <w:szCs w:val="22"/>
              </w:rPr>
            </w:pPr>
            <w:r w:rsidRPr="0043099F">
              <w:rPr>
                <w:rFonts w:cs="Calibri"/>
                <w:sz w:val="22"/>
                <w:szCs w:val="22"/>
              </w:rPr>
              <w:t>611</w:t>
            </w:r>
          </w:p>
        </w:tc>
        <w:tc>
          <w:tcPr>
            <w:tcW w:w="1067" w:type="dxa"/>
            <w:tcBorders>
              <w:top w:val="nil"/>
              <w:left w:val="nil"/>
              <w:bottom w:val="single" w:sz="4" w:space="0" w:color="auto"/>
              <w:right w:val="single" w:sz="4" w:space="0" w:color="auto"/>
            </w:tcBorders>
            <w:shd w:val="clear" w:color="auto" w:fill="auto"/>
            <w:noWrap/>
            <w:vAlign w:val="bottom"/>
            <w:hideMark/>
          </w:tcPr>
          <w:p w14:paraId="4373ED55" w14:textId="77777777" w:rsidR="0043099F" w:rsidRPr="0043099F" w:rsidRDefault="0043099F" w:rsidP="0043099F">
            <w:pPr>
              <w:jc w:val="right"/>
              <w:rPr>
                <w:rFonts w:cs="Calibri"/>
                <w:sz w:val="22"/>
                <w:szCs w:val="22"/>
              </w:rPr>
            </w:pPr>
            <w:r w:rsidRPr="0043099F">
              <w:rPr>
                <w:rFonts w:cs="Calibri"/>
                <w:sz w:val="22"/>
                <w:szCs w:val="22"/>
              </w:rPr>
              <w:t>1.20</w:t>
            </w:r>
          </w:p>
        </w:tc>
        <w:tc>
          <w:tcPr>
            <w:tcW w:w="1067" w:type="dxa"/>
            <w:tcBorders>
              <w:top w:val="nil"/>
              <w:left w:val="nil"/>
              <w:bottom w:val="single" w:sz="4" w:space="0" w:color="auto"/>
              <w:right w:val="single" w:sz="4" w:space="0" w:color="auto"/>
            </w:tcBorders>
            <w:shd w:val="clear" w:color="auto" w:fill="auto"/>
            <w:noWrap/>
            <w:vAlign w:val="bottom"/>
            <w:hideMark/>
          </w:tcPr>
          <w:p w14:paraId="51649E09" w14:textId="77777777" w:rsidR="0043099F" w:rsidRPr="0043099F" w:rsidRDefault="0043099F" w:rsidP="0043099F">
            <w:pPr>
              <w:jc w:val="right"/>
              <w:rPr>
                <w:rFonts w:cs="Calibri"/>
                <w:sz w:val="22"/>
                <w:szCs w:val="22"/>
              </w:rPr>
            </w:pPr>
            <w:r w:rsidRPr="0043099F">
              <w:rPr>
                <w:rFonts w:cs="Calibri"/>
                <w:sz w:val="22"/>
                <w:szCs w:val="22"/>
              </w:rPr>
              <w:t>0.11</w:t>
            </w:r>
          </w:p>
        </w:tc>
        <w:tc>
          <w:tcPr>
            <w:tcW w:w="792" w:type="dxa"/>
            <w:tcBorders>
              <w:top w:val="nil"/>
              <w:left w:val="nil"/>
              <w:bottom w:val="single" w:sz="4" w:space="0" w:color="auto"/>
              <w:right w:val="single" w:sz="4" w:space="0" w:color="auto"/>
            </w:tcBorders>
            <w:shd w:val="clear" w:color="auto" w:fill="auto"/>
            <w:noWrap/>
            <w:vAlign w:val="bottom"/>
            <w:hideMark/>
          </w:tcPr>
          <w:p w14:paraId="1C0F960A" w14:textId="77777777" w:rsidR="0043099F" w:rsidRPr="0043099F" w:rsidRDefault="0043099F" w:rsidP="0043099F">
            <w:pPr>
              <w:jc w:val="right"/>
              <w:rPr>
                <w:rFonts w:cs="Calibri"/>
                <w:sz w:val="22"/>
                <w:szCs w:val="22"/>
              </w:rPr>
            </w:pPr>
            <w:r w:rsidRPr="0043099F">
              <w:rPr>
                <w:rFonts w:cs="Calibri"/>
                <w:sz w:val="22"/>
                <w:szCs w:val="22"/>
              </w:rPr>
              <w:t>9.5%</w:t>
            </w:r>
          </w:p>
        </w:tc>
        <w:tc>
          <w:tcPr>
            <w:tcW w:w="1063" w:type="dxa"/>
            <w:tcBorders>
              <w:top w:val="nil"/>
              <w:left w:val="nil"/>
              <w:bottom w:val="single" w:sz="4" w:space="0" w:color="auto"/>
              <w:right w:val="single" w:sz="4" w:space="0" w:color="auto"/>
            </w:tcBorders>
            <w:shd w:val="clear" w:color="auto" w:fill="auto"/>
            <w:noWrap/>
            <w:vAlign w:val="bottom"/>
            <w:hideMark/>
          </w:tcPr>
          <w:p w14:paraId="1CFBBE26" w14:textId="77777777" w:rsidR="0043099F" w:rsidRPr="0043099F" w:rsidRDefault="0043099F" w:rsidP="0043099F">
            <w:pPr>
              <w:jc w:val="right"/>
              <w:rPr>
                <w:rFonts w:cs="Calibri"/>
                <w:sz w:val="22"/>
                <w:szCs w:val="22"/>
              </w:rPr>
            </w:pPr>
            <w:r w:rsidRPr="0043099F">
              <w:rPr>
                <w:rFonts w:cs="Calibri"/>
                <w:sz w:val="22"/>
                <w:szCs w:val="22"/>
              </w:rPr>
              <w:t>0.1</w:t>
            </w:r>
          </w:p>
        </w:tc>
        <w:tc>
          <w:tcPr>
            <w:tcW w:w="778" w:type="dxa"/>
            <w:tcBorders>
              <w:top w:val="nil"/>
              <w:left w:val="nil"/>
              <w:bottom w:val="single" w:sz="4" w:space="0" w:color="auto"/>
              <w:right w:val="single" w:sz="4" w:space="0" w:color="auto"/>
            </w:tcBorders>
            <w:shd w:val="clear" w:color="auto" w:fill="auto"/>
            <w:noWrap/>
            <w:vAlign w:val="bottom"/>
            <w:hideMark/>
          </w:tcPr>
          <w:p w14:paraId="00BA7A58" w14:textId="77777777" w:rsidR="0043099F" w:rsidRPr="0043099F" w:rsidRDefault="0043099F" w:rsidP="0043099F">
            <w:pPr>
              <w:jc w:val="right"/>
              <w:rPr>
                <w:rFonts w:cs="Calibri"/>
                <w:sz w:val="22"/>
                <w:szCs w:val="22"/>
              </w:rPr>
            </w:pPr>
            <w:r w:rsidRPr="0043099F">
              <w:rPr>
                <w:rFonts w:cs="Calibri"/>
                <w:sz w:val="22"/>
                <w:szCs w:val="22"/>
              </w:rPr>
              <w:t>93.8</w:t>
            </w:r>
          </w:p>
        </w:tc>
      </w:tr>
    </w:tbl>
    <w:p w14:paraId="0373C197" w14:textId="2FC05D92" w:rsidR="001107D1" w:rsidRDefault="001107D1" w:rsidP="0043099F">
      <w:pPr>
        <w:spacing w:after="120"/>
        <w:rPr>
          <w:szCs w:val="32"/>
        </w:rPr>
      </w:pPr>
    </w:p>
    <w:p w14:paraId="60818399" w14:textId="3D6F717D" w:rsidR="00D973D6" w:rsidRDefault="00D973D6" w:rsidP="00D973D6">
      <w:pPr>
        <w:pStyle w:val="Heading2"/>
      </w:pPr>
      <w:bookmarkStart w:id="120" w:name="_Toc4578160"/>
      <w:r>
        <w:t>Event Override Rate</w:t>
      </w:r>
      <w:bookmarkEnd w:id="120"/>
    </w:p>
    <w:p w14:paraId="74F633B5" w14:textId="3661DF0A" w:rsidR="00D17440" w:rsidRDefault="00D973D6" w:rsidP="00D973D6">
      <w:pPr>
        <w:spacing w:after="120"/>
        <w:rPr>
          <w:szCs w:val="32"/>
        </w:rPr>
      </w:pPr>
      <w:r>
        <w:rPr>
          <w:szCs w:val="32"/>
        </w:rPr>
        <w:t xml:space="preserve">Customers are allowed to override (opt-out of) </w:t>
      </w:r>
      <w:r w:rsidR="00546AFB">
        <w:rPr>
          <w:szCs w:val="32"/>
        </w:rPr>
        <w:t>SmartAC™</w:t>
      </w:r>
      <w:r>
        <w:rPr>
          <w:szCs w:val="32"/>
        </w:rPr>
        <w:t xml:space="preserve"> events. </w:t>
      </w:r>
      <w:r w:rsidR="00DA7526">
        <w:rPr>
          <w:szCs w:val="32"/>
        </w:rPr>
        <w:fldChar w:fldCharType="begin"/>
      </w:r>
      <w:r w:rsidR="00DA7526">
        <w:rPr>
          <w:szCs w:val="32"/>
        </w:rPr>
        <w:instrText xml:space="preserve"> REF _Ref2339654 \h </w:instrText>
      </w:r>
      <w:r w:rsidR="00DA7526">
        <w:rPr>
          <w:szCs w:val="32"/>
        </w:rPr>
      </w:r>
      <w:r w:rsidR="00DA7526">
        <w:rPr>
          <w:szCs w:val="32"/>
        </w:rPr>
        <w:fldChar w:fldCharType="separate"/>
      </w:r>
      <w:r w:rsidR="00445DF3">
        <w:t xml:space="preserve">Table </w:t>
      </w:r>
      <w:r w:rsidR="00445DF3">
        <w:rPr>
          <w:noProof/>
        </w:rPr>
        <w:t>3</w:t>
      </w:r>
      <w:r w:rsidR="00445DF3">
        <w:noBreakHyphen/>
      </w:r>
      <w:r w:rsidR="00445DF3">
        <w:rPr>
          <w:noProof/>
        </w:rPr>
        <w:t>8</w:t>
      </w:r>
      <w:r w:rsidR="00DA7526">
        <w:rPr>
          <w:szCs w:val="32"/>
        </w:rPr>
        <w:fldChar w:fldCharType="end"/>
      </w:r>
      <w:r w:rsidR="00DA7526">
        <w:rPr>
          <w:szCs w:val="32"/>
        </w:rPr>
        <w:t xml:space="preserve"> </w:t>
      </w:r>
      <w:r>
        <w:rPr>
          <w:szCs w:val="32"/>
        </w:rPr>
        <w:t xml:space="preserve">summarizes the number of overrides by event day, including the </w:t>
      </w:r>
      <w:r w:rsidR="00EE02B2">
        <w:rPr>
          <w:szCs w:val="32"/>
        </w:rPr>
        <w:t xml:space="preserve">number of </w:t>
      </w:r>
      <w:r>
        <w:rPr>
          <w:szCs w:val="32"/>
        </w:rPr>
        <w:t>enroll</w:t>
      </w:r>
      <w:r w:rsidR="00EE02B2">
        <w:rPr>
          <w:szCs w:val="32"/>
        </w:rPr>
        <w:t>ed customers in t</w:t>
      </w:r>
      <w:r>
        <w:rPr>
          <w:szCs w:val="32"/>
        </w:rPr>
        <w:t xml:space="preserve">he </w:t>
      </w:r>
      <w:r w:rsidR="00D70FBF">
        <w:rPr>
          <w:szCs w:val="32"/>
        </w:rPr>
        <w:t xml:space="preserve">sub-LAPs called </w:t>
      </w:r>
      <w:r w:rsidR="00EE02B2">
        <w:rPr>
          <w:szCs w:val="32"/>
        </w:rPr>
        <w:t>for</w:t>
      </w:r>
      <w:r w:rsidR="00D70FBF">
        <w:rPr>
          <w:szCs w:val="32"/>
        </w:rPr>
        <w:t xml:space="preserve"> each event. In total, only 0.4% of called customers exercised their right to override</w:t>
      </w:r>
      <w:r w:rsidR="00BF64EE">
        <w:rPr>
          <w:szCs w:val="32"/>
        </w:rPr>
        <w:t xml:space="preserve"> during</w:t>
      </w:r>
      <w:r w:rsidR="00D70FBF">
        <w:rPr>
          <w:szCs w:val="32"/>
        </w:rPr>
        <w:t xml:space="preserve"> </w:t>
      </w:r>
      <w:r w:rsidR="00EE02B2">
        <w:rPr>
          <w:szCs w:val="32"/>
        </w:rPr>
        <w:t xml:space="preserve">PY2018 </w:t>
      </w:r>
      <w:r w:rsidR="00D70FBF">
        <w:rPr>
          <w:szCs w:val="32"/>
        </w:rPr>
        <w:t>event</w:t>
      </w:r>
      <w:r w:rsidR="00EE02B2">
        <w:rPr>
          <w:szCs w:val="32"/>
        </w:rPr>
        <w:t>s</w:t>
      </w:r>
      <w:r w:rsidR="00D70FBF">
        <w:rPr>
          <w:szCs w:val="32"/>
        </w:rPr>
        <w:t>. Only one event</w:t>
      </w:r>
      <w:r w:rsidR="00BF64EE">
        <w:rPr>
          <w:szCs w:val="32"/>
        </w:rPr>
        <w:t>,</w:t>
      </w:r>
      <w:r w:rsidR="00EE02B2">
        <w:rPr>
          <w:szCs w:val="32"/>
        </w:rPr>
        <w:t xml:space="preserve"> on</w:t>
      </w:r>
      <w:r w:rsidR="00D70FBF">
        <w:rPr>
          <w:szCs w:val="32"/>
        </w:rPr>
        <w:t xml:space="preserve"> July 27</w:t>
      </w:r>
      <w:r w:rsidR="00D70FBF" w:rsidRPr="004C54C7">
        <w:rPr>
          <w:szCs w:val="32"/>
          <w:vertAlign w:val="superscript"/>
        </w:rPr>
        <w:t>th</w:t>
      </w:r>
      <w:r w:rsidR="00BF64EE">
        <w:rPr>
          <w:szCs w:val="32"/>
        </w:rPr>
        <w:t xml:space="preserve">, </w:t>
      </w:r>
      <w:r w:rsidR="00D70FBF">
        <w:rPr>
          <w:szCs w:val="32"/>
        </w:rPr>
        <w:t xml:space="preserve">had a high override rate. That was an emergency event from 7 p.m. through midnight called for only the North Coast sub-LAP (PGNC). Because this sub-LAP contains few </w:t>
      </w:r>
      <w:r w:rsidR="00546AFB">
        <w:rPr>
          <w:szCs w:val="32"/>
        </w:rPr>
        <w:t>SmartAC™</w:t>
      </w:r>
      <w:r w:rsidR="00D70FBF">
        <w:rPr>
          <w:szCs w:val="32"/>
        </w:rPr>
        <w:t xml:space="preserve"> customers, the high override rate has little influence on overall event participation.</w:t>
      </w:r>
    </w:p>
    <w:p w14:paraId="10B578AE" w14:textId="493EC4B8" w:rsidR="00710329" w:rsidRDefault="00710329" w:rsidP="00710329">
      <w:pPr>
        <w:pStyle w:val="TableCaption"/>
      </w:pPr>
      <w:bookmarkStart w:id="121" w:name="_Ref2339654"/>
      <w:bookmarkStart w:id="122" w:name="_Toc4578183"/>
      <w:r>
        <w:t xml:space="preserve">Table </w:t>
      </w:r>
      <w:r>
        <w:rPr>
          <w:noProof/>
        </w:rPr>
        <w:fldChar w:fldCharType="begin"/>
      </w:r>
      <w:r>
        <w:rPr>
          <w:noProof/>
        </w:rPr>
        <w:instrText xml:space="preserve"> STYLEREF 1 \s </w:instrText>
      </w:r>
      <w:r>
        <w:rPr>
          <w:noProof/>
        </w:rPr>
        <w:fldChar w:fldCharType="separate"/>
      </w:r>
      <w:r w:rsidR="00445DF3">
        <w:rPr>
          <w:noProof/>
        </w:rPr>
        <w:t>3</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445DF3">
        <w:rPr>
          <w:noProof/>
        </w:rPr>
        <w:t>8</w:t>
      </w:r>
      <w:r>
        <w:rPr>
          <w:noProof/>
        </w:rPr>
        <w:fldChar w:fldCharType="end"/>
      </w:r>
      <w:bookmarkEnd w:id="121"/>
      <w:r>
        <w:t>: Customer Overrides by Event Day</w:t>
      </w:r>
      <w:bookmarkEnd w:id="122"/>
    </w:p>
    <w:tbl>
      <w:tblPr>
        <w:tblW w:w="0" w:type="auto"/>
        <w:jc w:val="center"/>
        <w:tblLook w:val="04A0" w:firstRow="1" w:lastRow="0" w:firstColumn="1" w:lastColumn="0" w:noHBand="0" w:noVBand="1"/>
      </w:tblPr>
      <w:tblGrid>
        <w:gridCol w:w="1167"/>
        <w:gridCol w:w="2311"/>
        <w:gridCol w:w="1382"/>
        <w:gridCol w:w="1107"/>
        <w:gridCol w:w="1230"/>
        <w:gridCol w:w="1019"/>
      </w:tblGrid>
      <w:tr w:rsidR="009321EB" w:rsidRPr="009321EB" w14:paraId="30BE42EA" w14:textId="77777777" w:rsidTr="00FA111D">
        <w:trPr>
          <w:trHeight w:val="600"/>
          <w:jc w:val="center"/>
        </w:trPr>
        <w:tc>
          <w:tcPr>
            <w:tcW w:w="1167" w:type="dxa"/>
            <w:tcBorders>
              <w:top w:val="single" w:sz="8" w:space="0" w:color="auto"/>
              <w:left w:val="single" w:sz="8" w:space="0" w:color="auto"/>
              <w:bottom w:val="single" w:sz="4" w:space="0" w:color="auto"/>
              <w:right w:val="single" w:sz="4" w:space="0" w:color="FFFFFF"/>
            </w:tcBorders>
            <w:shd w:val="clear" w:color="000000" w:fill="0C2577"/>
            <w:vAlign w:val="center"/>
            <w:hideMark/>
          </w:tcPr>
          <w:p w14:paraId="62CF0DF6" w14:textId="77777777" w:rsidR="009321EB" w:rsidRPr="009321EB" w:rsidRDefault="009321EB" w:rsidP="009321EB">
            <w:pPr>
              <w:jc w:val="center"/>
              <w:rPr>
                <w:rFonts w:cs="Calibri"/>
                <w:b/>
                <w:bCs/>
                <w:color w:val="FFFFFF"/>
                <w:sz w:val="22"/>
                <w:szCs w:val="22"/>
              </w:rPr>
            </w:pPr>
            <w:r w:rsidRPr="009321EB">
              <w:rPr>
                <w:rFonts w:cs="Calibri"/>
                <w:b/>
                <w:bCs/>
                <w:color w:val="FFFFFF"/>
                <w:sz w:val="22"/>
                <w:szCs w:val="22"/>
              </w:rPr>
              <w:t>Date</w:t>
            </w:r>
          </w:p>
        </w:tc>
        <w:tc>
          <w:tcPr>
            <w:tcW w:w="2311" w:type="dxa"/>
            <w:tcBorders>
              <w:top w:val="nil"/>
              <w:left w:val="nil"/>
              <w:bottom w:val="nil"/>
              <w:right w:val="nil"/>
            </w:tcBorders>
            <w:shd w:val="clear" w:color="000000" w:fill="0C2577"/>
            <w:vAlign w:val="center"/>
            <w:hideMark/>
          </w:tcPr>
          <w:p w14:paraId="3C577560" w14:textId="77777777" w:rsidR="009321EB" w:rsidRPr="009321EB" w:rsidRDefault="009321EB" w:rsidP="009321EB">
            <w:pPr>
              <w:jc w:val="center"/>
              <w:rPr>
                <w:rFonts w:cs="Calibri"/>
                <w:b/>
                <w:bCs/>
                <w:color w:val="FFFFFF"/>
                <w:sz w:val="22"/>
                <w:szCs w:val="22"/>
              </w:rPr>
            </w:pPr>
            <w:r w:rsidRPr="009321EB">
              <w:rPr>
                <w:rFonts w:cs="Calibri"/>
                <w:b/>
                <w:bCs/>
                <w:color w:val="FFFFFF"/>
                <w:sz w:val="22"/>
                <w:szCs w:val="22"/>
              </w:rPr>
              <w:t>Hours</w:t>
            </w:r>
          </w:p>
        </w:tc>
        <w:tc>
          <w:tcPr>
            <w:tcW w:w="1382" w:type="dxa"/>
            <w:tcBorders>
              <w:top w:val="nil"/>
              <w:left w:val="single" w:sz="4" w:space="0" w:color="FFFFFF"/>
              <w:bottom w:val="nil"/>
              <w:right w:val="nil"/>
            </w:tcBorders>
            <w:shd w:val="clear" w:color="000000" w:fill="0C2577"/>
            <w:vAlign w:val="center"/>
            <w:hideMark/>
          </w:tcPr>
          <w:p w14:paraId="023ECA02" w14:textId="77777777" w:rsidR="009321EB" w:rsidRPr="009321EB" w:rsidRDefault="009321EB" w:rsidP="009321EB">
            <w:pPr>
              <w:jc w:val="center"/>
              <w:rPr>
                <w:rFonts w:cs="Calibri"/>
                <w:b/>
                <w:bCs/>
                <w:color w:val="FFFFFF"/>
                <w:sz w:val="22"/>
                <w:szCs w:val="22"/>
              </w:rPr>
            </w:pPr>
            <w:r w:rsidRPr="009321EB">
              <w:rPr>
                <w:rFonts w:cs="Calibri"/>
                <w:b/>
                <w:bCs/>
                <w:color w:val="FFFFFF"/>
                <w:sz w:val="22"/>
                <w:szCs w:val="22"/>
              </w:rPr>
              <w:t>Sub-LAPs Called</w:t>
            </w:r>
          </w:p>
        </w:tc>
        <w:tc>
          <w:tcPr>
            <w:tcW w:w="1107" w:type="dxa"/>
            <w:tcBorders>
              <w:top w:val="single" w:sz="8" w:space="0" w:color="auto"/>
              <w:left w:val="single" w:sz="4" w:space="0" w:color="FFFFFF"/>
              <w:bottom w:val="single" w:sz="4" w:space="0" w:color="auto"/>
              <w:right w:val="single" w:sz="4" w:space="0" w:color="FFFFFF"/>
            </w:tcBorders>
            <w:shd w:val="clear" w:color="000000" w:fill="0C2577"/>
            <w:vAlign w:val="center"/>
            <w:hideMark/>
          </w:tcPr>
          <w:p w14:paraId="3DD851F1" w14:textId="77777777" w:rsidR="009321EB" w:rsidRPr="009321EB" w:rsidRDefault="009321EB" w:rsidP="009321EB">
            <w:pPr>
              <w:jc w:val="center"/>
              <w:rPr>
                <w:rFonts w:cs="Calibri"/>
                <w:b/>
                <w:bCs/>
                <w:color w:val="FFFFFF"/>
                <w:sz w:val="22"/>
                <w:szCs w:val="22"/>
              </w:rPr>
            </w:pPr>
            <w:r w:rsidRPr="009321EB">
              <w:rPr>
                <w:rFonts w:cs="Calibri"/>
                <w:b/>
                <w:bCs/>
                <w:color w:val="FFFFFF"/>
                <w:sz w:val="22"/>
                <w:szCs w:val="22"/>
              </w:rPr>
              <w:t>Overrides</w:t>
            </w:r>
          </w:p>
        </w:tc>
        <w:tc>
          <w:tcPr>
            <w:tcW w:w="1230" w:type="dxa"/>
            <w:tcBorders>
              <w:top w:val="single" w:sz="8" w:space="0" w:color="auto"/>
              <w:left w:val="nil"/>
              <w:bottom w:val="single" w:sz="4" w:space="0" w:color="auto"/>
              <w:right w:val="single" w:sz="4" w:space="0" w:color="FFFFFF"/>
            </w:tcBorders>
            <w:shd w:val="clear" w:color="000000" w:fill="0C2577"/>
            <w:vAlign w:val="center"/>
            <w:hideMark/>
          </w:tcPr>
          <w:p w14:paraId="2ECC72A1" w14:textId="77777777" w:rsidR="009321EB" w:rsidRPr="009321EB" w:rsidRDefault="009321EB" w:rsidP="009321EB">
            <w:pPr>
              <w:jc w:val="center"/>
              <w:rPr>
                <w:rFonts w:cs="Calibri"/>
                <w:b/>
                <w:bCs/>
                <w:color w:val="FFFFFF"/>
                <w:sz w:val="22"/>
                <w:szCs w:val="22"/>
              </w:rPr>
            </w:pPr>
            <w:r w:rsidRPr="009321EB">
              <w:rPr>
                <w:rFonts w:cs="Calibri"/>
                <w:b/>
                <w:bCs/>
                <w:color w:val="FFFFFF"/>
                <w:sz w:val="22"/>
                <w:szCs w:val="22"/>
              </w:rPr>
              <w:t>Enrollment</w:t>
            </w:r>
          </w:p>
        </w:tc>
        <w:tc>
          <w:tcPr>
            <w:tcW w:w="1019" w:type="dxa"/>
            <w:tcBorders>
              <w:top w:val="single" w:sz="8" w:space="0" w:color="auto"/>
              <w:left w:val="nil"/>
              <w:bottom w:val="nil"/>
              <w:right w:val="single" w:sz="8" w:space="0" w:color="auto"/>
            </w:tcBorders>
            <w:shd w:val="clear" w:color="000000" w:fill="0C2577"/>
            <w:vAlign w:val="center"/>
            <w:hideMark/>
          </w:tcPr>
          <w:p w14:paraId="7456606E" w14:textId="77777777" w:rsidR="009321EB" w:rsidRPr="009321EB" w:rsidRDefault="009321EB" w:rsidP="009321EB">
            <w:pPr>
              <w:jc w:val="center"/>
              <w:rPr>
                <w:rFonts w:cs="Calibri"/>
                <w:b/>
                <w:bCs/>
                <w:color w:val="FFFFFF"/>
                <w:sz w:val="22"/>
                <w:szCs w:val="22"/>
              </w:rPr>
            </w:pPr>
            <w:r w:rsidRPr="009321EB">
              <w:rPr>
                <w:rFonts w:cs="Calibri"/>
                <w:b/>
                <w:bCs/>
                <w:color w:val="FFFFFF"/>
                <w:sz w:val="22"/>
                <w:szCs w:val="22"/>
              </w:rPr>
              <w:t>Override Rate</w:t>
            </w:r>
          </w:p>
        </w:tc>
      </w:tr>
      <w:tr w:rsidR="009321EB" w:rsidRPr="009321EB" w14:paraId="0D859014" w14:textId="77777777" w:rsidTr="00FA111D">
        <w:trPr>
          <w:trHeight w:val="900"/>
          <w:jc w:val="center"/>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0E19D4AA" w14:textId="77777777" w:rsidR="009321EB" w:rsidRPr="009321EB" w:rsidRDefault="009321EB" w:rsidP="009321EB">
            <w:pPr>
              <w:jc w:val="center"/>
              <w:rPr>
                <w:rFonts w:cs="Calibri"/>
                <w:color w:val="000000"/>
                <w:sz w:val="22"/>
                <w:szCs w:val="22"/>
              </w:rPr>
            </w:pPr>
            <w:r w:rsidRPr="009321EB">
              <w:rPr>
                <w:rFonts w:cs="Calibri"/>
                <w:color w:val="000000"/>
                <w:sz w:val="22"/>
                <w:szCs w:val="22"/>
              </w:rPr>
              <w:t>7/23/2018</w:t>
            </w:r>
          </w:p>
        </w:tc>
        <w:tc>
          <w:tcPr>
            <w:tcW w:w="2311" w:type="dxa"/>
            <w:tcBorders>
              <w:top w:val="single" w:sz="4" w:space="0" w:color="auto"/>
              <w:left w:val="nil"/>
              <w:bottom w:val="single" w:sz="4" w:space="0" w:color="auto"/>
              <w:right w:val="single" w:sz="4" w:space="0" w:color="auto"/>
            </w:tcBorders>
            <w:shd w:val="clear" w:color="auto" w:fill="auto"/>
            <w:vAlign w:val="center"/>
            <w:hideMark/>
          </w:tcPr>
          <w:p w14:paraId="10004671" w14:textId="77777777" w:rsidR="009321EB" w:rsidRPr="009321EB" w:rsidRDefault="009321EB" w:rsidP="009321EB">
            <w:pPr>
              <w:rPr>
                <w:rFonts w:cs="Calibri"/>
                <w:sz w:val="22"/>
                <w:szCs w:val="22"/>
              </w:rPr>
            </w:pPr>
            <w:r w:rsidRPr="009321EB">
              <w:rPr>
                <w:rFonts w:cs="Calibri"/>
                <w:sz w:val="22"/>
                <w:szCs w:val="22"/>
              </w:rPr>
              <w:t xml:space="preserve">4 to 8 p.m. </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759B17DE" w14:textId="77777777" w:rsidR="009321EB" w:rsidRPr="009321EB" w:rsidRDefault="009321EB" w:rsidP="009321EB">
            <w:pPr>
              <w:rPr>
                <w:rFonts w:cs="Calibri"/>
                <w:sz w:val="22"/>
                <w:szCs w:val="22"/>
              </w:rPr>
            </w:pPr>
            <w:r w:rsidRPr="009321EB">
              <w:rPr>
                <w:rFonts w:cs="Calibri"/>
                <w:sz w:val="22"/>
                <w:szCs w:val="22"/>
              </w:rPr>
              <w:t>PGF1, PGKN, PGNP, PGSI</w:t>
            </w:r>
          </w:p>
        </w:tc>
        <w:tc>
          <w:tcPr>
            <w:tcW w:w="1107" w:type="dxa"/>
            <w:tcBorders>
              <w:top w:val="nil"/>
              <w:left w:val="nil"/>
              <w:bottom w:val="single" w:sz="4" w:space="0" w:color="auto"/>
              <w:right w:val="single" w:sz="4" w:space="0" w:color="auto"/>
            </w:tcBorders>
            <w:shd w:val="clear" w:color="auto" w:fill="auto"/>
            <w:vAlign w:val="center"/>
            <w:hideMark/>
          </w:tcPr>
          <w:p w14:paraId="59EF900A" w14:textId="77777777" w:rsidR="009321EB" w:rsidRPr="009321EB" w:rsidRDefault="009321EB" w:rsidP="009321EB">
            <w:pPr>
              <w:jc w:val="center"/>
              <w:rPr>
                <w:rFonts w:cs="Calibri"/>
                <w:color w:val="000000"/>
                <w:sz w:val="22"/>
                <w:szCs w:val="22"/>
              </w:rPr>
            </w:pPr>
            <w:r w:rsidRPr="009321EB">
              <w:rPr>
                <w:rFonts w:cs="Calibri"/>
                <w:color w:val="000000"/>
                <w:sz w:val="22"/>
                <w:szCs w:val="22"/>
              </w:rPr>
              <w:t>145</w:t>
            </w:r>
          </w:p>
        </w:tc>
        <w:tc>
          <w:tcPr>
            <w:tcW w:w="1230" w:type="dxa"/>
            <w:tcBorders>
              <w:top w:val="nil"/>
              <w:left w:val="nil"/>
              <w:bottom w:val="single" w:sz="4" w:space="0" w:color="auto"/>
              <w:right w:val="single" w:sz="4" w:space="0" w:color="auto"/>
            </w:tcBorders>
            <w:shd w:val="clear" w:color="auto" w:fill="auto"/>
            <w:vAlign w:val="center"/>
            <w:hideMark/>
          </w:tcPr>
          <w:p w14:paraId="5675BB27" w14:textId="77777777" w:rsidR="009321EB" w:rsidRPr="009321EB" w:rsidRDefault="009321EB" w:rsidP="009321EB">
            <w:pPr>
              <w:jc w:val="center"/>
              <w:rPr>
                <w:rFonts w:cs="Calibri"/>
                <w:color w:val="000000"/>
                <w:sz w:val="22"/>
                <w:szCs w:val="22"/>
              </w:rPr>
            </w:pPr>
            <w:r w:rsidRPr="009321EB">
              <w:rPr>
                <w:rFonts w:cs="Calibri"/>
                <w:color w:val="000000"/>
                <w:sz w:val="22"/>
                <w:szCs w:val="22"/>
              </w:rPr>
              <w:t>55,003</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7D99BA1B" w14:textId="77777777" w:rsidR="009321EB" w:rsidRPr="009321EB" w:rsidRDefault="009321EB" w:rsidP="009321EB">
            <w:pPr>
              <w:jc w:val="center"/>
              <w:rPr>
                <w:rFonts w:cs="Calibri"/>
                <w:color w:val="000000"/>
                <w:sz w:val="22"/>
                <w:szCs w:val="22"/>
              </w:rPr>
            </w:pPr>
            <w:r w:rsidRPr="009321EB">
              <w:rPr>
                <w:rFonts w:cs="Calibri"/>
                <w:color w:val="000000"/>
                <w:sz w:val="22"/>
                <w:szCs w:val="22"/>
              </w:rPr>
              <w:t>0.3%</w:t>
            </w:r>
          </w:p>
        </w:tc>
      </w:tr>
      <w:tr w:rsidR="009321EB" w:rsidRPr="009321EB" w14:paraId="23267D50" w14:textId="77777777" w:rsidTr="00FA111D">
        <w:trPr>
          <w:trHeight w:val="1800"/>
          <w:jc w:val="center"/>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57F502E4" w14:textId="77777777" w:rsidR="009321EB" w:rsidRPr="009321EB" w:rsidRDefault="009321EB" w:rsidP="009321EB">
            <w:pPr>
              <w:jc w:val="center"/>
              <w:rPr>
                <w:rFonts w:cs="Calibri"/>
                <w:color w:val="000000"/>
                <w:sz w:val="22"/>
                <w:szCs w:val="22"/>
              </w:rPr>
            </w:pPr>
            <w:r w:rsidRPr="009321EB">
              <w:rPr>
                <w:rFonts w:cs="Calibri"/>
                <w:color w:val="000000"/>
                <w:sz w:val="22"/>
                <w:szCs w:val="22"/>
              </w:rPr>
              <w:t>7/24/2018</w:t>
            </w:r>
          </w:p>
        </w:tc>
        <w:tc>
          <w:tcPr>
            <w:tcW w:w="2311" w:type="dxa"/>
            <w:tcBorders>
              <w:top w:val="nil"/>
              <w:left w:val="nil"/>
              <w:bottom w:val="single" w:sz="4" w:space="0" w:color="auto"/>
              <w:right w:val="single" w:sz="4" w:space="0" w:color="auto"/>
            </w:tcBorders>
            <w:shd w:val="clear" w:color="auto" w:fill="auto"/>
            <w:vAlign w:val="center"/>
            <w:hideMark/>
          </w:tcPr>
          <w:p w14:paraId="6D7CC46F" w14:textId="77777777" w:rsidR="009321EB" w:rsidRPr="009321EB" w:rsidRDefault="009321EB" w:rsidP="009321EB">
            <w:pPr>
              <w:rPr>
                <w:rFonts w:cs="Calibri"/>
                <w:sz w:val="22"/>
                <w:szCs w:val="22"/>
              </w:rPr>
            </w:pPr>
            <w:r w:rsidRPr="009321EB">
              <w:rPr>
                <w:rFonts w:cs="Calibri"/>
                <w:sz w:val="22"/>
                <w:szCs w:val="22"/>
              </w:rPr>
              <w:t xml:space="preserve">4 to 8 p.m. </w:t>
            </w:r>
            <w:r w:rsidRPr="009321EB">
              <w:rPr>
                <w:rFonts w:cs="Calibri"/>
                <w:sz w:val="22"/>
                <w:szCs w:val="22"/>
              </w:rPr>
              <w:br/>
              <w:t>3 to 7 p.m. (PGNC only)</w:t>
            </w:r>
          </w:p>
        </w:tc>
        <w:tc>
          <w:tcPr>
            <w:tcW w:w="1382" w:type="dxa"/>
            <w:tcBorders>
              <w:top w:val="nil"/>
              <w:left w:val="nil"/>
              <w:bottom w:val="single" w:sz="4" w:space="0" w:color="auto"/>
              <w:right w:val="single" w:sz="4" w:space="0" w:color="auto"/>
            </w:tcBorders>
            <w:shd w:val="clear" w:color="auto" w:fill="auto"/>
            <w:vAlign w:val="center"/>
            <w:hideMark/>
          </w:tcPr>
          <w:p w14:paraId="6688CDD5" w14:textId="77777777" w:rsidR="009321EB" w:rsidRPr="009321EB" w:rsidRDefault="009321EB" w:rsidP="009321EB">
            <w:pPr>
              <w:rPr>
                <w:rFonts w:cs="Calibri"/>
                <w:sz w:val="22"/>
                <w:szCs w:val="22"/>
              </w:rPr>
            </w:pPr>
            <w:r w:rsidRPr="009321EB">
              <w:rPr>
                <w:rFonts w:cs="Calibri"/>
                <w:sz w:val="22"/>
                <w:szCs w:val="22"/>
              </w:rPr>
              <w:t>PGF1, PGKN, PGNP, PGSI, PGNC, PGZP</w:t>
            </w:r>
          </w:p>
        </w:tc>
        <w:tc>
          <w:tcPr>
            <w:tcW w:w="1107" w:type="dxa"/>
            <w:tcBorders>
              <w:top w:val="nil"/>
              <w:left w:val="nil"/>
              <w:bottom w:val="single" w:sz="4" w:space="0" w:color="auto"/>
              <w:right w:val="single" w:sz="4" w:space="0" w:color="auto"/>
            </w:tcBorders>
            <w:shd w:val="clear" w:color="auto" w:fill="auto"/>
            <w:vAlign w:val="center"/>
            <w:hideMark/>
          </w:tcPr>
          <w:p w14:paraId="294D59CB" w14:textId="77777777" w:rsidR="009321EB" w:rsidRPr="009321EB" w:rsidRDefault="009321EB" w:rsidP="009321EB">
            <w:pPr>
              <w:jc w:val="center"/>
              <w:rPr>
                <w:rFonts w:cs="Calibri"/>
                <w:color w:val="000000"/>
                <w:sz w:val="22"/>
                <w:szCs w:val="22"/>
              </w:rPr>
            </w:pPr>
            <w:r w:rsidRPr="009321EB">
              <w:rPr>
                <w:rFonts w:cs="Calibri"/>
                <w:color w:val="000000"/>
                <w:sz w:val="22"/>
                <w:szCs w:val="22"/>
              </w:rPr>
              <w:t>328</w:t>
            </w:r>
          </w:p>
        </w:tc>
        <w:tc>
          <w:tcPr>
            <w:tcW w:w="1230" w:type="dxa"/>
            <w:tcBorders>
              <w:top w:val="nil"/>
              <w:left w:val="nil"/>
              <w:bottom w:val="single" w:sz="4" w:space="0" w:color="auto"/>
              <w:right w:val="single" w:sz="4" w:space="0" w:color="auto"/>
            </w:tcBorders>
            <w:shd w:val="clear" w:color="auto" w:fill="auto"/>
            <w:vAlign w:val="center"/>
            <w:hideMark/>
          </w:tcPr>
          <w:p w14:paraId="177A8C6D" w14:textId="77777777" w:rsidR="009321EB" w:rsidRPr="009321EB" w:rsidRDefault="009321EB" w:rsidP="009321EB">
            <w:pPr>
              <w:jc w:val="center"/>
              <w:rPr>
                <w:rFonts w:cs="Calibri"/>
                <w:color w:val="000000"/>
                <w:sz w:val="22"/>
                <w:szCs w:val="22"/>
              </w:rPr>
            </w:pPr>
            <w:r w:rsidRPr="009321EB">
              <w:rPr>
                <w:rFonts w:cs="Calibri"/>
                <w:color w:val="000000"/>
                <w:sz w:val="22"/>
                <w:szCs w:val="22"/>
              </w:rPr>
              <w:t>57,897</w:t>
            </w:r>
          </w:p>
        </w:tc>
        <w:tc>
          <w:tcPr>
            <w:tcW w:w="1019" w:type="dxa"/>
            <w:tcBorders>
              <w:top w:val="nil"/>
              <w:left w:val="nil"/>
              <w:bottom w:val="single" w:sz="4" w:space="0" w:color="auto"/>
              <w:right w:val="single" w:sz="4" w:space="0" w:color="auto"/>
            </w:tcBorders>
            <w:shd w:val="clear" w:color="auto" w:fill="auto"/>
            <w:vAlign w:val="center"/>
            <w:hideMark/>
          </w:tcPr>
          <w:p w14:paraId="5369F69B" w14:textId="77777777" w:rsidR="009321EB" w:rsidRPr="009321EB" w:rsidRDefault="009321EB" w:rsidP="009321EB">
            <w:pPr>
              <w:jc w:val="center"/>
              <w:rPr>
                <w:rFonts w:cs="Calibri"/>
                <w:color w:val="000000"/>
                <w:sz w:val="22"/>
                <w:szCs w:val="22"/>
              </w:rPr>
            </w:pPr>
            <w:r w:rsidRPr="009321EB">
              <w:rPr>
                <w:rFonts w:cs="Calibri"/>
                <w:color w:val="000000"/>
                <w:sz w:val="22"/>
                <w:szCs w:val="22"/>
              </w:rPr>
              <w:t>0.6%</w:t>
            </w:r>
          </w:p>
        </w:tc>
      </w:tr>
      <w:tr w:rsidR="009321EB" w:rsidRPr="009321EB" w14:paraId="7270EA11" w14:textId="77777777" w:rsidTr="00FA111D">
        <w:trPr>
          <w:trHeight w:val="1200"/>
          <w:jc w:val="center"/>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16A23A36" w14:textId="77777777" w:rsidR="009321EB" w:rsidRPr="009321EB" w:rsidRDefault="009321EB" w:rsidP="009321EB">
            <w:pPr>
              <w:jc w:val="center"/>
              <w:rPr>
                <w:rFonts w:cs="Calibri"/>
                <w:color w:val="000000"/>
                <w:sz w:val="22"/>
                <w:szCs w:val="22"/>
              </w:rPr>
            </w:pPr>
            <w:r w:rsidRPr="009321EB">
              <w:rPr>
                <w:rFonts w:cs="Calibri"/>
                <w:color w:val="000000"/>
                <w:sz w:val="22"/>
                <w:szCs w:val="22"/>
              </w:rPr>
              <w:t>7/25/2018</w:t>
            </w:r>
          </w:p>
        </w:tc>
        <w:tc>
          <w:tcPr>
            <w:tcW w:w="2311" w:type="dxa"/>
            <w:tcBorders>
              <w:top w:val="nil"/>
              <w:left w:val="nil"/>
              <w:bottom w:val="single" w:sz="4" w:space="0" w:color="auto"/>
              <w:right w:val="single" w:sz="4" w:space="0" w:color="auto"/>
            </w:tcBorders>
            <w:shd w:val="clear" w:color="auto" w:fill="auto"/>
            <w:vAlign w:val="center"/>
            <w:hideMark/>
          </w:tcPr>
          <w:p w14:paraId="689FDC6B" w14:textId="77777777" w:rsidR="009321EB" w:rsidRPr="009321EB" w:rsidRDefault="009321EB" w:rsidP="009321EB">
            <w:pPr>
              <w:rPr>
                <w:rFonts w:cs="Calibri"/>
                <w:sz w:val="22"/>
                <w:szCs w:val="22"/>
              </w:rPr>
            </w:pPr>
            <w:r w:rsidRPr="009321EB">
              <w:rPr>
                <w:rFonts w:cs="Calibri"/>
                <w:sz w:val="22"/>
                <w:szCs w:val="22"/>
              </w:rPr>
              <w:t xml:space="preserve">6 to 7 p.m. (PGSI) </w:t>
            </w:r>
            <w:r w:rsidRPr="009321EB">
              <w:rPr>
                <w:rFonts w:cs="Calibri"/>
                <w:sz w:val="22"/>
                <w:szCs w:val="22"/>
              </w:rPr>
              <w:br/>
              <w:t>4 to 7 p.m. (PGST)</w:t>
            </w:r>
          </w:p>
        </w:tc>
        <w:tc>
          <w:tcPr>
            <w:tcW w:w="1382" w:type="dxa"/>
            <w:tcBorders>
              <w:top w:val="nil"/>
              <w:left w:val="nil"/>
              <w:bottom w:val="single" w:sz="4" w:space="0" w:color="auto"/>
              <w:right w:val="single" w:sz="4" w:space="0" w:color="auto"/>
            </w:tcBorders>
            <w:shd w:val="clear" w:color="auto" w:fill="auto"/>
            <w:vAlign w:val="center"/>
            <w:hideMark/>
          </w:tcPr>
          <w:p w14:paraId="57D7D48E" w14:textId="77777777" w:rsidR="009321EB" w:rsidRPr="009321EB" w:rsidRDefault="009321EB" w:rsidP="009321EB">
            <w:pPr>
              <w:rPr>
                <w:rFonts w:cs="Calibri"/>
                <w:sz w:val="22"/>
                <w:szCs w:val="22"/>
              </w:rPr>
            </w:pPr>
            <w:r w:rsidRPr="009321EB">
              <w:rPr>
                <w:rFonts w:cs="Calibri"/>
                <w:sz w:val="22"/>
                <w:szCs w:val="22"/>
              </w:rPr>
              <w:t>PGST, PGSI</w:t>
            </w:r>
          </w:p>
        </w:tc>
        <w:tc>
          <w:tcPr>
            <w:tcW w:w="1107" w:type="dxa"/>
            <w:tcBorders>
              <w:top w:val="nil"/>
              <w:left w:val="nil"/>
              <w:bottom w:val="single" w:sz="4" w:space="0" w:color="auto"/>
              <w:right w:val="single" w:sz="4" w:space="0" w:color="auto"/>
            </w:tcBorders>
            <w:shd w:val="clear" w:color="auto" w:fill="auto"/>
            <w:vAlign w:val="center"/>
            <w:hideMark/>
          </w:tcPr>
          <w:p w14:paraId="0E0223B4" w14:textId="77777777" w:rsidR="009321EB" w:rsidRPr="009321EB" w:rsidRDefault="009321EB" w:rsidP="009321EB">
            <w:pPr>
              <w:jc w:val="center"/>
              <w:rPr>
                <w:rFonts w:cs="Calibri"/>
                <w:color w:val="000000"/>
                <w:sz w:val="22"/>
                <w:szCs w:val="22"/>
              </w:rPr>
            </w:pPr>
            <w:r w:rsidRPr="009321EB">
              <w:rPr>
                <w:rFonts w:cs="Calibri"/>
                <w:color w:val="000000"/>
                <w:sz w:val="22"/>
                <w:szCs w:val="22"/>
              </w:rPr>
              <w:t>266</w:t>
            </w:r>
          </w:p>
        </w:tc>
        <w:tc>
          <w:tcPr>
            <w:tcW w:w="1230" w:type="dxa"/>
            <w:tcBorders>
              <w:top w:val="nil"/>
              <w:left w:val="nil"/>
              <w:bottom w:val="single" w:sz="4" w:space="0" w:color="auto"/>
              <w:right w:val="single" w:sz="4" w:space="0" w:color="auto"/>
            </w:tcBorders>
            <w:shd w:val="clear" w:color="auto" w:fill="auto"/>
            <w:vAlign w:val="center"/>
            <w:hideMark/>
          </w:tcPr>
          <w:p w14:paraId="03207B3F" w14:textId="77777777" w:rsidR="009321EB" w:rsidRPr="009321EB" w:rsidRDefault="009321EB" w:rsidP="009321EB">
            <w:pPr>
              <w:jc w:val="center"/>
              <w:rPr>
                <w:rFonts w:cs="Calibri"/>
                <w:color w:val="000000"/>
                <w:sz w:val="22"/>
                <w:szCs w:val="22"/>
              </w:rPr>
            </w:pPr>
            <w:r w:rsidRPr="009321EB">
              <w:rPr>
                <w:rFonts w:cs="Calibri"/>
                <w:color w:val="000000"/>
                <w:sz w:val="22"/>
                <w:szCs w:val="22"/>
              </w:rPr>
              <w:t>20,269</w:t>
            </w:r>
          </w:p>
        </w:tc>
        <w:tc>
          <w:tcPr>
            <w:tcW w:w="1019" w:type="dxa"/>
            <w:tcBorders>
              <w:top w:val="nil"/>
              <w:left w:val="nil"/>
              <w:bottom w:val="single" w:sz="4" w:space="0" w:color="auto"/>
              <w:right w:val="single" w:sz="4" w:space="0" w:color="auto"/>
            </w:tcBorders>
            <w:shd w:val="clear" w:color="auto" w:fill="auto"/>
            <w:vAlign w:val="center"/>
            <w:hideMark/>
          </w:tcPr>
          <w:p w14:paraId="1024E4F9" w14:textId="77777777" w:rsidR="009321EB" w:rsidRPr="009321EB" w:rsidRDefault="009321EB" w:rsidP="009321EB">
            <w:pPr>
              <w:jc w:val="center"/>
              <w:rPr>
                <w:rFonts w:cs="Calibri"/>
                <w:color w:val="000000"/>
                <w:sz w:val="22"/>
                <w:szCs w:val="22"/>
              </w:rPr>
            </w:pPr>
            <w:r w:rsidRPr="009321EB">
              <w:rPr>
                <w:rFonts w:cs="Calibri"/>
                <w:color w:val="000000"/>
                <w:sz w:val="22"/>
                <w:szCs w:val="22"/>
              </w:rPr>
              <w:t>1.3%</w:t>
            </w:r>
          </w:p>
        </w:tc>
      </w:tr>
      <w:tr w:rsidR="009321EB" w:rsidRPr="009321EB" w14:paraId="2C12860B" w14:textId="77777777" w:rsidTr="00FA111D">
        <w:trPr>
          <w:trHeight w:val="1200"/>
          <w:jc w:val="center"/>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70D07533" w14:textId="77777777" w:rsidR="009321EB" w:rsidRPr="009321EB" w:rsidRDefault="009321EB" w:rsidP="009321EB">
            <w:pPr>
              <w:jc w:val="center"/>
              <w:rPr>
                <w:rFonts w:cs="Calibri"/>
                <w:color w:val="000000"/>
                <w:sz w:val="22"/>
                <w:szCs w:val="22"/>
              </w:rPr>
            </w:pPr>
            <w:r w:rsidRPr="009321EB">
              <w:rPr>
                <w:rFonts w:cs="Calibri"/>
                <w:color w:val="000000"/>
                <w:sz w:val="22"/>
                <w:szCs w:val="22"/>
              </w:rPr>
              <w:t>7/26/2018</w:t>
            </w:r>
          </w:p>
        </w:tc>
        <w:tc>
          <w:tcPr>
            <w:tcW w:w="2311" w:type="dxa"/>
            <w:tcBorders>
              <w:top w:val="nil"/>
              <w:left w:val="nil"/>
              <w:bottom w:val="single" w:sz="4" w:space="0" w:color="auto"/>
              <w:right w:val="single" w:sz="4" w:space="0" w:color="auto"/>
            </w:tcBorders>
            <w:shd w:val="clear" w:color="auto" w:fill="auto"/>
            <w:vAlign w:val="center"/>
            <w:hideMark/>
          </w:tcPr>
          <w:p w14:paraId="082D1C71" w14:textId="77777777" w:rsidR="009321EB" w:rsidRPr="009321EB" w:rsidRDefault="009321EB" w:rsidP="009321EB">
            <w:pPr>
              <w:rPr>
                <w:rFonts w:cs="Calibri"/>
                <w:sz w:val="22"/>
                <w:szCs w:val="22"/>
              </w:rPr>
            </w:pPr>
            <w:r w:rsidRPr="009321EB">
              <w:rPr>
                <w:rFonts w:cs="Calibri"/>
                <w:sz w:val="22"/>
                <w:szCs w:val="22"/>
              </w:rPr>
              <w:t>4 to 7 p.m.</w:t>
            </w:r>
            <w:r w:rsidRPr="009321EB">
              <w:rPr>
                <w:rFonts w:cs="Calibri"/>
                <w:sz w:val="22"/>
                <w:szCs w:val="22"/>
              </w:rPr>
              <w:br/>
              <w:t>3 to 6 p.m. (PGNC only)</w:t>
            </w:r>
          </w:p>
        </w:tc>
        <w:tc>
          <w:tcPr>
            <w:tcW w:w="1382" w:type="dxa"/>
            <w:tcBorders>
              <w:top w:val="nil"/>
              <w:left w:val="nil"/>
              <w:bottom w:val="single" w:sz="4" w:space="0" w:color="auto"/>
              <w:right w:val="single" w:sz="4" w:space="0" w:color="auto"/>
            </w:tcBorders>
            <w:shd w:val="clear" w:color="auto" w:fill="auto"/>
            <w:vAlign w:val="center"/>
            <w:hideMark/>
          </w:tcPr>
          <w:p w14:paraId="45A8D8B7" w14:textId="77777777" w:rsidR="009321EB" w:rsidRPr="009321EB" w:rsidRDefault="009321EB" w:rsidP="009321EB">
            <w:pPr>
              <w:rPr>
                <w:rFonts w:cs="Calibri"/>
                <w:sz w:val="22"/>
                <w:szCs w:val="22"/>
              </w:rPr>
            </w:pPr>
            <w:r w:rsidRPr="009321EB">
              <w:rPr>
                <w:rFonts w:cs="Calibri"/>
                <w:sz w:val="22"/>
                <w:szCs w:val="22"/>
              </w:rPr>
              <w:t>PGEB, PGFG, PGNC, PGST, PGZP</w:t>
            </w:r>
          </w:p>
        </w:tc>
        <w:tc>
          <w:tcPr>
            <w:tcW w:w="1107" w:type="dxa"/>
            <w:tcBorders>
              <w:top w:val="nil"/>
              <w:left w:val="nil"/>
              <w:bottom w:val="single" w:sz="4" w:space="0" w:color="auto"/>
              <w:right w:val="single" w:sz="4" w:space="0" w:color="auto"/>
            </w:tcBorders>
            <w:shd w:val="clear" w:color="auto" w:fill="auto"/>
            <w:vAlign w:val="center"/>
            <w:hideMark/>
          </w:tcPr>
          <w:p w14:paraId="798ED120" w14:textId="77777777" w:rsidR="009321EB" w:rsidRPr="009321EB" w:rsidRDefault="009321EB" w:rsidP="009321EB">
            <w:pPr>
              <w:jc w:val="center"/>
              <w:rPr>
                <w:rFonts w:cs="Calibri"/>
                <w:color w:val="000000"/>
                <w:sz w:val="22"/>
                <w:szCs w:val="22"/>
              </w:rPr>
            </w:pPr>
            <w:r w:rsidRPr="009321EB">
              <w:rPr>
                <w:rFonts w:cs="Calibri"/>
                <w:color w:val="000000"/>
                <w:sz w:val="22"/>
                <w:szCs w:val="22"/>
              </w:rPr>
              <w:t>132</w:t>
            </w:r>
          </w:p>
        </w:tc>
        <w:tc>
          <w:tcPr>
            <w:tcW w:w="1230" w:type="dxa"/>
            <w:tcBorders>
              <w:top w:val="nil"/>
              <w:left w:val="nil"/>
              <w:bottom w:val="single" w:sz="4" w:space="0" w:color="auto"/>
              <w:right w:val="single" w:sz="4" w:space="0" w:color="auto"/>
            </w:tcBorders>
            <w:shd w:val="clear" w:color="auto" w:fill="auto"/>
            <w:vAlign w:val="center"/>
            <w:hideMark/>
          </w:tcPr>
          <w:p w14:paraId="76F9A0FF" w14:textId="77777777" w:rsidR="009321EB" w:rsidRPr="009321EB" w:rsidRDefault="009321EB" w:rsidP="009321EB">
            <w:pPr>
              <w:jc w:val="center"/>
              <w:rPr>
                <w:rFonts w:cs="Calibri"/>
                <w:color w:val="000000"/>
                <w:sz w:val="22"/>
                <w:szCs w:val="22"/>
              </w:rPr>
            </w:pPr>
            <w:r w:rsidRPr="009321EB">
              <w:rPr>
                <w:rFonts w:cs="Calibri"/>
                <w:color w:val="000000"/>
                <w:sz w:val="22"/>
                <w:szCs w:val="22"/>
              </w:rPr>
              <w:t>28,088</w:t>
            </w:r>
          </w:p>
        </w:tc>
        <w:tc>
          <w:tcPr>
            <w:tcW w:w="1019" w:type="dxa"/>
            <w:tcBorders>
              <w:top w:val="nil"/>
              <w:left w:val="nil"/>
              <w:bottom w:val="single" w:sz="4" w:space="0" w:color="auto"/>
              <w:right w:val="single" w:sz="4" w:space="0" w:color="auto"/>
            </w:tcBorders>
            <w:shd w:val="clear" w:color="auto" w:fill="auto"/>
            <w:vAlign w:val="center"/>
            <w:hideMark/>
          </w:tcPr>
          <w:p w14:paraId="61A257E3" w14:textId="77777777" w:rsidR="009321EB" w:rsidRPr="009321EB" w:rsidRDefault="009321EB" w:rsidP="009321EB">
            <w:pPr>
              <w:jc w:val="center"/>
              <w:rPr>
                <w:rFonts w:cs="Calibri"/>
                <w:color w:val="000000"/>
                <w:sz w:val="22"/>
                <w:szCs w:val="22"/>
              </w:rPr>
            </w:pPr>
            <w:r w:rsidRPr="009321EB">
              <w:rPr>
                <w:rFonts w:cs="Calibri"/>
                <w:color w:val="000000"/>
                <w:sz w:val="22"/>
                <w:szCs w:val="22"/>
              </w:rPr>
              <w:t>0.5%</w:t>
            </w:r>
          </w:p>
        </w:tc>
      </w:tr>
      <w:tr w:rsidR="009321EB" w:rsidRPr="009321EB" w14:paraId="169271A0" w14:textId="77777777" w:rsidTr="00FA111D">
        <w:trPr>
          <w:trHeight w:val="600"/>
          <w:jc w:val="center"/>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5DAD2105" w14:textId="77777777" w:rsidR="009321EB" w:rsidRPr="009321EB" w:rsidRDefault="009321EB" w:rsidP="009321EB">
            <w:pPr>
              <w:jc w:val="center"/>
              <w:rPr>
                <w:rFonts w:cs="Calibri"/>
                <w:color w:val="000000"/>
                <w:sz w:val="22"/>
                <w:szCs w:val="22"/>
              </w:rPr>
            </w:pPr>
            <w:r w:rsidRPr="009321EB">
              <w:rPr>
                <w:rFonts w:cs="Calibri"/>
                <w:color w:val="000000"/>
                <w:sz w:val="22"/>
                <w:szCs w:val="22"/>
              </w:rPr>
              <w:t>7/27/2018</w:t>
            </w:r>
          </w:p>
        </w:tc>
        <w:tc>
          <w:tcPr>
            <w:tcW w:w="2311" w:type="dxa"/>
            <w:tcBorders>
              <w:top w:val="nil"/>
              <w:left w:val="nil"/>
              <w:bottom w:val="single" w:sz="4" w:space="0" w:color="auto"/>
              <w:right w:val="single" w:sz="4" w:space="0" w:color="auto"/>
            </w:tcBorders>
            <w:shd w:val="clear" w:color="auto" w:fill="auto"/>
            <w:vAlign w:val="center"/>
            <w:hideMark/>
          </w:tcPr>
          <w:p w14:paraId="55D8B287" w14:textId="77777777" w:rsidR="009321EB" w:rsidRPr="009321EB" w:rsidRDefault="009321EB" w:rsidP="009321EB">
            <w:pPr>
              <w:rPr>
                <w:rFonts w:cs="Calibri"/>
                <w:sz w:val="22"/>
                <w:szCs w:val="22"/>
              </w:rPr>
            </w:pPr>
            <w:r w:rsidRPr="009321EB">
              <w:rPr>
                <w:rFonts w:cs="Calibri"/>
                <w:sz w:val="22"/>
                <w:szCs w:val="22"/>
              </w:rPr>
              <w:t xml:space="preserve">7 to 11:59 p.m. </w:t>
            </w:r>
          </w:p>
        </w:tc>
        <w:tc>
          <w:tcPr>
            <w:tcW w:w="1382" w:type="dxa"/>
            <w:tcBorders>
              <w:top w:val="nil"/>
              <w:left w:val="nil"/>
              <w:bottom w:val="single" w:sz="4" w:space="0" w:color="auto"/>
              <w:right w:val="single" w:sz="4" w:space="0" w:color="auto"/>
            </w:tcBorders>
            <w:shd w:val="clear" w:color="auto" w:fill="auto"/>
            <w:vAlign w:val="center"/>
            <w:hideMark/>
          </w:tcPr>
          <w:p w14:paraId="7545CC97" w14:textId="77777777" w:rsidR="009321EB" w:rsidRPr="009321EB" w:rsidRDefault="009321EB" w:rsidP="009321EB">
            <w:pPr>
              <w:rPr>
                <w:rFonts w:cs="Calibri"/>
                <w:sz w:val="22"/>
                <w:szCs w:val="22"/>
              </w:rPr>
            </w:pPr>
            <w:r w:rsidRPr="009321EB">
              <w:rPr>
                <w:rFonts w:cs="Calibri"/>
                <w:sz w:val="22"/>
                <w:szCs w:val="22"/>
              </w:rPr>
              <w:t>PGNC</w:t>
            </w:r>
          </w:p>
        </w:tc>
        <w:tc>
          <w:tcPr>
            <w:tcW w:w="1107" w:type="dxa"/>
            <w:tcBorders>
              <w:top w:val="nil"/>
              <w:left w:val="nil"/>
              <w:bottom w:val="single" w:sz="4" w:space="0" w:color="auto"/>
              <w:right w:val="single" w:sz="4" w:space="0" w:color="auto"/>
            </w:tcBorders>
            <w:shd w:val="clear" w:color="auto" w:fill="auto"/>
            <w:vAlign w:val="center"/>
            <w:hideMark/>
          </w:tcPr>
          <w:p w14:paraId="11C6BE1C" w14:textId="77777777" w:rsidR="009321EB" w:rsidRPr="009321EB" w:rsidRDefault="009321EB" w:rsidP="009321EB">
            <w:pPr>
              <w:jc w:val="center"/>
              <w:rPr>
                <w:rFonts w:cs="Calibri"/>
                <w:color w:val="000000"/>
                <w:sz w:val="22"/>
                <w:szCs w:val="22"/>
              </w:rPr>
            </w:pPr>
            <w:r w:rsidRPr="009321EB">
              <w:rPr>
                <w:rFonts w:cs="Calibri"/>
                <w:color w:val="000000"/>
                <w:sz w:val="22"/>
                <w:szCs w:val="22"/>
              </w:rPr>
              <w:t>71</w:t>
            </w:r>
          </w:p>
        </w:tc>
        <w:tc>
          <w:tcPr>
            <w:tcW w:w="1230" w:type="dxa"/>
            <w:tcBorders>
              <w:top w:val="nil"/>
              <w:left w:val="nil"/>
              <w:bottom w:val="single" w:sz="4" w:space="0" w:color="auto"/>
              <w:right w:val="single" w:sz="4" w:space="0" w:color="auto"/>
            </w:tcBorders>
            <w:shd w:val="clear" w:color="auto" w:fill="auto"/>
            <w:vAlign w:val="center"/>
            <w:hideMark/>
          </w:tcPr>
          <w:p w14:paraId="1077F863" w14:textId="77777777" w:rsidR="009321EB" w:rsidRPr="009321EB" w:rsidRDefault="009321EB" w:rsidP="009321EB">
            <w:pPr>
              <w:jc w:val="center"/>
              <w:rPr>
                <w:rFonts w:cs="Calibri"/>
                <w:color w:val="000000"/>
                <w:sz w:val="22"/>
                <w:szCs w:val="22"/>
              </w:rPr>
            </w:pPr>
            <w:r w:rsidRPr="009321EB">
              <w:rPr>
                <w:rFonts w:cs="Calibri"/>
                <w:color w:val="000000"/>
                <w:sz w:val="22"/>
                <w:szCs w:val="22"/>
              </w:rPr>
              <w:t>731</w:t>
            </w:r>
          </w:p>
        </w:tc>
        <w:tc>
          <w:tcPr>
            <w:tcW w:w="1019" w:type="dxa"/>
            <w:tcBorders>
              <w:top w:val="nil"/>
              <w:left w:val="nil"/>
              <w:bottom w:val="single" w:sz="4" w:space="0" w:color="auto"/>
              <w:right w:val="single" w:sz="4" w:space="0" w:color="auto"/>
            </w:tcBorders>
            <w:shd w:val="clear" w:color="auto" w:fill="auto"/>
            <w:vAlign w:val="center"/>
            <w:hideMark/>
          </w:tcPr>
          <w:p w14:paraId="6580BAFD" w14:textId="77777777" w:rsidR="009321EB" w:rsidRPr="009321EB" w:rsidRDefault="009321EB" w:rsidP="009321EB">
            <w:pPr>
              <w:jc w:val="center"/>
              <w:rPr>
                <w:rFonts w:cs="Calibri"/>
                <w:color w:val="000000"/>
                <w:sz w:val="22"/>
                <w:szCs w:val="22"/>
              </w:rPr>
            </w:pPr>
            <w:r w:rsidRPr="009321EB">
              <w:rPr>
                <w:rFonts w:cs="Calibri"/>
                <w:color w:val="000000"/>
                <w:sz w:val="22"/>
                <w:szCs w:val="22"/>
              </w:rPr>
              <w:t>9.7%</w:t>
            </w:r>
          </w:p>
        </w:tc>
      </w:tr>
      <w:tr w:rsidR="009321EB" w:rsidRPr="009321EB" w14:paraId="0F2EBDA1" w14:textId="77777777" w:rsidTr="00FA111D">
        <w:trPr>
          <w:trHeight w:val="1200"/>
          <w:jc w:val="center"/>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0B1DC851" w14:textId="77777777" w:rsidR="009321EB" w:rsidRPr="009321EB" w:rsidRDefault="009321EB" w:rsidP="009321EB">
            <w:pPr>
              <w:jc w:val="center"/>
              <w:rPr>
                <w:rFonts w:cs="Calibri"/>
                <w:color w:val="000000"/>
                <w:sz w:val="22"/>
                <w:szCs w:val="22"/>
              </w:rPr>
            </w:pPr>
            <w:r w:rsidRPr="009321EB">
              <w:rPr>
                <w:rFonts w:cs="Calibri"/>
                <w:color w:val="000000"/>
                <w:sz w:val="22"/>
                <w:szCs w:val="22"/>
              </w:rPr>
              <w:t>8/8/2018</w:t>
            </w:r>
          </w:p>
        </w:tc>
        <w:tc>
          <w:tcPr>
            <w:tcW w:w="2311" w:type="dxa"/>
            <w:tcBorders>
              <w:top w:val="nil"/>
              <w:left w:val="nil"/>
              <w:bottom w:val="single" w:sz="4" w:space="0" w:color="auto"/>
              <w:right w:val="single" w:sz="4" w:space="0" w:color="auto"/>
            </w:tcBorders>
            <w:shd w:val="clear" w:color="auto" w:fill="auto"/>
            <w:vAlign w:val="center"/>
            <w:hideMark/>
          </w:tcPr>
          <w:p w14:paraId="109A7FF4" w14:textId="77777777" w:rsidR="009321EB" w:rsidRPr="009321EB" w:rsidRDefault="009321EB" w:rsidP="009321EB">
            <w:pPr>
              <w:rPr>
                <w:rFonts w:cs="Calibri"/>
                <w:sz w:val="22"/>
                <w:szCs w:val="22"/>
              </w:rPr>
            </w:pPr>
            <w:r w:rsidRPr="009321EB">
              <w:rPr>
                <w:rFonts w:cs="Calibri"/>
                <w:sz w:val="22"/>
                <w:szCs w:val="22"/>
              </w:rPr>
              <w:t>4 to 7 p.m.</w:t>
            </w:r>
          </w:p>
        </w:tc>
        <w:tc>
          <w:tcPr>
            <w:tcW w:w="1382" w:type="dxa"/>
            <w:tcBorders>
              <w:top w:val="nil"/>
              <w:left w:val="nil"/>
              <w:bottom w:val="single" w:sz="4" w:space="0" w:color="auto"/>
              <w:right w:val="single" w:sz="4" w:space="0" w:color="auto"/>
            </w:tcBorders>
            <w:shd w:val="clear" w:color="auto" w:fill="auto"/>
            <w:vAlign w:val="center"/>
            <w:hideMark/>
          </w:tcPr>
          <w:p w14:paraId="122B73C8" w14:textId="77777777" w:rsidR="009321EB" w:rsidRPr="009321EB" w:rsidRDefault="009321EB" w:rsidP="009321EB">
            <w:pPr>
              <w:rPr>
                <w:rFonts w:cs="Calibri"/>
                <w:sz w:val="22"/>
                <w:szCs w:val="22"/>
              </w:rPr>
            </w:pPr>
            <w:r w:rsidRPr="009321EB">
              <w:rPr>
                <w:rFonts w:cs="Calibri"/>
                <w:sz w:val="22"/>
                <w:szCs w:val="22"/>
              </w:rPr>
              <w:t>PGEB, PGF1, PGKN, PGST, PGZP</w:t>
            </w:r>
          </w:p>
        </w:tc>
        <w:tc>
          <w:tcPr>
            <w:tcW w:w="1107" w:type="dxa"/>
            <w:tcBorders>
              <w:top w:val="nil"/>
              <w:left w:val="nil"/>
              <w:bottom w:val="single" w:sz="4" w:space="0" w:color="auto"/>
              <w:right w:val="single" w:sz="4" w:space="0" w:color="auto"/>
            </w:tcBorders>
            <w:shd w:val="clear" w:color="auto" w:fill="auto"/>
            <w:vAlign w:val="center"/>
            <w:hideMark/>
          </w:tcPr>
          <w:p w14:paraId="280585B7" w14:textId="77777777" w:rsidR="009321EB" w:rsidRPr="009321EB" w:rsidRDefault="009321EB" w:rsidP="009321EB">
            <w:pPr>
              <w:jc w:val="center"/>
              <w:rPr>
                <w:rFonts w:cs="Calibri"/>
                <w:color w:val="000000"/>
                <w:sz w:val="22"/>
                <w:szCs w:val="22"/>
              </w:rPr>
            </w:pPr>
            <w:r w:rsidRPr="009321EB">
              <w:rPr>
                <w:rFonts w:cs="Calibri"/>
                <w:color w:val="000000"/>
                <w:sz w:val="22"/>
                <w:szCs w:val="22"/>
              </w:rPr>
              <w:t>77</w:t>
            </w:r>
          </w:p>
        </w:tc>
        <w:tc>
          <w:tcPr>
            <w:tcW w:w="1230" w:type="dxa"/>
            <w:tcBorders>
              <w:top w:val="nil"/>
              <w:left w:val="nil"/>
              <w:bottom w:val="single" w:sz="4" w:space="0" w:color="auto"/>
              <w:right w:val="single" w:sz="4" w:space="0" w:color="auto"/>
            </w:tcBorders>
            <w:shd w:val="clear" w:color="auto" w:fill="auto"/>
            <w:vAlign w:val="center"/>
            <w:hideMark/>
          </w:tcPr>
          <w:p w14:paraId="76E790F3" w14:textId="77777777" w:rsidR="009321EB" w:rsidRPr="009321EB" w:rsidRDefault="009321EB" w:rsidP="009321EB">
            <w:pPr>
              <w:jc w:val="center"/>
              <w:rPr>
                <w:rFonts w:cs="Calibri"/>
                <w:color w:val="000000"/>
                <w:sz w:val="22"/>
                <w:szCs w:val="22"/>
              </w:rPr>
            </w:pPr>
            <w:r w:rsidRPr="009321EB">
              <w:rPr>
                <w:rFonts w:cs="Calibri"/>
                <w:color w:val="000000"/>
                <w:sz w:val="22"/>
                <w:szCs w:val="22"/>
              </w:rPr>
              <w:t>53,802</w:t>
            </w:r>
          </w:p>
        </w:tc>
        <w:tc>
          <w:tcPr>
            <w:tcW w:w="1019" w:type="dxa"/>
            <w:tcBorders>
              <w:top w:val="nil"/>
              <w:left w:val="nil"/>
              <w:bottom w:val="single" w:sz="4" w:space="0" w:color="auto"/>
              <w:right w:val="single" w:sz="4" w:space="0" w:color="auto"/>
            </w:tcBorders>
            <w:shd w:val="clear" w:color="auto" w:fill="auto"/>
            <w:vAlign w:val="center"/>
            <w:hideMark/>
          </w:tcPr>
          <w:p w14:paraId="2CB0A175" w14:textId="77777777" w:rsidR="009321EB" w:rsidRPr="009321EB" w:rsidRDefault="009321EB" w:rsidP="009321EB">
            <w:pPr>
              <w:jc w:val="center"/>
              <w:rPr>
                <w:rFonts w:cs="Calibri"/>
                <w:color w:val="000000"/>
                <w:sz w:val="22"/>
                <w:szCs w:val="22"/>
              </w:rPr>
            </w:pPr>
            <w:r w:rsidRPr="009321EB">
              <w:rPr>
                <w:rFonts w:cs="Calibri"/>
                <w:color w:val="000000"/>
                <w:sz w:val="22"/>
                <w:szCs w:val="22"/>
              </w:rPr>
              <w:t>0.1%</w:t>
            </w:r>
          </w:p>
        </w:tc>
      </w:tr>
      <w:tr w:rsidR="009321EB" w:rsidRPr="009321EB" w14:paraId="6226B03A" w14:textId="77777777" w:rsidTr="00FA111D">
        <w:trPr>
          <w:trHeight w:val="1500"/>
          <w:jc w:val="center"/>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0F2D7ED7" w14:textId="77777777" w:rsidR="009321EB" w:rsidRPr="009321EB" w:rsidRDefault="009321EB" w:rsidP="009321EB">
            <w:pPr>
              <w:jc w:val="center"/>
              <w:rPr>
                <w:rFonts w:cs="Calibri"/>
                <w:color w:val="000000"/>
                <w:sz w:val="22"/>
                <w:szCs w:val="22"/>
              </w:rPr>
            </w:pPr>
            <w:r w:rsidRPr="009321EB">
              <w:rPr>
                <w:rFonts w:cs="Calibri"/>
                <w:color w:val="000000"/>
                <w:sz w:val="22"/>
                <w:szCs w:val="22"/>
              </w:rPr>
              <w:t>8/9/2018</w:t>
            </w:r>
          </w:p>
        </w:tc>
        <w:tc>
          <w:tcPr>
            <w:tcW w:w="2311" w:type="dxa"/>
            <w:tcBorders>
              <w:top w:val="nil"/>
              <w:left w:val="nil"/>
              <w:bottom w:val="single" w:sz="4" w:space="0" w:color="auto"/>
              <w:right w:val="single" w:sz="4" w:space="0" w:color="auto"/>
            </w:tcBorders>
            <w:shd w:val="clear" w:color="auto" w:fill="auto"/>
            <w:vAlign w:val="center"/>
            <w:hideMark/>
          </w:tcPr>
          <w:p w14:paraId="5F67BE2B" w14:textId="77777777" w:rsidR="009321EB" w:rsidRPr="009321EB" w:rsidRDefault="009321EB" w:rsidP="009321EB">
            <w:pPr>
              <w:rPr>
                <w:rFonts w:cs="Calibri"/>
                <w:sz w:val="22"/>
                <w:szCs w:val="22"/>
              </w:rPr>
            </w:pPr>
            <w:r w:rsidRPr="009321EB">
              <w:rPr>
                <w:rFonts w:cs="Calibri"/>
                <w:sz w:val="22"/>
                <w:szCs w:val="22"/>
              </w:rPr>
              <w:t xml:space="preserve">4 to 7 p.m. </w:t>
            </w:r>
          </w:p>
        </w:tc>
        <w:tc>
          <w:tcPr>
            <w:tcW w:w="1382" w:type="dxa"/>
            <w:tcBorders>
              <w:top w:val="nil"/>
              <w:left w:val="nil"/>
              <w:bottom w:val="single" w:sz="4" w:space="0" w:color="auto"/>
              <w:right w:val="single" w:sz="4" w:space="0" w:color="auto"/>
            </w:tcBorders>
            <w:shd w:val="clear" w:color="auto" w:fill="auto"/>
            <w:vAlign w:val="center"/>
            <w:hideMark/>
          </w:tcPr>
          <w:p w14:paraId="29F75D13" w14:textId="77777777" w:rsidR="009321EB" w:rsidRPr="009321EB" w:rsidRDefault="009321EB" w:rsidP="009321EB">
            <w:pPr>
              <w:rPr>
                <w:rFonts w:cs="Calibri"/>
                <w:sz w:val="22"/>
                <w:szCs w:val="22"/>
              </w:rPr>
            </w:pPr>
            <w:r w:rsidRPr="009321EB">
              <w:rPr>
                <w:rFonts w:cs="Calibri"/>
                <w:sz w:val="22"/>
                <w:szCs w:val="22"/>
              </w:rPr>
              <w:t>PGEB, PGF1, PGKN, PGST, PGZP, PGSI</w:t>
            </w:r>
          </w:p>
        </w:tc>
        <w:tc>
          <w:tcPr>
            <w:tcW w:w="1107" w:type="dxa"/>
            <w:tcBorders>
              <w:top w:val="nil"/>
              <w:left w:val="nil"/>
              <w:bottom w:val="single" w:sz="4" w:space="0" w:color="auto"/>
              <w:right w:val="single" w:sz="4" w:space="0" w:color="auto"/>
            </w:tcBorders>
            <w:shd w:val="clear" w:color="auto" w:fill="auto"/>
            <w:vAlign w:val="center"/>
            <w:hideMark/>
          </w:tcPr>
          <w:p w14:paraId="11BA797F" w14:textId="77777777" w:rsidR="009321EB" w:rsidRPr="009321EB" w:rsidRDefault="009321EB" w:rsidP="009321EB">
            <w:pPr>
              <w:jc w:val="center"/>
              <w:rPr>
                <w:rFonts w:cs="Calibri"/>
                <w:color w:val="000000"/>
                <w:sz w:val="22"/>
                <w:szCs w:val="22"/>
              </w:rPr>
            </w:pPr>
            <w:r w:rsidRPr="009321EB">
              <w:rPr>
                <w:rFonts w:cs="Calibri"/>
                <w:color w:val="000000"/>
                <w:sz w:val="22"/>
                <w:szCs w:val="22"/>
              </w:rPr>
              <w:t>184</w:t>
            </w:r>
          </w:p>
        </w:tc>
        <w:tc>
          <w:tcPr>
            <w:tcW w:w="1230" w:type="dxa"/>
            <w:tcBorders>
              <w:top w:val="nil"/>
              <w:left w:val="nil"/>
              <w:bottom w:val="single" w:sz="4" w:space="0" w:color="auto"/>
              <w:right w:val="single" w:sz="4" w:space="0" w:color="auto"/>
            </w:tcBorders>
            <w:shd w:val="clear" w:color="auto" w:fill="auto"/>
            <w:vAlign w:val="center"/>
            <w:hideMark/>
          </w:tcPr>
          <w:p w14:paraId="39D3BD93" w14:textId="77777777" w:rsidR="009321EB" w:rsidRPr="009321EB" w:rsidRDefault="009321EB" w:rsidP="009321EB">
            <w:pPr>
              <w:jc w:val="center"/>
              <w:rPr>
                <w:rFonts w:cs="Calibri"/>
                <w:color w:val="000000"/>
                <w:sz w:val="22"/>
                <w:szCs w:val="22"/>
              </w:rPr>
            </w:pPr>
            <w:r w:rsidRPr="009321EB">
              <w:rPr>
                <w:rFonts w:cs="Calibri"/>
                <w:color w:val="000000"/>
                <w:sz w:val="22"/>
                <w:szCs w:val="22"/>
              </w:rPr>
              <w:t>70,251</w:t>
            </w:r>
          </w:p>
        </w:tc>
        <w:tc>
          <w:tcPr>
            <w:tcW w:w="1019" w:type="dxa"/>
            <w:tcBorders>
              <w:top w:val="nil"/>
              <w:left w:val="nil"/>
              <w:bottom w:val="single" w:sz="4" w:space="0" w:color="auto"/>
              <w:right w:val="single" w:sz="4" w:space="0" w:color="auto"/>
            </w:tcBorders>
            <w:shd w:val="clear" w:color="auto" w:fill="auto"/>
            <w:vAlign w:val="center"/>
            <w:hideMark/>
          </w:tcPr>
          <w:p w14:paraId="0B1C9256" w14:textId="77777777" w:rsidR="009321EB" w:rsidRPr="009321EB" w:rsidRDefault="009321EB" w:rsidP="009321EB">
            <w:pPr>
              <w:jc w:val="center"/>
              <w:rPr>
                <w:rFonts w:cs="Calibri"/>
                <w:color w:val="000000"/>
                <w:sz w:val="22"/>
                <w:szCs w:val="22"/>
              </w:rPr>
            </w:pPr>
            <w:r w:rsidRPr="009321EB">
              <w:rPr>
                <w:rFonts w:cs="Calibri"/>
                <w:color w:val="000000"/>
                <w:sz w:val="22"/>
                <w:szCs w:val="22"/>
              </w:rPr>
              <w:t>0.3%</w:t>
            </w:r>
          </w:p>
        </w:tc>
      </w:tr>
      <w:tr w:rsidR="009321EB" w:rsidRPr="009321EB" w14:paraId="12A47EA5" w14:textId="77777777" w:rsidTr="00FA111D">
        <w:trPr>
          <w:trHeight w:val="900"/>
          <w:jc w:val="center"/>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014389C0" w14:textId="77777777" w:rsidR="009321EB" w:rsidRPr="009321EB" w:rsidRDefault="009321EB" w:rsidP="009321EB">
            <w:pPr>
              <w:jc w:val="center"/>
              <w:rPr>
                <w:rFonts w:cs="Calibri"/>
                <w:color w:val="000000"/>
                <w:sz w:val="22"/>
                <w:szCs w:val="22"/>
              </w:rPr>
            </w:pPr>
            <w:r w:rsidRPr="009321EB">
              <w:rPr>
                <w:rFonts w:cs="Calibri"/>
                <w:color w:val="000000"/>
                <w:sz w:val="22"/>
                <w:szCs w:val="22"/>
              </w:rPr>
              <w:t>8/10/2018</w:t>
            </w:r>
          </w:p>
        </w:tc>
        <w:tc>
          <w:tcPr>
            <w:tcW w:w="2311" w:type="dxa"/>
            <w:tcBorders>
              <w:top w:val="nil"/>
              <w:left w:val="nil"/>
              <w:bottom w:val="single" w:sz="4" w:space="0" w:color="auto"/>
              <w:right w:val="single" w:sz="4" w:space="0" w:color="auto"/>
            </w:tcBorders>
            <w:shd w:val="clear" w:color="auto" w:fill="auto"/>
            <w:vAlign w:val="center"/>
            <w:hideMark/>
          </w:tcPr>
          <w:p w14:paraId="170834B6" w14:textId="77777777" w:rsidR="009321EB" w:rsidRPr="009321EB" w:rsidRDefault="009321EB" w:rsidP="009321EB">
            <w:pPr>
              <w:rPr>
                <w:rFonts w:cs="Calibri"/>
                <w:sz w:val="22"/>
                <w:szCs w:val="22"/>
              </w:rPr>
            </w:pPr>
            <w:r w:rsidRPr="009321EB">
              <w:rPr>
                <w:rFonts w:cs="Calibri"/>
                <w:sz w:val="22"/>
                <w:szCs w:val="22"/>
              </w:rPr>
              <w:t>4 to 7 p.m.</w:t>
            </w:r>
          </w:p>
        </w:tc>
        <w:tc>
          <w:tcPr>
            <w:tcW w:w="1382" w:type="dxa"/>
            <w:tcBorders>
              <w:top w:val="nil"/>
              <w:left w:val="nil"/>
              <w:bottom w:val="single" w:sz="4" w:space="0" w:color="auto"/>
              <w:right w:val="single" w:sz="4" w:space="0" w:color="auto"/>
            </w:tcBorders>
            <w:shd w:val="clear" w:color="auto" w:fill="auto"/>
            <w:vAlign w:val="center"/>
            <w:hideMark/>
          </w:tcPr>
          <w:p w14:paraId="30DAF92B" w14:textId="77777777" w:rsidR="009321EB" w:rsidRPr="009321EB" w:rsidRDefault="009321EB" w:rsidP="009321EB">
            <w:pPr>
              <w:rPr>
                <w:rFonts w:cs="Calibri"/>
                <w:sz w:val="22"/>
                <w:szCs w:val="22"/>
              </w:rPr>
            </w:pPr>
            <w:r w:rsidRPr="009321EB">
              <w:rPr>
                <w:rFonts w:cs="Calibri"/>
                <w:sz w:val="22"/>
                <w:szCs w:val="22"/>
              </w:rPr>
              <w:t>PGF1, PGKN, PGZP</w:t>
            </w:r>
          </w:p>
        </w:tc>
        <w:tc>
          <w:tcPr>
            <w:tcW w:w="1107" w:type="dxa"/>
            <w:tcBorders>
              <w:top w:val="nil"/>
              <w:left w:val="nil"/>
              <w:bottom w:val="single" w:sz="4" w:space="0" w:color="auto"/>
              <w:right w:val="single" w:sz="4" w:space="0" w:color="auto"/>
            </w:tcBorders>
            <w:shd w:val="clear" w:color="auto" w:fill="auto"/>
            <w:vAlign w:val="center"/>
            <w:hideMark/>
          </w:tcPr>
          <w:p w14:paraId="5B95BDCC" w14:textId="77777777" w:rsidR="009321EB" w:rsidRPr="009321EB" w:rsidRDefault="009321EB" w:rsidP="009321EB">
            <w:pPr>
              <w:jc w:val="center"/>
              <w:rPr>
                <w:rFonts w:cs="Calibri"/>
                <w:color w:val="000000"/>
                <w:sz w:val="22"/>
                <w:szCs w:val="22"/>
              </w:rPr>
            </w:pPr>
            <w:r w:rsidRPr="009321EB">
              <w:rPr>
                <w:rFonts w:cs="Calibri"/>
                <w:color w:val="000000"/>
                <w:sz w:val="22"/>
                <w:szCs w:val="22"/>
              </w:rPr>
              <w:t>120</w:t>
            </w:r>
          </w:p>
        </w:tc>
        <w:tc>
          <w:tcPr>
            <w:tcW w:w="1230" w:type="dxa"/>
            <w:tcBorders>
              <w:top w:val="nil"/>
              <w:left w:val="nil"/>
              <w:bottom w:val="single" w:sz="4" w:space="0" w:color="auto"/>
              <w:right w:val="single" w:sz="4" w:space="0" w:color="auto"/>
            </w:tcBorders>
            <w:shd w:val="clear" w:color="auto" w:fill="auto"/>
            <w:vAlign w:val="center"/>
            <w:hideMark/>
          </w:tcPr>
          <w:p w14:paraId="1A9F3522" w14:textId="77777777" w:rsidR="009321EB" w:rsidRPr="009321EB" w:rsidRDefault="009321EB" w:rsidP="009321EB">
            <w:pPr>
              <w:jc w:val="center"/>
              <w:rPr>
                <w:rFonts w:cs="Calibri"/>
                <w:color w:val="000000"/>
                <w:sz w:val="22"/>
                <w:szCs w:val="22"/>
              </w:rPr>
            </w:pPr>
            <w:r w:rsidRPr="009321EB">
              <w:rPr>
                <w:rFonts w:cs="Calibri"/>
                <w:color w:val="000000"/>
                <w:sz w:val="22"/>
                <w:szCs w:val="22"/>
              </w:rPr>
              <w:t>25,148</w:t>
            </w:r>
          </w:p>
        </w:tc>
        <w:tc>
          <w:tcPr>
            <w:tcW w:w="1019" w:type="dxa"/>
            <w:tcBorders>
              <w:top w:val="nil"/>
              <w:left w:val="nil"/>
              <w:bottom w:val="single" w:sz="4" w:space="0" w:color="auto"/>
              <w:right w:val="single" w:sz="4" w:space="0" w:color="auto"/>
            </w:tcBorders>
            <w:shd w:val="clear" w:color="auto" w:fill="auto"/>
            <w:vAlign w:val="center"/>
            <w:hideMark/>
          </w:tcPr>
          <w:p w14:paraId="68C61870" w14:textId="77777777" w:rsidR="009321EB" w:rsidRPr="009321EB" w:rsidRDefault="009321EB" w:rsidP="009321EB">
            <w:pPr>
              <w:jc w:val="center"/>
              <w:rPr>
                <w:rFonts w:cs="Calibri"/>
                <w:color w:val="000000"/>
                <w:sz w:val="22"/>
                <w:szCs w:val="22"/>
              </w:rPr>
            </w:pPr>
            <w:r w:rsidRPr="009321EB">
              <w:rPr>
                <w:rFonts w:cs="Calibri"/>
                <w:color w:val="000000"/>
                <w:sz w:val="22"/>
                <w:szCs w:val="22"/>
              </w:rPr>
              <w:t>0.5%</w:t>
            </w:r>
          </w:p>
        </w:tc>
      </w:tr>
      <w:tr w:rsidR="009321EB" w:rsidRPr="009321EB" w14:paraId="4F5ED87D" w14:textId="77777777" w:rsidTr="00FA111D">
        <w:trPr>
          <w:trHeight w:val="300"/>
          <w:jc w:val="center"/>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4B9B4061" w14:textId="77777777" w:rsidR="009321EB" w:rsidRPr="009321EB" w:rsidRDefault="009321EB" w:rsidP="009321EB">
            <w:pPr>
              <w:jc w:val="center"/>
              <w:rPr>
                <w:rFonts w:cs="Calibri"/>
                <w:color w:val="000000"/>
                <w:sz w:val="22"/>
                <w:szCs w:val="22"/>
              </w:rPr>
            </w:pPr>
            <w:r w:rsidRPr="009321EB">
              <w:rPr>
                <w:rFonts w:cs="Calibri"/>
                <w:color w:val="000000"/>
                <w:sz w:val="22"/>
                <w:szCs w:val="22"/>
              </w:rPr>
              <w:t>9/26/2018</w:t>
            </w:r>
          </w:p>
        </w:tc>
        <w:tc>
          <w:tcPr>
            <w:tcW w:w="2311" w:type="dxa"/>
            <w:tcBorders>
              <w:top w:val="nil"/>
              <w:left w:val="nil"/>
              <w:bottom w:val="single" w:sz="4" w:space="0" w:color="auto"/>
              <w:right w:val="single" w:sz="4" w:space="0" w:color="auto"/>
            </w:tcBorders>
            <w:shd w:val="clear" w:color="auto" w:fill="auto"/>
            <w:vAlign w:val="center"/>
            <w:hideMark/>
          </w:tcPr>
          <w:p w14:paraId="1E01AB2C" w14:textId="77777777" w:rsidR="009321EB" w:rsidRPr="009321EB" w:rsidRDefault="009321EB" w:rsidP="009321EB">
            <w:pPr>
              <w:rPr>
                <w:rFonts w:cs="Calibri"/>
                <w:sz w:val="22"/>
                <w:szCs w:val="22"/>
              </w:rPr>
            </w:pPr>
            <w:r w:rsidRPr="009321EB">
              <w:rPr>
                <w:rFonts w:cs="Calibri"/>
                <w:sz w:val="22"/>
                <w:szCs w:val="22"/>
              </w:rPr>
              <w:t xml:space="preserve">5 to 8 p.m. </w:t>
            </w:r>
          </w:p>
        </w:tc>
        <w:tc>
          <w:tcPr>
            <w:tcW w:w="1382" w:type="dxa"/>
            <w:tcBorders>
              <w:top w:val="nil"/>
              <w:left w:val="nil"/>
              <w:bottom w:val="single" w:sz="4" w:space="0" w:color="auto"/>
              <w:right w:val="single" w:sz="4" w:space="0" w:color="auto"/>
            </w:tcBorders>
            <w:shd w:val="clear" w:color="auto" w:fill="auto"/>
            <w:vAlign w:val="center"/>
            <w:hideMark/>
          </w:tcPr>
          <w:p w14:paraId="411079F8" w14:textId="77777777" w:rsidR="009321EB" w:rsidRPr="009321EB" w:rsidRDefault="009321EB" w:rsidP="009321EB">
            <w:pPr>
              <w:rPr>
                <w:rFonts w:cs="Calibri"/>
                <w:sz w:val="22"/>
                <w:szCs w:val="22"/>
              </w:rPr>
            </w:pPr>
            <w:r w:rsidRPr="009321EB">
              <w:rPr>
                <w:rFonts w:cs="Calibri"/>
                <w:sz w:val="22"/>
                <w:szCs w:val="22"/>
              </w:rPr>
              <w:t>PGNC</w:t>
            </w:r>
          </w:p>
        </w:tc>
        <w:tc>
          <w:tcPr>
            <w:tcW w:w="1107" w:type="dxa"/>
            <w:tcBorders>
              <w:top w:val="nil"/>
              <w:left w:val="nil"/>
              <w:bottom w:val="single" w:sz="4" w:space="0" w:color="auto"/>
              <w:right w:val="single" w:sz="4" w:space="0" w:color="auto"/>
            </w:tcBorders>
            <w:shd w:val="clear" w:color="auto" w:fill="auto"/>
            <w:vAlign w:val="center"/>
            <w:hideMark/>
          </w:tcPr>
          <w:p w14:paraId="302407C5" w14:textId="77777777" w:rsidR="009321EB" w:rsidRPr="009321EB" w:rsidRDefault="009321EB" w:rsidP="009321EB">
            <w:pPr>
              <w:jc w:val="center"/>
              <w:rPr>
                <w:rFonts w:cs="Calibri"/>
                <w:color w:val="000000"/>
                <w:sz w:val="22"/>
                <w:szCs w:val="22"/>
              </w:rPr>
            </w:pPr>
            <w:r w:rsidRPr="009321EB">
              <w:rPr>
                <w:rFonts w:cs="Calibri"/>
                <w:color w:val="000000"/>
                <w:sz w:val="22"/>
                <w:szCs w:val="22"/>
              </w:rPr>
              <w:t>5</w:t>
            </w:r>
          </w:p>
        </w:tc>
        <w:tc>
          <w:tcPr>
            <w:tcW w:w="1230" w:type="dxa"/>
            <w:tcBorders>
              <w:top w:val="nil"/>
              <w:left w:val="nil"/>
              <w:bottom w:val="single" w:sz="4" w:space="0" w:color="auto"/>
              <w:right w:val="single" w:sz="4" w:space="0" w:color="auto"/>
            </w:tcBorders>
            <w:shd w:val="clear" w:color="auto" w:fill="auto"/>
            <w:vAlign w:val="center"/>
            <w:hideMark/>
          </w:tcPr>
          <w:p w14:paraId="714AE0E3" w14:textId="77777777" w:rsidR="009321EB" w:rsidRPr="009321EB" w:rsidRDefault="009321EB" w:rsidP="009321EB">
            <w:pPr>
              <w:jc w:val="center"/>
              <w:rPr>
                <w:rFonts w:cs="Calibri"/>
                <w:color w:val="000000"/>
                <w:sz w:val="22"/>
                <w:szCs w:val="22"/>
              </w:rPr>
            </w:pPr>
            <w:r w:rsidRPr="009321EB">
              <w:rPr>
                <w:rFonts w:cs="Calibri"/>
                <w:color w:val="000000"/>
                <w:sz w:val="22"/>
                <w:szCs w:val="22"/>
              </w:rPr>
              <w:t>719</w:t>
            </w:r>
          </w:p>
        </w:tc>
        <w:tc>
          <w:tcPr>
            <w:tcW w:w="1019" w:type="dxa"/>
            <w:tcBorders>
              <w:top w:val="nil"/>
              <w:left w:val="nil"/>
              <w:bottom w:val="single" w:sz="4" w:space="0" w:color="auto"/>
              <w:right w:val="single" w:sz="4" w:space="0" w:color="auto"/>
            </w:tcBorders>
            <w:shd w:val="clear" w:color="auto" w:fill="auto"/>
            <w:vAlign w:val="center"/>
            <w:hideMark/>
          </w:tcPr>
          <w:p w14:paraId="60A259E0" w14:textId="77777777" w:rsidR="009321EB" w:rsidRPr="009321EB" w:rsidRDefault="009321EB" w:rsidP="009321EB">
            <w:pPr>
              <w:jc w:val="center"/>
              <w:rPr>
                <w:rFonts w:cs="Calibri"/>
                <w:color w:val="000000"/>
                <w:sz w:val="22"/>
                <w:szCs w:val="22"/>
              </w:rPr>
            </w:pPr>
            <w:r w:rsidRPr="009321EB">
              <w:rPr>
                <w:rFonts w:cs="Calibri"/>
                <w:color w:val="000000"/>
                <w:sz w:val="22"/>
                <w:szCs w:val="22"/>
              </w:rPr>
              <w:t>0.7%</w:t>
            </w:r>
          </w:p>
        </w:tc>
      </w:tr>
      <w:tr w:rsidR="009321EB" w:rsidRPr="009321EB" w14:paraId="2B0AF99C" w14:textId="77777777" w:rsidTr="00FA111D">
        <w:trPr>
          <w:trHeight w:val="30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4A425C1" w14:textId="77777777" w:rsidR="009321EB" w:rsidRPr="009321EB" w:rsidRDefault="009321EB" w:rsidP="009321EB">
            <w:pPr>
              <w:jc w:val="right"/>
              <w:rPr>
                <w:rFonts w:cs="Calibri"/>
                <w:b/>
                <w:bCs/>
                <w:color w:val="000000"/>
                <w:sz w:val="22"/>
                <w:szCs w:val="22"/>
              </w:rPr>
            </w:pPr>
            <w:r w:rsidRPr="009321EB">
              <w:rPr>
                <w:rFonts w:cs="Calibri"/>
                <w:b/>
                <w:bCs/>
                <w:color w:val="000000"/>
                <w:sz w:val="22"/>
                <w:szCs w:val="22"/>
              </w:rPr>
              <w:t>Total</w:t>
            </w:r>
          </w:p>
        </w:tc>
        <w:tc>
          <w:tcPr>
            <w:tcW w:w="1107" w:type="dxa"/>
            <w:tcBorders>
              <w:top w:val="nil"/>
              <w:left w:val="nil"/>
              <w:bottom w:val="single" w:sz="4" w:space="0" w:color="auto"/>
              <w:right w:val="single" w:sz="4" w:space="0" w:color="auto"/>
            </w:tcBorders>
            <w:shd w:val="clear" w:color="auto" w:fill="auto"/>
            <w:vAlign w:val="center"/>
            <w:hideMark/>
          </w:tcPr>
          <w:p w14:paraId="284917A2" w14:textId="77777777" w:rsidR="009321EB" w:rsidRPr="009321EB" w:rsidRDefault="009321EB" w:rsidP="009321EB">
            <w:pPr>
              <w:jc w:val="center"/>
              <w:rPr>
                <w:rFonts w:cs="Calibri"/>
                <w:b/>
                <w:bCs/>
                <w:color w:val="000000"/>
                <w:sz w:val="22"/>
                <w:szCs w:val="22"/>
              </w:rPr>
            </w:pPr>
            <w:r w:rsidRPr="009321EB">
              <w:rPr>
                <w:rFonts w:cs="Calibri"/>
                <w:b/>
                <w:bCs/>
                <w:color w:val="000000"/>
                <w:sz w:val="22"/>
                <w:szCs w:val="22"/>
              </w:rPr>
              <w:t>1,328</w:t>
            </w:r>
          </w:p>
        </w:tc>
        <w:tc>
          <w:tcPr>
            <w:tcW w:w="1230" w:type="dxa"/>
            <w:tcBorders>
              <w:top w:val="nil"/>
              <w:left w:val="nil"/>
              <w:bottom w:val="single" w:sz="4" w:space="0" w:color="auto"/>
              <w:right w:val="single" w:sz="4" w:space="0" w:color="auto"/>
            </w:tcBorders>
            <w:shd w:val="clear" w:color="auto" w:fill="auto"/>
            <w:vAlign w:val="center"/>
            <w:hideMark/>
          </w:tcPr>
          <w:p w14:paraId="171C7660" w14:textId="77777777" w:rsidR="009321EB" w:rsidRPr="009321EB" w:rsidRDefault="009321EB" w:rsidP="009321EB">
            <w:pPr>
              <w:jc w:val="center"/>
              <w:rPr>
                <w:rFonts w:cs="Calibri"/>
                <w:b/>
                <w:bCs/>
                <w:color w:val="000000"/>
                <w:sz w:val="22"/>
                <w:szCs w:val="22"/>
              </w:rPr>
            </w:pPr>
            <w:r w:rsidRPr="009321EB">
              <w:rPr>
                <w:rFonts w:cs="Calibri"/>
                <w:b/>
                <w:bCs/>
                <w:color w:val="000000"/>
                <w:sz w:val="22"/>
                <w:szCs w:val="22"/>
              </w:rPr>
              <w:t>311,908</w:t>
            </w:r>
          </w:p>
        </w:tc>
        <w:tc>
          <w:tcPr>
            <w:tcW w:w="1019" w:type="dxa"/>
            <w:tcBorders>
              <w:top w:val="nil"/>
              <w:left w:val="nil"/>
              <w:bottom w:val="single" w:sz="4" w:space="0" w:color="auto"/>
              <w:right w:val="single" w:sz="4" w:space="0" w:color="auto"/>
            </w:tcBorders>
            <w:shd w:val="clear" w:color="auto" w:fill="auto"/>
            <w:vAlign w:val="center"/>
            <w:hideMark/>
          </w:tcPr>
          <w:p w14:paraId="39F5F028" w14:textId="77777777" w:rsidR="009321EB" w:rsidRPr="009321EB" w:rsidRDefault="009321EB" w:rsidP="009321EB">
            <w:pPr>
              <w:jc w:val="center"/>
              <w:rPr>
                <w:rFonts w:cs="Calibri"/>
                <w:b/>
                <w:bCs/>
                <w:color w:val="000000"/>
                <w:sz w:val="22"/>
                <w:szCs w:val="22"/>
              </w:rPr>
            </w:pPr>
            <w:r w:rsidRPr="009321EB">
              <w:rPr>
                <w:rFonts w:cs="Calibri"/>
                <w:b/>
                <w:bCs/>
                <w:color w:val="000000"/>
                <w:sz w:val="22"/>
                <w:szCs w:val="22"/>
              </w:rPr>
              <w:t>0.4%</w:t>
            </w:r>
          </w:p>
        </w:tc>
      </w:tr>
    </w:tbl>
    <w:p w14:paraId="13638F4B" w14:textId="6314657E" w:rsidR="00710329" w:rsidRDefault="00710329" w:rsidP="00D973D6">
      <w:pPr>
        <w:spacing w:after="120"/>
        <w:rPr>
          <w:szCs w:val="32"/>
        </w:rPr>
      </w:pPr>
    </w:p>
    <w:p w14:paraId="2086900E" w14:textId="77777777" w:rsidR="002146E8" w:rsidRDefault="002146E8" w:rsidP="00D973D6">
      <w:pPr>
        <w:spacing w:after="120"/>
        <w:rPr>
          <w:szCs w:val="32"/>
        </w:rPr>
      </w:pPr>
    </w:p>
    <w:p w14:paraId="67BEAD70" w14:textId="27F753B6" w:rsidR="00132CE7" w:rsidRDefault="003A20DB" w:rsidP="002E7153">
      <w:pPr>
        <w:pStyle w:val="Heading1"/>
      </w:pPr>
      <w:bookmarkStart w:id="123" w:name="_Toc4578161"/>
      <w:r w:rsidRPr="00B43067">
        <w:rPr>
          <w:i/>
        </w:rPr>
        <w:t>Ex-A</w:t>
      </w:r>
      <w:r w:rsidR="00132CE7" w:rsidRPr="00B43067">
        <w:rPr>
          <w:i/>
        </w:rPr>
        <w:t>nte</w:t>
      </w:r>
      <w:r w:rsidR="00132CE7">
        <w:t xml:space="preserve"> Load Impacts</w:t>
      </w:r>
      <w:bookmarkEnd w:id="123"/>
    </w:p>
    <w:p w14:paraId="3E87AC89" w14:textId="22BE0244" w:rsidR="001E58CE" w:rsidRDefault="001E58CE" w:rsidP="00311BBB">
      <w:pPr>
        <w:spacing w:after="120"/>
      </w:pPr>
      <w:r>
        <w:t xml:space="preserve">This section </w:t>
      </w:r>
      <w:r w:rsidR="006A7F87">
        <w:t>provides t</w:t>
      </w:r>
      <w:r>
        <w:t xml:space="preserve">he </w:t>
      </w:r>
      <w:r w:rsidRPr="00E6482F">
        <w:rPr>
          <w:i/>
        </w:rPr>
        <w:t>ex-</w:t>
      </w:r>
      <w:r w:rsidR="006A7F87">
        <w:rPr>
          <w:i/>
        </w:rPr>
        <w:t>ante</w:t>
      </w:r>
      <w:r>
        <w:t xml:space="preserve"> </w:t>
      </w:r>
      <w:r w:rsidR="00546AFB">
        <w:t>SmartAC™</w:t>
      </w:r>
      <w:r w:rsidR="00BF3DBD">
        <w:t xml:space="preserve"> </w:t>
      </w:r>
      <w:r>
        <w:t xml:space="preserve">load impact </w:t>
      </w:r>
      <w:r w:rsidR="006A7F87">
        <w:t>forecasts</w:t>
      </w:r>
      <w:r w:rsidR="00136471">
        <w:t xml:space="preserve"> for the period from 2019 to 2029. The forecasts are based on analyses</w:t>
      </w:r>
      <w:r w:rsidR="00D62F6C">
        <w:t xml:space="preserve"> of per-customer load impacts from </w:t>
      </w:r>
      <w:r w:rsidR="00D62F6C" w:rsidRPr="003C71C3">
        <w:rPr>
          <w:i/>
        </w:rPr>
        <w:t>ex-post</w:t>
      </w:r>
      <w:r w:rsidR="00D62F6C">
        <w:t xml:space="preserve"> evaluations, weather-sensitive reference loads, and incorporation of PG&amp;E’s forecasts of program enrollments.</w:t>
      </w:r>
      <w:r w:rsidR="00DD1541">
        <w:t xml:space="preserve"> Results are presented </w:t>
      </w:r>
      <w:r w:rsidR="005909E3">
        <w:t xml:space="preserve">for customers who are enrolled in </w:t>
      </w:r>
      <w:r w:rsidR="00546AFB">
        <w:t>SmartAC™</w:t>
      </w:r>
      <w:r w:rsidR="00D62F6C">
        <w:t>-only</w:t>
      </w:r>
      <w:r w:rsidR="005909E3">
        <w:t xml:space="preserve"> and for customers who are dually enr</w:t>
      </w:r>
      <w:r w:rsidR="00311BBB">
        <w:t xml:space="preserve">olled in </w:t>
      </w:r>
      <w:r w:rsidR="00546AFB">
        <w:t>SmartAC™</w:t>
      </w:r>
      <w:r w:rsidR="00311BBB">
        <w:t xml:space="preserve"> and SmartRate</w:t>
      </w:r>
      <w:r w:rsidR="001566D4">
        <w:rPr>
          <w:rFonts w:cs="Calibri"/>
        </w:rPr>
        <w:t>™</w:t>
      </w:r>
      <w:r w:rsidR="00311BBB">
        <w:t>.</w:t>
      </w:r>
      <w:r w:rsidR="008C2E63">
        <w:t xml:space="preserve"> W</w:t>
      </w:r>
      <w:r w:rsidR="00DD1541">
        <w:t xml:space="preserve">e present the following: a summary </w:t>
      </w:r>
      <w:r w:rsidR="008C2E63">
        <w:t xml:space="preserve">contrasting current enrollments with </w:t>
      </w:r>
      <w:r w:rsidR="006268D2">
        <w:t>the enrollment</w:t>
      </w:r>
      <w:r w:rsidR="008C2E63">
        <w:t>s</w:t>
      </w:r>
      <w:r w:rsidR="006268D2">
        <w:t xml:space="preserve"> forecast</w:t>
      </w:r>
      <w:r w:rsidR="008C2E63">
        <w:t xml:space="preserve">ed </w:t>
      </w:r>
      <w:r w:rsidR="006268D2">
        <w:t>by PG&amp;E</w:t>
      </w:r>
      <w:r w:rsidR="00DD1541">
        <w:t>;</w:t>
      </w:r>
      <w:r w:rsidR="008C2E63">
        <w:t xml:space="preserve"> a table and</w:t>
      </w:r>
      <w:r w:rsidR="008131D7">
        <w:t xml:space="preserve"> </w:t>
      </w:r>
      <w:r w:rsidR="00A95C1C">
        <w:t>figure</w:t>
      </w:r>
      <w:r w:rsidR="008C2E63">
        <w:t>s</w:t>
      </w:r>
      <w:r w:rsidR="00A95C1C">
        <w:t xml:space="preserve"> showing the hourly reference load</w:t>
      </w:r>
      <w:r w:rsidR="00226178">
        <w:t>s</w:t>
      </w:r>
      <w:r w:rsidR="00A95C1C">
        <w:t xml:space="preserve"> and load impact</w:t>
      </w:r>
      <w:r w:rsidR="008C2E63">
        <w:t>s</w:t>
      </w:r>
      <w:r w:rsidR="00A95C1C">
        <w:t xml:space="preserve"> on a typical event day; a figure</w:t>
      </w:r>
      <w:r w:rsidR="008C2E63">
        <w:t xml:space="preserve"> summarizing how </w:t>
      </w:r>
      <w:r w:rsidR="008C2E63" w:rsidRPr="00C45175">
        <w:rPr>
          <w:i/>
        </w:rPr>
        <w:t>ex-ante</w:t>
      </w:r>
      <w:r w:rsidR="008C2E63">
        <w:t xml:space="preserve"> load impacts vary by month and weather scenario; and a figure</w:t>
      </w:r>
      <w:r w:rsidR="00A95C1C">
        <w:t xml:space="preserve"> showing the share of load impacts </w:t>
      </w:r>
      <w:r w:rsidR="002030BF">
        <w:t xml:space="preserve">on a typical event day </w:t>
      </w:r>
      <w:r w:rsidR="00A95C1C">
        <w:t xml:space="preserve">by LCA. </w:t>
      </w:r>
      <w:r w:rsidRPr="00822514">
        <w:t>Detailed results for each hour</w:t>
      </w:r>
      <w:r w:rsidR="006268D2">
        <w:t xml:space="preserve">, weather scenario, </w:t>
      </w:r>
      <w:r w:rsidR="00546AA7">
        <w:t>month</w:t>
      </w:r>
      <w:r w:rsidR="006268D2">
        <w:t xml:space="preserve">, </w:t>
      </w:r>
      <w:r w:rsidR="00546AA7">
        <w:t xml:space="preserve">forecast </w:t>
      </w:r>
      <w:r w:rsidR="006268D2">
        <w:t>year</w:t>
      </w:r>
      <w:r w:rsidR="008C2E63">
        <w:t>, and enrollment segment (</w:t>
      </w:r>
      <w:r w:rsidR="008C2E63" w:rsidRPr="00540DAD">
        <w:rPr>
          <w:i/>
        </w:rPr>
        <w:t>i.e.</w:t>
      </w:r>
      <w:r w:rsidR="008E5119">
        <w:t>,</w:t>
      </w:r>
      <w:r w:rsidR="008C2E63">
        <w:t xml:space="preserve"> </w:t>
      </w:r>
      <w:r w:rsidR="00546AFB">
        <w:t>SmartAC™</w:t>
      </w:r>
      <w:r w:rsidR="008C2E63">
        <w:t>-only and dually enrolled customers)</w:t>
      </w:r>
      <w:r w:rsidR="006268D2">
        <w:t xml:space="preserve"> </w:t>
      </w:r>
      <w:r w:rsidR="00546AA7">
        <w:t>a</w:t>
      </w:r>
      <w:r>
        <w:t xml:space="preserve">re available </w:t>
      </w:r>
      <w:r w:rsidRPr="00822514">
        <w:t>in electronic form in Protocol table generators provided along with this report.</w:t>
      </w:r>
    </w:p>
    <w:p w14:paraId="548A01DC" w14:textId="57431CC6" w:rsidR="002B4C87" w:rsidRDefault="002B4C87" w:rsidP="008C2E63">
      <w:pPr>
        <w:spacing w:after="120"/>
        <w:rPr>
          <w:szCs w:val="32"/>
        </w:rPr>
      </w:pPr>
      <w:r>
        <w:rPr>
          <w:szCs w:val="32"/>
        </w:rPr>
        <w:t xml:space="preserve">The enrollment forecast provided by PG&amp;E did not vary over the years 2019 through 2029. Rather it makes a one-time shift in customer composition in 2019 and holds these customer counts constant for the remainder of the forecast period. </w:t>
      </w:r>
      <w:r w:rsidR="008C2E63">
        <w:rPr>
          <w:szCs w:val="32"/>
        </w:rPr>
        <w:fldChar w:fldCharType="begin"/>
      </w:r>
      <w:r w:rsidR="008C2E63">
        <w:rPr>
          <w:szCs w:val="32"/>
        </w:rPr>
        <w:instrText xml:space="preserve"> REF _Ref1306225 \h </w:instrText>
      </w:r>
      <w:r w:rsidR="008C2E63">
        <w:rPr>
          <w:szCs w:val="32"/>
        </w:rPr>
      </w:r>
      <w:r w:rsidR="008C2E63">
        <w:rPr>
          <w:szCs w:val="32"/>
        </w:rPr>
        <w:fldChar w:fldCharType="separate"/>
      </w:r>
      <w:r w:rsidR="00445DF3">
        <w:t xml:space="preserve">Table </w:t>
      </w:r>
      <w:r w:rsidR="00445DF3">
        <w:rPr>
          <w:noProof/>
        </w:rPr>
        <w:t>4</w:t>
      </w:r>
      <w:r w:rsidR="00445DF3">
        <w:noBreakHyphen/>
      </w:r>
      <w:r w:rsidR="00445DF3">
        <w:rPr>
          <w:noProof/>
        </w:rPr>
        <w:t>1</w:t>
      </w:r>
      <w:r w:rsidR="008C2E63">
        <w:rPr>
          <w:szCs w:val="32"/>
        </w:rPr>
        <w:fldChar w:fldCharType="end"/>
      </w:r>
      <w:r w:rsidR="008C2E63">
        <w:rPr>
          <w:szCs w:val="32"/>
        </w:rPr>
        <w:t xml:space="preserve"> </w:t>
      </w:r>
      <w:r>
        <w:rPr>
          <w:szCs w:val="32"/>
        </w:rPr>
        <w:t xml:space="preserve">compares customer composition by enrollment segment and LCA across events in 2018 to </w:t>
      </w:r>
      <w:r w:rsidR="008C2E63">
        <w:rPr>
          <w:szCs w:val="32"/>
        </w:rPr>
        <w:t>PG&amp;E’s forecast</w:t>
      </w:r>
      <w:r>
        <w:rPr>
          <w:szCs w:val="32"/>
        </w:rPr>
        <w:t>ed change in composition in 2019.</w:t>
      </w:r>
      <w:r w:rsidR="002004D9">
        <w:rPr>
          <w:rStyle w:val="FootnoteReference"/>
          <w:szCs w:val="32"/>
        </w:rPr>
        <w:footnoteReference w:id="11"/>
      </w:r>
      <w:r>
        <w:rPr>
          <w:szCs w:val="32"/>
        </w:rPr>
        <w:t xml:space="preserve"> Overall, enrollments are expected to increase in</w:t>
      </w:r>
      <w:r w:rsidR="00693E10">
        <w:rPr>
          <w:szCs w:val="32"/>
        </w:rPr>
        <w:t xml:space="preserve"> Greater Fresno, Other LCAs, Sierra, and Stockton and will decrease in </w:t>
      </w:r>
      <w:r w:rsidR="00A215E7">
        <w:rPr>
          <w:szCs w:val="32"/>
        </w:rPr>
        <w:t>the Greater Bay Area</w:t>
      </w:r>
      <w:r w:rsidR="00693E10">
        <w:rPr>
          <w:szCs w:val="32"/>
        </w:rPr>
        <w:t xml:space="preserve">, Humboldt, Kern, and Northern Coast. </w:t>
      </w:r>
      <w:r w:rsidR="00A215E7">
        <w:rPr>
          <w:szCs w:val="32"/>
        </w:rPr>
        <w:t>T</w:t>
      </w:r>
      <w:r>
        <w:rPr>
          <w:szCs w:val="32"/>
        </w:rPr>
        <w:t>he largest increase</w:t>
      </w:r>
      <w:r w:rsidR="00A215E7">
        <w:rPr>
          <w:szCs w:val="32"/>
        </w:rPr>
        <w:t xml:space="preserve"> will be in Greater Fresno</w:t>
      </w:r>
      <w:r w:rsidR="00693E10">
        <w:rPr>
          <w:szCs w:val="32"/>
        </w:rPr>
        <w:t xml:space="preserve"> (1,407 additional customers) and the largest decrease with be in the Greater Bay Area (1,551 fewer customers)</w:t>
      </w:r>
      <w:r>
        <w:rPr>
          <w:szCs w:val="32"/>
        </w:rPr>
        <w:t xml:space="preserve">. Comparing the changes in enrollments for dually enrolled customers compared to </w:t>
      </w:r>
      <w:r w:rsidR="00546AFB">
        <w:rPr>
          <w:szCs w:val="32"/>
        </w:rPr>
        <w:t>SmartAC™</w:t>
      </w:r>
      <w:r>
        <w:rPr>
          <w:szCs w:val="32"/>
        </w:rPr>
        <w:t xml:space="preserve">-only customers, we can see that there is a shift away from dually enrolled to </w:t>
      </w:r>
      <w:r w:rsidR="00546AFB">
        <w:rPr>
          <w:szCs w:val="32"/>
        </w:rPr>
        <w:t>SmartAC™</w:t>
      </w:r>
      <w:r>
        <w:rPr>
          <w:szCs w:val="32"/>
        </w:rPr>
        <w:t>-only.</w:t>
      </w:r>
      <w:r w:rsidR="00807BD0">
        <w:rPr>
          <w:rStyle w:val="FootnoteReference"/>
          <w:szCs w:val="32"/>
        </w:rPr>
        <w:footnoteReference w:id="12"/>
      </w:r>
      <w:r w:rsidR="00FD4059" w:rsidRPr="0064016C">
        <w:rPr>
          <w:szCs w:val="32"/>
          <w:vertAlign w:val="superscript"/>
        </w:rPr>
        <w:t>,</w:t>
      </w:r>
      <w:r w:rsidR="006E78CA">
        <w:rPr>
          <w:rStyle w:val="FootnoteReference"/>
          <w:szCs w:val="32"/>
        </w:rPr>
        <w:footnoteReference w:id="13"/>
      </w:r>
      <w:r w:rsidR="000A7981">
        <w:rPr>
          <w:szCs w:val="32"/>
        </w:rPr>
        <w:t xml:space="preserve"> </w:t>
      </w:r>
      <w:r w:rsidR="00600114">
        <w:rPr>
          <w:szCs w:val="32"/>
        </w:rPr>
        <w:t xml:space="preserve">Customers enrolled only in the </w:t>
      </w:r>
      <w:r w:rsidR="00546AFB">
        <w:rPr>
          <w:szCs w:val="32"/>
        </w:rPr>
        <w:t>SmartAC™</w:t>
      </w:r>
      <w:r w:rsidR="00600114">
        <w:rPr>
          <w:szCs w:val="32"/>
        </w:rPr>
        <w:t xml:space="preserve"> program</w:t>
      </w:r>
      <w:r w:rsidR="000A7981">
        <w:rPr>
          <w:szCs w:val="32"/>
        </w:rPr>
        <w:t xml:space="preserve"> are forecasted to</w:t>
      </w:r>
      <w:r w:rsidR="00DB62AA">
        <w:rPr>
          <w:szCs w:val="32"/>
        </w:rPr>
        <w:t xml:space="preserve"> decrease in Northern Coast, while all other LCAs (except Humboldt) are expected to increase. T</w:t>
      </w:r>
      <w:r w:rsidR="000A7981">
        <w:rPr>
          <w:szCs w:val="32"/>
        </w:rPr>
        <w:t>he largest increase will occur in</w:t>
      </w:r>
      <w:r w:rsidR="00693E10">
        <w:rPr>
          <w:szCs w:val="32"/>
        </w:rPr>
        <w:t xml:space="preserve"> the</w:t>
      </w:r>
      <w:r w:rsidR="00DB62AA">
        <w:rPr>
          <w:szCs w:val="32"/>
        </w:rPr>
        <w:t xml:space="preserve"> Greater</w:t>
      </w:r>
      <w:r w:rsidR="00693E10">
        <w:rPr>
          <w:szCs w:val="32"/>
        </w:rPr>
        <w:t xml:space="preserve"> Bay Area (2,138 additional customers), while the largest percentage increase will occur in Greater</w:t>
      </w:r>
      <w:r w:rsidR="00DB62AA">
        <w:rPr>
          <w:szCs w:val="32"/>
        </w:rPr>
        <w:t xml:space="preserve"> Fresno and </w:t>
      </w:r>
      <w:r w:rsidR="00FF7AA5">
        <w:rPr>
          <w:szCs w:val="32"/>
        </w:rPr>
        <w:t>Stockton (10 percent)</w:t>
      </w:r>
      <w:r w:rsidR="000A7981">
        <w:rPr>
          <w:szCs w:val="32"/>
        </w:rPr>
        <w:t>.</w:t>
      </w:r>
    </w:p>
    <w:p w14:paraId="6768E5CF" w14:textId="508B8614" w:rsidR="00700C04" w:rsidRDefault="00700C04" w:rsidP="00FD79CF">
      <w:pPr>
        <w:pStyle w:val="TableCaption"/>
        <w:keepLines/>
      </w:pPr>
      <w:bookmarkStart w:id="124" w:name="_Ref1306225"/>
      <w:bookmarkStart w:id="125" w:name="_Ref1306211"/>
      <w:bookmarkStart w:id="126" w:name="_Toc4578184"/>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4</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1</w:t>
      </w:r>
      <w:r w:rsidR="005D5F52">
        <w:rPr>
          <w:noProof/>
        </w:rPr>
        <w:fldChar w:fldCharType="end"/>
      </w:r>
      <w:bookmarkEnd w:id="124"/>
      <w:r>
        <w:t xml:space="preserve">: Changes in Enrollment </w:t>
      </w:r>
      <w:r w:rsidR="006E41E3">
        <w:t xml:space="preserve">by LCA and Enrollment Segment: </w:t>
      </w:r>
      <w:r>
        <w:t>2018-2019</w:t>
      </w:r>
      <w:bookmarkEnd w:id="125"/>
      <w:bookmarkEnd w:id="126"/>
    </w:p>
    <w:tbl>
      <w:tblPr>
        <w:tblW w:w="8028" w:type="dxa"/>
        <w:jc w:val="center"/>
        <w:tblLook w:val="04A0" w:firstRow="1" w:lastRow="0" w:firstColumn="1" w:lastColumn="0" w:noHBand="0" w:noVBand="1"/>
      </w:tblPr>
      <w:tblGrid>
        <w:gridCol w:w="2080"/>
        <w:gridCol w:w="1680"/>
        <w:gridCol w:w="1450"/>
        <w:gridCol w:w="1890"/>
        <w:gridCol w:w="928"/>
      </w:tblGrid>
      <w:tr w:rsidR="00AD29D1" w:rsidRPr="00AD29D1" w14:paraId="7999FE9B" w14:textId="77777777" w:rsidTr="00B41E3C">
        <w:trPr>
          <w:trHeight w:val="510"/>
          <w:jc w:val="center"/>
        </w:trPr>
        <w:tc>
          <w:tcPr>
            <w:tcW w:w="2080" w:type="dxa"/>
            <w:tcBorders>
              <w:top w:val="single" w:sz="4" w:space="0" w:color="E7E6E6"/>
              <w:left w:val="single" w:sz="4" w:space="0" w:color="FFFFFF"/>
              <w:bottom w:val="nil"/>
              <w:right w:val="single" w:sz="4" w:space="0" w:color="FFFFFF"/>
            </w:tcBorders>
            <w:shd w:val="clear" w:color="000000" w:fill="0C2577"/>
            <w:vAlign w:val="center"/>
            <w:hideMark/>
          </w:tcPr>
          <w:p w14:paraId="4829450F" w14:textId="77777777" w:rsidR="00AD29D1" w:rsidRPr="00AD29D1" w:rsidRDefault="00AD29D1" w:rsidP="00FD79CF">
            <w:pPr>
              <w:keepNext/>
              <w:jc w:val="center"/>
              <w:rPr>
                <w:rFonts w:cs="Calibri"/>
                <w:b/>
                <w:bCs/>
                <w:color w:val="FFFFFF"/>
                <w:sz w:val="20"/>
                <w:szCs w:val="20"/>
              </w:rPr>
            </w:pPr>
            <w:r w:rsidRPr="00AD29D1">
              <w:rPr>
                <w:rFonts w:cs="Calibri"/>
                <w:b/>
                <w:bCs/>
                <w:color w:val="FFFFFF"/>
                <w:sz w:val="20"/>
                <w:szCs w:val="20"/>
              </w:rPr>
              <w:t>Enrollment Segment</w:t>
            </w:r>
          </w:p>
        </w:tc>
        <w:tc>
          <w:tcPr>
            <w:tcW w:w="1680" w:type="dxa"/>
            <w:tcBorders>
              <w:top w:val="single" w:sz="4" w:space="0" w:color="E7E6E6"/>
              <w:left w:val="nil"/>
              <w:bottom w:val="nil"/>
              <w:right w:val="single" w:sz="4" w:space="0" w:color="FFFFFF"/>
            </w:tcBorders>
            <w:shd w:val="clear" w:color="000000" w:fill="0C2577"/>
            <w:vAlign w:val="center"/>
            <w:hideMark/>
          </w:tcPr>
          <w:p w14:paraId="724B292A" w14:textId="77777777" w:rsidR="00AD29D1" w:rsidRPr="00AD29D1" w:rsidRDefault="00AD29D1" w:rsidP="00FD79CF">
            <w:pPr>
              <w:keepNext/>
              <w:jc w:val="center"/>
              <w:rPr>
                <w:rFonts w:cs="Calibri"/>
                <w:b/>
                <w:bCs/>
                <w:color w:val="FFFFFF"/>
                <w:sz w:val="20"/>
                <w:szCs w:val="20"/>
              </w:rPr>
            </w:pPr>
            <w:r w:rsidRPr="00AD29D1">
              <w:rPr>
                <w:rFonts w:cs="Calibri"/>
                <w:b/>
                <w:bCs/>
                <w:color w:val="FFFFFF"/>
                <w:sz w:val="20"/>
                <w:szCs w:val="20"/>
              </w:rPr>
              <w:t>LCA</w:t>
            </w:r>
          </w:p>
        </w:tc>
        <w:tc>
          <w:tcPr>
            <w:tcW w:w="1450" w:type="dxa"/>
            <w:tcBorders>
              <w:top w:val="single" w:sz="4" w:space="0" w:color="E7E6E6"/>
              <w:left w:val="nil"/>
              <w:bottom w:val="nil"/>
              <w:right w:val="single" w:sz="4" w:space="0" w:color="FFFFFF"/>
            </w:tcBorders>
            <w:shd w:val="clear" w:color="000000" w:fill="0C2577"/>
            <w:vAlign w:val="center"/>
            <w:hideMark/>
          </w:tcPr>
          <w:p w14:paraId="4877237F" w14:textId="77777777" w:rsidR="00AD29D1" w:rsidRPr="00AD29D1" w:rsidRDefault="00AD29D1" w:rsidP="00FD79CF">
            <w:pPr>
              <w:keepNext/>
              <w:jc w:val="center"/>
              <w:rPr>
                <w:rFonts w:cs="Calibri"/>
                <w:b/>
                <w:bCs/>
                <w:color w:val="FFFFFF"/>
                <w:sz w:val="20"/>
                <w:szCs w:val="20"/>
              </w:rPr>
            </w:pPr>
            <w:r w:rsidRPr="00AD29D1">
              <w:rPr>
                <w:rFonts w:cs="Calibri"/>
                <w:b/>
                <w:bCs/>
                <w:color w:val="FFFFFF"/>
                <w:sz w:val="20"/>
                <w:szCs w:val="20"/>
              </w:rPr>
              <w:t>Average 2018 Enrollment</w:t>
            </w:r>
          </w:p>
        </w:tc>
        <w:tc>
          <w:tcPr>
            <w:tcW w:w="1890" w:type="dxa"/>
            <w:tcBorders>
              <w:top w:val="single" w:sz="4" w:space="0" w:color="E7E6E6"/>
              <w:left w:val="nil"/>
              <w:bottom w:val="nil"/>
              <w:right w:val="single" w:sz="4" w:space="0" w:color="FFFFFF"/>
            </w:tcBorders>
            <w:shd w:val="clear" w:color="000000" w:fill="0C2577"/>
            <w:vAlign w:val="center"/>
            <w:hideMark/>
          </w:tcPr>
          <w:p w14:paraId="1D99A711" w14:textId="77777777" w:rsidR="00AD29D1" w:rsidRPr="00AD29D1" w:rsidRDefault="00AD29D1" w:rsidP="00FD79CF">
            <w:pPr>
              <w:keepNext/>
              <w:jc w:val="center"/>
              <w:rPr>
                <w:rFonts w:cs="Calibri"/>
                <w:b/>
                <w:bCs/>
                <w:color w:val="FFFFFF"/>
                <w:sz w:val="20"/>
                <w:szCs w:val="20"/>
              </w:rPr>
            </w:pPr>
            <w:r w:rsidRPr="00AD29D1">
              <w:rPr>
                <w:rFonts w:cs="Calibri"/>
                <w:b/>
                <w:bCs/>
                <w:color w:val="FFFFFF"/>
                <w:sz w:val="20"/>
                <w:szCs w:val="20"/>
              </w:rPr>
              <w:t>Forecast Enrollment 2019-2029</w:t>
            </w:r>
          </w:p>
        </w:tc>
        <w:tc>
          <w:tcPr>
            <w:tcW w:w="928" w:type="dxa"/>
            <w:tcBorders>
              <w:top w:val="nil"/>
              <w:left w:val="nil"/>
              <w:bottom w:val="nil"/>
              <w:right w:val="nil"/>
            </w:tcBorders>
            <w:shd w:val="clear" w:color="000000" w:fill="0C2577"/>
            <w:vAlign w:val="center"/>
            <w:hideMark/>
          </w:tcPr>
          <w:p w14:paraId="2AAAE82E" w14:textId="77777777" w:rsidR="00AD29D1" w:rsidRPr="00AD29D1" w:rsidRDefault="00AD29D1" w:rsidP="00FD79CF">
            <w:pPr>
              <w:keepNext/>
              <w:jc w:val="center"/>
              <w:rPr>
                <w:rFonts w:cs="Calibri"/>
                <w:b/>
                <w:bCs/>
                <w:color w:val="FFFFFF"/>
                <w:sz w:val="20"/>
                <w:szCs w:val="20"/>
              </w:rPr>
            </w:pPr>
            <w:r w:rsidRPr="00AD29D1">
              <w:rPr>
                <w:rFonts w:cs="Calibri"/>
                <w:b/>
                <w:bCs/>
                <w:color w:val="FFFFFF"/>
                <w:sz w:val="20"/>
                <w:szCs w:val="20"/>
              </w:rPr>
              <w:t>Percent Change</w:t>
            </w:r>
          </w:p>
        </w:tc>
      </w:tr>
      <w:tr w:rsidR="00AD29D1" w:rsidRPr="00AD29D1" w14:paraId="7F92E7D3" w14:textId="77777777" w:rsidTr="00B41E3C">
        <w:trPr>
          <w:trHeight w:val="300"/>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6E9B" w14:textId="77777777" w:rsidR="00AD29D1" w:rsidRPr="00AD29D1" w:rsidRDefault="00AD29D1" w:rsidP="00FD79CF">
            <w:pPr>
              <w:keepNext/>
              <w:jc w:val="center"/>
              <w:rPr>
                <w:rFonts w:cs="Calibri"/>
                <w:color w:val="000000"/>
                <w:sz w:val="20"/>
                <w:szCs w:val="20"/>
              </w:rPr>
            </w:pPr>
            <w:r w:rsidRPr="00AD29D1">
              <w:rPr>
                <w:rFonts w:cs="Calibri"/>
                <w:color w:val="000000"/>
                <w:sz w:val="20"/>
                <w:szCs w:val="20"/>
              </w:rPr>
              <w:t>All</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01A4F22D" w14:textId="77777777" w:rsidR="00AD29D1" w:rsidRPr="00AD29D1" w:rsidRDefault="00AD29D1" w:rsidP="00FD79CF">
            <w:pPr>
              <w:keepNext/>
              <w:rPr>
                <w:rFonts w:cs="Calibri"/>
                <w:color w:val="000000"/>
                <w:sz w:val="20"/>
                <w:szCs w:val="20"/>
              </w:rPr>
            </w:pPr>
            <w:r w:rsidRPr="00AD29D1">
              <w:rPr>
                <w:rFonts w:cs="Calibri"/>
                <w:color w:val="000000"/>
                <w:sz w:val="20"/>
                <w:szCs w:val="20"/>
              </w:rPr>
              <w:t>Greater Bay Area</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2FEB4EDD"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33,440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713D35B2"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31,889</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14:paraId="5441E8F5"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-5%</w:t>
            </w:r>
          </w:p>
        </w:tc>
      </w:tr>
      <w:tr w:rsidR="00AD29D1" w:rsidRPr="00AD29D1" w14:paraId="6F0C62D6" w14:textId="77777777" w:rsidTr="00B41E3C">
        <w:trPr>
          <w:trHeight w:val="360"/>
          <w:jc w:val="center"/>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41D48E47"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126300C1" w14:textId="77777777" w:rsidR="00AD29D1" w:rsidRPr="00AD29D1" w:rsidRDefault="00AD29D1" w:rsidP="00FD79CF">
            <w:pPr>
              <w:keepNext/>
              <w:rPr>
                <w:rFonts w:cs="Calibri"/>
                <w:color w:val="000000"/>
                <w:sz w:val="20"/>
                <w:szCs w:val="20"/>
              </w:rPr>
            </w:pPr>
            <w:r w:rsidRPr="00AD29D1">
              <w:rPr>
                <w:rFonts w:cs="Calibri"/>
                <w:color w:val="000000"/>
                <w:sz w:val="20"/>
                <w:szCs w:val="20"/>
              </w:rPr>
              <w:t>Greater Fresno</w:t>
            </w:r>
          </w:p>
        </w:tc>
        <w:tc>
          <w:tcPr>
            <w:tcW w:w="1450" w:type="dxa"/>
            <w:tcBorders>
              <w:top w:val="nil"/>
              <w:left w:val="nil"/>
              <w:bottom w:val="single" w:sz="4" w:space="0" w:color="auto"/>
              <w:right w:val="single" w:sz="4" w:space="0" w:color="auto"/>
            </w:tcBorders>
            <w:shd w:val="clear" w:color="auto" w:fill="auto"/>
            <w:noWrap/>
            <w:vAlign w:val="bottom"/>
            <w:hideMark/>
          </w:tcPr>
          <w:p w14:paraId="7B20A01C"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17,348</w:t>
            </w:r>
          </w:p>
        </w:tc>
        <w:tc>
          <w:tcPr>
            <w:tcW w:w="1890" w:type="dxa"/>
            <w:tcBorders>
              <w:top w:val="nil"/>
              <w:left w:val="nil"/>
              <w:bottom w:val="single" w:sz="4" w:space="0" w:color="auto"/>
              <w:right w:val="single" w:sz="4" w:space="0" w:color="auto"/>
            </w:tcBorders>
            <w:shd w:val="clear" w:color="auto" w:fill="auto"/>
            <w:noWrap/>
            <w:vAlign w:val="bottom"/>
            <w:hideMark/>
          </w:tcPr>
          <w:p w14:paraId="2DAB54A0"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18,755</w:t>
            </w:r>
          </w:p>
        </w:tc>
        <w:tc>
          <w:tcPr>
            <w:tcW w:w="928" w:type="dxa"/>
            <w:tcBorders>
              <w:top w:val="nil"/>
              <w:left w:val="nil"/>
              <w:bottom w:val="single" w:sz="4" w:space="0" w:color="auto"/>
              <w:right w:val="single" w:sz="4" w:space="0" w:color="auto"/>
            </w:tcBorders>
            <w:shd w:val="clear" w:color="auto" w:fill="auto"/>
            <w:noWrap/>
            <w:vAlign w:val="bottom"/>
            <w:hideMark/>
          </w:tcPr>
          <w:p w14:paraId="20DA3ABF"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8%</w:t>
            </w:r>
          </w:p>
        </w:tc>
      </w:tr>
      <w:tr w:rsidR="00AD29D1" w:rsidRPr="00AD29D1" w14:paraId="243E0507" w14:textId="77777777" w:rsidTr="00B41E3C">
        <w:trPr>
          <w:trHeight w:val="300"/>
          <w:jc w:val="center"/>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4938A773"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1D7CBC6C" w14:textId="77777777" w:rsidR="00AD29D1" w:rsidRPr="00AD29D1" w:rsidRDefault="00AD29D1" w:rsidP="00FD79CF">
            <w:pPr>
              <w:keepNext/>
              <w:rPr>
                <w:rFonts w:cs="Calibri"/>
                <w:color w:val="000000"/>
                <w:sz w:val="20"/>
                <w:szCs w:val="20"/>
              </w:rPr>
            </w:pPr>
            <w:r w:rsidRPr="00AD29D1">
              <w:rPr>
                <w:rFonts w:cs="Calibri"/>
                <w:color w:val="000000"/>
                <w:sz w:val="20"/>
                <w:szCs w:val="20"/>
              </w:rPr>
              <w:t>Humboldt</w:t>
            </w:r>
          </w:p>
        </w:tc>
        <w:tc>
          <w:tcPr>
            <w:tcW w:w="1450" w:type="dxa"/>
            <w:tcBorders>
              <w:top w:val="nil"/>
              <w:left w:val="nil"/>
              <w:bottom w:val="single" w:sz="4" w:space="0" w:color="auto"/>
              <w:right w:val="single" w:sz="4" w:space="0" w:color="auto"/>
            </w:tcBorders>
            <w:shd w:val="clear" w:color="auto" w:fill="auto"/>
            <w:noWrap/>
            <w:vAlign w:val="bottom"/>
            <w:hideMark/>
          </w:tcPr>
          <w:p w14:paraId="55554650"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w:t>
            </w:r>
          </w:p>
        </w:tc>
        <w:tc>
          <w:tcPr>
            <w:tcW w:w="1890" w:type="dxa"/>
            <w:tcBorders>
              <w:top w:val="nil"/>
              <w:left w:val="nil"/>
              <w:bottom w:val="single" w:sz="4" w:space="0" w:color="auto"/>
              <w:right w:val="single" w:sz="4" w:space="0" w:color="auto"/>
            </w:tcBorders>
            <w:shd w:val="clear" w:color="auto" w:fill="auto"/>
            <w:noWrap/>
            <w:vAlign w:val="bottom"/>
            <w:hideMark/>
          </w:tcPr>
          <w:p w14:paraId="4377450D"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w:t>
            </w:r>
          </w:p>
        </w:tc>
        <w:tc>
          <w:tcPr>
            <w:tcW w:w="928" w:type="dxa"/>
            <w:tcBorders>
              <w:top w:val="nil"/>
              <w:left w:val="nil"/>
              <w:bottom w:val="single" w:sz="4" w:space="0" w:color="auto"/>
              <w:right w:val="single" w:sz="4" w:space="0" w:color="auto"/>
            </w:tcBorders>
            <w:shd w:val="clear" w:color="auto" w:fill="auto"/>
            <w:noWrap/>
            <w:vAlign w:val="bottom"/>
            <w:hideMark/>
          </w:tcPr>
          <w:p w14:paraId="51A0E355"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-5%</w:t>
            </w:r>
          </w:p>
        </w:tc>
      </w:tr>
      <w:tr w:rsidR="00AD29D1" w:rsidRPr="00AD29D1" w14:paraId="0DCE6744" w14:textId="77777777" w:rsidTr="00B41E3C">
        <w:trPr>
          <w:trHeight w:val="300"/>
          <w:jc w:val="center"/>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7A53AC84"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770E2F06" w14:textId="77777777" w:rsidR="00AD29D1" w:rsidRPr="00AD29D1" w:rsidRDefault="00AD29D1" w:rsidP="00FD79CF">
            <w:pPr>
              <w:keepNext/>
              <w:rPr>
                <w:rFonts w:cs="Calibri"/>
                <w:color w:val="000000"/>
                <w:sz w:val="20"/>
                <w:szCs w:val="20"/>
              </w:rPr>
            </w:pPr>
            <w:r w:rsidRPr="00AD29D1">
              <w:rPr>
                <w:rFonts w:cs="Calibri"/>
                <w:color w:val="000000"/>
                <w:sz w:val="20"/>
                <w:szCs w:val="20"/>
              </w:rPr>
              <w:t>Kern</w:t>
            </w:r>
          </w:p>
        </w:tc>
        <w:tc>
          <w:tcPr>
            <w:tcW w:w="1450" w:type="dxa"/>
            <w:tcBorders>
              <w:top w:val="nil"/>
              <w:left w:val="nil"/>
              <w:bottom w:val="single" w:sz="4" w:space="0" w:color="auto"/>
              <w:right w:val="single" w:sz="4" w:space="0" w:color="auto"/>
            </w:tcBorders>
            <w:shd w:val="clear" w:color="auto" w:fill="auto"/>
            <w:noWrap/>
            <w:vAlign w:val="bottom"/>
            <w:hideMark/>
          </w:tcPr>
          <w:p w14:paraId="762EE8BF"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5,597</w:t>
            </w:r>
          </w:p>
        </w:tc>
        <w:tc>
          <w:tcPr>
            <w:tcW w:w="1890" w:type="dxa"/>
            <w:tcBorders>
              <w:top w:val="nil"/>
              <w:left w:val="nil"/>
              <w:bottom w:val="single" w:sz="4" w:space="0" w:color="auto"/>
              <w:right w:val="single" w:sz="4" w:space="0" w:color="auto"/>
            </w:tcBorders>
            <w:shd w:val="clear" w:color="auto" w:fill="auto"/>
            <w:noWrap/>
            <w:vAlign w:val="bottom"/>
            <w:hideMark/>
          </w:tcPr>
          <w:p w14:paraId="00A3D310"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5,565</w:t>
            </w:r>
          </w:p>
        </w:tc>
        <w:tc>
          <w:tcPr>
            <w:tcW w:w="928" w:type="dxa"/>
            <w:tcBorders>
              <w:top w:val="nil"/>
              <w:left w:val="nil"/>
              <w:bottom w:val="single" w:sz="4" w:space="0" w:color="auto"/>
              <w:right w:val="single" w:sz="4" w:space="0" w:color="auto"/>
            </w:tcBorders>
            <w:shd w:val="clear" w:color="auto" w:fill="auto"/>
            <w:noWrap/>
            <w:vAlign w:val="bottom"/>
            <w:hideMark/>
          </w:tcPr>
          <w:p w14:paraId="27E4C10A"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w:t>
            </w:r>
          </w:p>
        </w:tc>
      </w:tr>
      <w:tr w:rsidR="00AD29D1" w:rsidRPr="00AD29D1" w14:paraId="28DF5487" w14:textId="77777777" w:rsidTr="00B41E3C">
        <w:trPr>
          <w:trHeight w:val="300"/>
          <w:jc w:val="center"/>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425C5762"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6B912B38" w14:textId="77777777" w:rsidR="00AD29D1" w:rsidRPr="00AD29D1" w:rsidRDefault="00AD29D1" w:rsidP="00FD79CF">
            <w:pPr>
              <w:keepNext/>
              <w:rPr>
                <w:rFonts w:cs="Calibri"/>
                <w:color w:val="000000"/>
                <w:sz w:val="20"/>
                <w:szCs w:val="20"/>
              </w:rPr>
            </w:pPr>
            <w:r w:rsidRPr="00AD29D1">
              <w:rPr>
                <w:rFonts w:cs="Calibri"/>
                <w:color w:val="000000"/>
                <w:sz w:val="20"/>
                <w:szCs w:val="20"/>
              </w:rPr>
              <w:t>Northern Coast</w:t>
            </w:r>
          </w:p>
        </w:tc>
        <w:tc>
          <w:tcPr>
            <w:tcW w:w="1450" w:type="dxa"/>
            <w:tcBorders>
              <w:top w:val="nil"/>
              <w:left w:val="nil"/>
              <w:bottom w:val="single" w:sz="4" w:space="0" w:color="auto"/>
              <w:right w:val="single" w:sz="4" w:space="0" w:color="auto"/>
            </w:tcBorders>
            <w:shd w:val="clear" w:color="auto" w:fill="auto"/>
            <w:noWrap/>
            <w:vAlign w:val="bottom"/>
            <w:hideMark/>
          </w:tcPr>
          <w:p w14:paraId="3B33F8FB"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4,507</w:t>
            </w:r>
          </w:p>
        </w:tc>
        <w:tc>
          <w:tcPr>
            <w:tcW w:w="1890" w:type="dxa"/>
            <w:tcBorders>
              <w:top w:val="nil"/>
              <w:left w:val="nil"/>
              <w:bottom w:val="single" w:sz="4" w:space="0" w:color="auto"/>
              <w:right w:val="single" w:sz="4" w:space="0" w:color="auto"/>
            </w:tcBorders>
            <w:shd w:val="clear" w:color="auto" w:fill="auto"/>
            <w:noWrap/>
            <w:vAlign w:val="bottom"/>
            <w:hideMark/>
          </w:tcPr>
          <w:p w14:paraId="53E395EA"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4,139</w:t>
            </w:r>
          </w:p>
        </w:tc>
        <w:tc>
          <w:tcPr>
            <w:tcW w:w="928" w:type="dxa"/>
            <w:tcBorders>
              <w:top w:val="nil"/>
              <w:left w:val="nil"/>
              <w:bottom w:val="single" w:sz="4" w:space="0" w:color="auto"/>
              <w:right w:val="single" w:sz="4" w:space="0" w:color="auto"/>
            </w:tcBorders>
            <w:shd w:val="clear" w:color="auto" w:fill="auto"/>
            <w:noWrap/>
            <w:vAlign w:val="bottom"/>
            <w:hideMark/>
          </w:tcPr>
          <w:p w14:paraId="5CFB1EF4"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-8%</w:t>
            </w:r>
          </w:p>
        </w:tc>
      </w:tr>
      <w:tr w:rsidR="00AD29D1" w:rsidRPr="00AD29D1" w14:paraId="670528CF" w14:textId="77777777" w:rsidTr="00B41E3C">
        <w:trPr>
          <w:trHeight w:val="300"/>
          <w:jc w:val="center"/>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1ABA8960"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0134E28C" w14:textId="77777777" w:rsidR="00AD29D1" w:rsidRPr="00AD29D1" w:rsidRDefault="00AD29D1" w:rsidP="00FD79CF">
            <w:pPr>
              <w:keepNext/>
              <w:rPr>
                <w:rFonts w:cs="Calibri"/>
                <w:color w:val="000000"/>
                <w:sz w:val="20"/>
                <w:szCs w:val="20"/>
              </w:rPr>
            </w:pPr>
            <w:r w:rsidRPr="00AD29D1">
              <w:rPr>
                <w:rFonts w:cs="Calibri"/>
                <w:color w:val="000000"/>
                <w:sz w:val="20"/>
                <w:szCs w:val="20"/>
              </w:rPr>
              <w:t>Other</w:t>
            </w:r>
          </w:p>
        </w:tc>
        <w:tc>
          <w:tcPr>
            <w:tcW w:w="1450" w:type="dxa"/>
            <w:tcBorders>
              <w:top w:val="nil"/>
              <w:left w:val="nil"/>
              <w:bottom w:val="single" w:sz="4" w:space="0" w:color="auto"/>
              <w:right w:val="single" w:sz="4" w:space="0" w:color="auto"/>
            </w:tcBorders>
            <w:shd w:val="clear" w:color="auto" w:fill="auto"/>
            <w:noWrap/>
            <w:vAlign w:val="bottom"/>
            <w:hideMark/>
          </w:tcPr>
          <w:p w14:paraId="64E3D0F3"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17,373</w:t>
            </w:r>
          </w:p>
        </w:tc>
        <w:tc>
          <w:tcPr>
            <w:tcW w:w="1890" w:type="dxa"/>
            <w:tcBorders>
              <w:top w:val="nil"/>
              <w:left w:val="nil"/>
              <w:bottom w:val="single" w:sz="4" w:space="0" w:color="auto"/>
              <w:right w:val="single" w:sz="4" w:space="0" w:color="auto"/>
            </w:tcBorders>
            <w:shd w:val="clear" w:color="auto" w:fill="auto"/>
            <w:noWrap/>
            <w:vAlign w:val="bottom"/>
            <w:hideMark/>
          </w:tcPr>
          <w:p w14:paraId="12D3EE0C"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18,219</w:t>
            </w:r>
          </w:p>
        </w:tc>
        <w:tc>
          <w:tcPr>
            <w:tcW w:w="928" w:type="dxa"/>
            <w:tcBorders>
              <w:top w:val="nil"/>
              <w:left w:val="nil"/>
              <w:bottom w:val="single" w:sz="4" w:space="0" w:color="auto"/>
              <w:right w:val="single" w:sz="4" w:space="0" w:color="auto"/>
            </w:tcBorders>
            <w:shd w:val="clear" w:color="auto" w:fill="auto"/>
            <w:noWrap/>
            <w:vAlign w:val="bottom"/>
            <w:hideMark/>
          </w:tcPr>
          <w:p w14:paraId="675FF349"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5%</w:t>
            </w:r>
          </w:p>
        </w:tc>
      </w:tr>
      <w:tr w:rsidR="00AD29D1" w:rsidRPr="00AD29D1" w14:paraId="2A976A94" w14:textId="77777777" w:rsidTr="00B41E3C">
        <w:trPr>
          <w:trHeight w:val="300"/>
          <w:jc w:val="center"/>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4BFB7F9D"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0A5B91E4" w14:textId="77777777" w:rsidR="00AD29D1" w:rsidRPr="00AD29D1" w:rsidRDefault="00AD29D1" w:rsidP="00FD79CF">
            <w:pPr>
              <w:keepNext/>
              <w:rPr>
                <w:rFonts w:cs="Calibri"/>
                <w:color w:val="000000"/>
                <w:sz w:val="20"/>
                <w:szCs w:val="20"/>
              </w:rPr>
            </w:pPr>
            <w:r w:rsidRPr="00AD29D1">
              <w:rPr>
                <w:rFonts w:cs="Calibri"/>
                <w:color w:val="000000"/>
                <w:sz w:val="20"/>
                <w:szCs w:val="20"/>
              </w:rPr>
              <w:t>Sierra</w:t>
            </w:r>
          </w:p>
        </w:tc>
        <w:tc>
          <w:tcPr>
            <w:tcW w:w="1450" w:type="dxa"/>
            <w:tcBorders>
              <w:top w:val="nil"/>
              <w:left w:val="nil"/>
              <w:bottom w:val="single" w:sz="4" w:space="0" w:color="auto"/>
              <w:right w:val="single" w:sz="4" w:space="0" w:color="auto"/>
            </w:tcBorders>
            <w:shd w:val="clear" w:color="auto" w:fill="auto"/>
            <w:noWrap/>
            <w:vAlign w:val="bottom"/>
            <w:hideMark/>
          </w:tcPr>
          <w:p w14:paraId="75F881DC"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16,532</w:t>
            </w:r>
          </w:p>
        </w:tc>
        <w:tc>
          <w:tcPr>
            <w:tcW w:w="1890" w:type="dxa"/>
            <w:tcBorders>
              <w:top w:val="nil"/>
              <w:left w:val="nil"/>
              <w:bottom w:val="single" w:sz="4" w:space="0" w:color="auto"/>
              <w:right w:val="single" w:sz="4" w:space="0" w:color="auto"/>
            </w:tcBorders>
            <w:shd w:val="clear" w:color="auto" w:fill="auto"/>
            <w:noWrap/>
            <w:vAlign w:val="bottom"/>
            <w:hideMark/>
          </w:tcPr>
          <w:p w14:paraId="599AD14D"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16,752</w:t>
            </w:r>
          </w:p>
        </w:tc>
        <w:tc>
          <w:tcPr>
            <w:tcW w:w="928" w:type="dxa"/>
            <w:tcBorders>
              <w:top w:val="nil"/>
              <w:left w:val="nil"/>
              <w:bottom w:val="single" w:sz="4" w:space="0" w:color="auto"/>
              <w:right w:val="single" w:sz="4" w:space="0" w:color="auto"/>
            </w:tcBorders>
            <w:shd w:val="clear" w:color="auto" w:fill="auto"/>
            <w:noWrap/>
            <w:vAlign w:val="bottom"/>
            <w:hideMark/>
          </w:tcPr>
          <w:p w14:paraId="235C64E5"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w:t>
            </w:r>
          </w:p>
        </w:tc>
      </w:tr>
      <w:tr w:rsidR="00AD29D1" w:rsidRPr="00AD29D1" w14:paraId="78226FE6" w14:textId="77777777" w:rsidTr="00B41E3C">
        <w:trPr>
          <w:trHeight w:val="300"/>
          <w:jc w:val="center"/>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0DE06AE3"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75714600" w14:textId="77777777" w:rsidR="00AD29D1" w:rsidRPr="00AD29D1" w:rsidRDefault="00AD29D1" w:rsidP="00FD79CF">
            <w:pPr>
              <w:keepNext/>
              <w:rPr>
                <w:rFonts w:cs="Calibri"/>
                <w:color w:val="000000"/>
                <w:sz w:val="20"/>
                <w:szCs w:val="20"/>
              </w:rPr>
            </w:pPr>
            <w:r w:rsidRPr="00AD29D1">
              <w:rPr>
                <w:rFonts w:cs="Calibri"/>
                <w:color w:val="000000"/>
                <w:sz w:val="20"/>
                <w:szCs w:val="20"/>
              </w:rPr>
              <w:t>Stockton</w:t>
            </w:r>
          </w:p>
        </w:tc>
        <w:tc>
          <w:tcPr>
            <w:tcW w:w="1450" w:type="dxa"/>
            <w:tcBorders>
              <w:top w:val="nil"/>
              <w:left w:val="nil"/>
              <w:bottom w:val="single" w:sz="4" w:space="0" w:color="auto"/>
              <w:right w:val="single" w:sz="4" w:space="0" w:color="auto"/>
            </w:tcBorders>
            <w:shd w:val="clear" w:color="auto" w:fill="auto"/>
            <w:noWrap/>
            <w:vAlign w:val="bottom"/>
            <w:hideMark/>
          </w:tcPr>
          <w:p w14:paraId="15976F67"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7,546</w:t>
            </w:r>
          </w:p>
        </w:tc>
        <w:tc>
          <w:tcPr>
            <w:tcW w:w="1890" w:type="dxa"/>
            <w:tcBorders>
              <w:top w:val="nil"/>
              <w:left w:val="nil"/>
              <w:bottom w:val="single" w:sz="4" w:space="0" w:color="auto"/>
              <w:right w:val="single" w:sz="4" w:space="0" w:color="auto"/>
            </w:tcBorders>
            <w:shd w:val="clear" w:color="auto" w:fill="auto"/>
            <w:noWrap/>
            <w:vAlign w:val="bottom"/>
            <w:hideMark/>
          </w:tcPr>
          <w:p w14:paraId="6D999091"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8,150</w:t>
            </w:r>
          </w:p>
        </w:tc>
        <w:tc>
          <w:tcPr>
            <w:tcW w:w="928" w:type="dxa"/>
            <w:tcBorders>
              <w:top w:val="nil"/>
              <w:left w:val="nil"/>
              <w:bottom w:val="single" w:sz="4" w:space="0" w:color="auto"/>
              <w:right w:val="single" w:sz="4" w:space="0" w:color="auto"/>
            </w:tcBorders>
            <w:shd w:val="clear" w:color="auto" w:fill="auto"/>
            <w:noWrap/>
            <w:vAlign w:val="bottom"/>
            <w:hideMark/>
          </w:tcPr>
          <w:p w14:paraId="374BF5D3"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8%</w:t>
            </w:r>
          </w:p>
        </w:tc>
      </w:tr>
      <w:tr w:rsidR="00AD29D1" w:rsidRPr="00AD29D1" w14:paraId="733EF785" w14:textId="77777777" w:rsidTr="00B41E3C">
        <w:trPr>
          <w:trHeight w:val="300"/>
          <w:jc w:val="center"/>
        </w:trPr>
        <w:tc>
          <w:tcPr>
            <w:tcW w:w="2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2BB8FF" w14:textId="77777777" w:rsidR="00AD29D1" w:rsidRPr="00AD29D1" w:rsidRDefault="00AD29D1" w:rsidP="00FD79CF">
            <w:pPr>
              <w:keepNext/>
              <w:jc w:val="center"/>
              <w:rPr>
                <w:rFonts w:cs="Calibri"/>
                <w:color w:val="000000"/>
                <w:sz w:val="20"/>
                <w:szCs w:val="20"/>
              </w:rPr>
            </w:pPr>
            <w:r w:rsidRPr="00AD29D1">
              <w:rPr>
                <w:rFonts w:cs="Calibri"/>
                <w:color w:val="000000"/>
                <w:sz w:val="20"/>
                <w:szCs w:val="20"/>
              </w:rPr>
              <w:t>Dually Enrolled</w:t>
            </w:r>
          </w:p>
        </w:tc>
        <w:tc>
          <w:tcPr>
            <w:tcW w:w="1680" w:type="dxa"/>
            <w:tcBorders>
              <w:top w:val="nil"/>
              <w:left w:val="nil"/>
              <w:bottom w:val="single" w:sz="4" w:space="0" w:color="auto"/>
              <w:right w:val="single" w:sz="4" w:space="0" w:color="auto"/>
            </w:tcBorders>
            <w:shd w:val="clear" w:color="auto" w:fill="auto"/>
            <w:noWrap/>
            <w:vAlign w:val="bottom"/>
            <w:hideMark/>
          </w:tcPr>
          <w:p w14:paraId="146504F4" w14:textId="77777777" w:rsidR="00AD29D1" w:rsidRPr="00AD29D1" w:rsidRDefault="00AD29D1" w:rsidP="00FD79CF">
            <w:pPr>
              <w:keepNext/>
              <w:rPr>
                <w:rFonts w:cs="Calibri"/>
                <w:color w:val="000000"/>
                <w:sz w:val="20"/>
                <w:szCs w:val="20"/>
              </w:rPr>
            </w:pPr>
            <w:r w:rsidRPr="00AD29D1">
              <w:rPr>
                <w:rFonts w:cs="Calibri"/>
                <w:color w:val="000000"/>
                <w:sz w:val="20"/>
                <w:szCs w:val="20"/>
              </w:rPr>
              <w:t>Greater Bay Area</w:t>
            </w:r>
          </w:p>
        </w:tc>
        <w:tc>
          <w:tcPr>
            <w:tcW w:w="1450" w:type="dxa"/>
            <w:tcBorders>
              <w:top w:val="nil"/>
              <w:left w:val="nil"/>
              <w:bottom w:val="single" w:sz="4" w:space="0" w:color="auto"/>
              <w:right w:val="single" w:sz="4" w:space="0" w:color="auto"/>
            </w:tcBorders>
            <w:shd w:val="clear" w:color="auto" w:fill="auto"/>
            <w:noWrap/>
            <w:vAlign w:val="bottom"/>
            <w:hideMark/>
          </w:tcPr>
          <w:p w14:paraId="027BB0DA"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5,994</w:t>
            </w:r>
          </w:p>
        </w:tc>
        <w:tc>
          <w:tcPr>
            <w:tcW w:w="1890" w:type="dxa"/>
            <w:tcBorders>
              <w:top w:val="nil"/>
              <w:left w:val="nil"/>
              <w:bottom w:val="single" w:sz="4" w:space="0" w:color="auto"/>
              <w:right w:val="single" w:sz="4" w:space="0" w:color="auto"/>
            </w:tcBorders>
            <w:shd w:val="clear" w:color="auto" w:fill="auto"/>
            <w:noWrap/>
            <w:vAlign w:val="bottom"/>
            <w:hideMark/>
          </w:tcPr>
          <w:p w14:paraId="5E3C551D"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2,306</w:t>
            </w:r>
          </w:p>
        </w:tc>
        <w:tc>
          <w:tcPr>
            <w:tcW w:w="928" w:type="dxa"/>
            <w:tcBorders>
              <w:top w:val="nil"/>
              <w:left w:val="nil"/>
              <w:bottom w:val="single" w:sz="4" w:space="0" w:color="auto"/>
              <w:right w:val="single" w:sz="4" w:space="0" w:color="auto"/>
            </w:tcBorders>
            <w:shd w:val="clear" w:color="auto" w:fill="auto"/>
            <w:noWrap/>
            <w:vAlign w:val="bottom"/>
            <w:hideMark/>
          </w:tcPr>
          <w:p w14:paraId="4B9A2309"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-62%</w:t>
            </w:r>
          </w:p>
        </w:tc>
      </w:tr>
      <w:tr w:rsidR="00AD29D1" w:rsidRPr="00AD29D1" w14:paraId="11DDD800"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51AA8EB2"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1731135D" w14:textId="77777777" w:rsidR="00AD29D1" w:rsidRPr="00AD29D1" w:rsidRDefault="00AD29D1" w:rsidP="00FD79CF">
            <w:pPr>
              <w:keepNext/>
              <w:rPr>
                <w:rFonts w:cs="Calibri"/>
                <w:color w:val="000000"/>
                <w:sz w:val="20"/>
                <w:szCs w:val="20"/>
              </w:rPr>
            </w:pPr>
            <w:r w:rsidRPr="00AD29D1">
              <w:rPr>
                <w:rFonts w:cs="Calibri"/>
                <w:color w:val="000000"/>
                <w:sz w:val="20"/>
                <w:szCs w:val="20"/>
              </w:rPr>
              <w:t>Greater Fresno</w:t>
            </w:r>
          </w:p>
        </w:tc>
        <w:tc>
          <w:tcPr>
            <w:tcW w:w="1450" w:type="dxa"/>
            <w:tcBorders>
              <w:top w:val="nil"/>
              <w:left w:val="nil"/>
              <w:bottom w:val="single" w:sz="4" w:space="0" w:color="auto"/>
              <w:right w:val="single" w:sz="4" w:space="0" w:color="auto"/>
            </w:tcBorders>
            <w:shd w:val="clear" w:color="auto" w:fill="auto"/>
            <w:noWrap/>
            <w:vAlign w:val="bottom"/>
            <w:hideMark/>
          </w:tcPr>
          <w:p w14:paraId="50C0A250"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3,301</w:t>
            </w:r>
          </w:p>
        </w:tc>
        <w:tc>
          <w:tcPr>
            <w:tcW w:w="1890" w:type="dxa"/>
            <w:tcBorders>
              <w:top w:val="nil"/>
              <w:left w:val="nil"/>
              <w:bottom w:val="single" w:sz="4" w:space="0" w:color="auto"/>
              <w:right w:val="single" w:sz="4" w:space="0" w:color="auto"/>
            </w:tcBorders>
            <w:shd w:val="clear" w:color="auto" w:fill="auto"/>
            <w:noWrap/>
            <w:vAlign w:val="bottom"/>
            <w:hideMark/>
          </w:tcPr>
          <w:p w14:paraId="091FB480"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3,300</w:t>
            </w:r>
          </w:p>
        </w:tc>
        <w:tc>
          <w:tcPr>
            <w:tcW w:w="928" w:type="dxa"/>
            <w:tcBorders>
              <w:top w:val="nil"/>
              <w:left w:val="nil"/>
              <w:bottom w:val="single" w:sz="4" w:space="0" w:color="auto"/>
              <w:right w:val="single" w:sz="4" w:space="0" w:color="auto"/>
            </w:tcBorders>
            <w:shd w:val="clear" w:color="auto" w:fill="auto"/>
            <w:noWrap/>
            <w:vAlign w:val="bottom"/>
            <w:hideMark/>
          </w:tcPr>
          <w:p w14:paraId="205C5962"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0%</w:t>
            </w:r>
          </w:p>
        </w:tc>
      </w:tr>
      <w:tr w:rsidR="00AD29D1" w:rsidRPr="00AD29D1" w14:paraId="72F603FF"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06B431D9"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49E90E00" w14:textId="77777777" w:rsidR="00AD29D1" w:rsidRPr="00AD29D1" w:rsidRDefault="00AD29D1" w:rsidP="00FD79CF">
            <w:pPr>
              <w:keepNext/>
              <w:rPr>
                <w:rFonts w:cs="Calibri"/>
                <w:color w:val="000000"/>
                <w:sz w:val="20"/>
                <w:szCs w:val="20"/>
              </w:rPr>
            </w:pPr>
            <w:r w:rsidRPr="00AD29D1">
              <w:rPr>
                <w:rFonts w:cs="Calibri"/>
                <w:color w:val="000000"/>
                <w:sz w:val="20"/>
                <w:szCs w:val="20"/>
              </w:rPr>
              <w:t>Humboldt</w:t>
            </w:r>
          </w:p>
        </w:tc>
        <w:tc>
          <w:tcPr>
            <w:tcW w:w="1450" w:type="dxa"/>
            <w:tcBorders>
              <w:top w:val="nil"/>
              <w:left w:val="nil"/>
              <w:bottom w:val="single" w:sz="4" w:space="0" w:color="auto"/>
              <w:right w:val="single" w:sz="4" w:space="0" w:color="auto"/>
            </w:tcBorders>
            <w:shd w:val="clear" w:color="auto" w:fill="auto"/>
            <w:noWrap/>
            <w:vAlign w:val="bottom"/>
            <w:hideMark/>
          </w:tcPr>
          <w:p w14:paraId="0CCAEA5F"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0</w:t>
            </w:r>
          </w:p>
        </w:tc>
        <w:tc>
          <w:tcPr>
            <w:tcW w:w="1890" w:type="dxa"/>
            <w:tcBorders>
              <w:top w:val="nil"/>
              <w:left w:val="nil"/>
              <w:bottom w:val="single" w:sz="4" w:space="0" w:color="auto"/>
              <w:right w:val="single" w:sz="4" w:space="0" w:color="auto"/>
            </w:tcBorders>
            <w:shd w:val="clear" w:color="auto" w:fill="auto"/>
            <w:noWrap/>
            <w:vAlign w:val="bottom"/>
            <w:hideMark/>
          </w:tcPr>
          <w:p w14:paraId="5F8E0637"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bottom"/>
            <w:hideMark/>
          </w:tcPr>
          <w:p w14:paraId="669165A9"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0%</w:t>
            </w:r>
          </w:p>
        </w:tc>
      </w:tr>
      <w:tr w:rsidR="00AD29D1" w:rsidRPr="00AD29D1" w14:paraId="4DAE78B0"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63043449"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3356CF07" w14:textId="77777777" w:rsidR="00AD29D1" w:rsidRPr="00AD29D1" w:rsidRDefault="00AD29D1" w:rsidP="00FD79CF">
            <w:pPr>
              <w:keepNext/>
              <w:rPr>
                <w:rFonts w:cs="Calibri"/>
                <w:color w:val="000000"/>
                <w:sz w:val="20"/>
                <w:szCs w:val="20"/>
              </w:rPr>
            </w:pPr>
            <w:r w:rsidRPr="00AD29D1">
              <w:rPr>
                <w:rFonts w:cs="Calibri"/>
                <w:color w:val="000000"/>
                <w:sz w:val="20"/>
                <w:szCs w:val="20"/>
              </w:rPr>
              <w:t>Kern</w:t>
            </w:r>
          </w:p>
        </w:tc>
        <w:tc>
          <w:tcPr>
            <w:tcW w:w="1450" w:type="dxa"/>
            <w:tcBorders>
              <w:top w:val="nil"/>
              <w:left w:val="nil"/>
              <w:bottom w:val="single" w:sz="4" w:space="0" w:color="auto"/>
              <w:right w:val="single" w:sz="4" w:space="0" w:color="auto"/>
            </w:tcBorders>
            <w:shd w:val="clear" w:color="auto" w:fill="auto"/>
            <w:noWrap/>
            <w:vAlign w:val="bottom"/>
            <w:hideMark/>
          </w:tcPr>
          <w:p w14:paraId="245118B6"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1,174</w:t>
            </w:r>
          </w:p>
        </w:tc>
        <w:tc>
          <w:tcPr>
            <w:tcW w:w="1890" w:type="dxa"/>
            <w:tcBorders>
              <w:top w:val="nil"/>
              <w:left w:val="nil"/>
              <w:bottom w:val="single" w:sz="4" w:space="0" w:color="auto"/>
              <w:right w:val="single" w:sz="4" w:space="0" w:color="auto"/>
            </w:tcBorders>
            <w:shd w:val="clear" w:color="auto" w:fill="auto"/>
            <w:noWrap/>
            <w:vAlign w:val="bottom"/>
            <w:hideMark/>
          </w:tcPr>
          <w:p w14:paraId="562DB770"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1,040</w:t>
            </w:r>
          </w:p>
        </w:tc>
        <w:tc>
          <w:tcPr>
            <w:tcW w:w="928" w:type="dxa"/>
            <w:tcBorders>
              <w:top w:val="nil"/>
              <w:left w:val="nil"/>
              <w:bottom w:val="single" w:sz="4" w:space="0" w:color="auto"/>
              <w:right w:val="single" w:sz="4" w:space="0" w:color="auto"/>
            </w:tcBorders>
            <w:shd w:val="clear" w:color="auto" w:fill="auto"/>
            <w:noWrap/>
            <w:vAlign w:val="bottom"/>
            <w:hideMark/>
          </w:tcPr>
          <w:p w14:paraId="32E31BCE"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-11%</w:t>
            </w:r>
          </w:p>
        </w:tc>
      </w:tr>
      <w:tr w:rsidR="00AD29D1" w:rsidRPr="00AD29D1" w14:paraId="40C5B940"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3958E363"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22181293" w14:textId="77777777" w:rsidR="00AD29D1" w:rsidRPr="00AD29D1" w:rsidRDefault="00AD29D1" w:rsidP="00FD79CF">
            <w:pPr>
              <w:keepNext/>
              <w:rPr>
                <w:rFonts w:cs="Calibri"/>
                <w:color w:val="000000"/>
                <w:sz w:val="20"/>
                <w:szCs w:val="20"/>
              </w:rPr>
            </w:pPr>
            <w:r w:rsidRPr="00AD29D1">
              <w:rPr>
                <w:rFonts w:cs="Calibri"/>
                <w:color w:val="000000"/>
                <w:sz w:val="20"/>
                <w:szCs w:val="20"/>
              </w:rPr>
              <w:t>Northern Coast</w:t>
            </w:r>
          </w:p>
        </w:tc>
        <w:tc>
          <w:tcPr>
            <w:tcW w:w="1450" w:type="dxa"/>
            <w:tcBorders>
              <w:top w:val="nil"/>
              <w:left w:val="nil"/>
              <w:bottom w:val="single" w:sz="4" w:space="0" w:color="auto"/>
              <w:right w:val="single" w:sz="4" w:space="0" w:color="auto"/>
            </w:tcBorders>
            <w:shd w:val="clear" w:color="auto" w:fill="auto"/>
            <w:noWrap/>
            <w:vAlign w:val="bottom"/>
            <w:hideMark/>
          </w:tcPr>
          <w:p w14:paraId="108D616E"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408</w:t>
            </w:r>
          </w:p>
        </w:tc>
        <w:tc>
          <w:tcPr>
            <w:tcW w:w="1890" w:type="dxa"/>
            <w:tcBorders>
              <w:top w:val="nil"/>
              <w:left w:val="nil"/>
              <w:bottom w:val="single" w:sz="4" w:space="0" w:color="auto"/>
              <w:right w:val="single" w:sz="4" w:space="0" w:color="auto"/>
            </w:tcBorders>
            <w:shd w:val="clear" w:color="auto" w:fill="auto"/>
            <w:noWrap/>
            <w:vAlign w:val="bottom"/>
            <w:hideMark/>
          </w:tcPr>
          <w:p w14:paraId="1ADF6C24"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329</w:t>
            </w:r>
          </w:p>
        </w:tc>
        <w:tc>
          <w:tcPr>
            <w:tcW w:w="928" w:type="dxa"/>
            <w:tcBorders>
              <w:top w:val="nil"/>
              <w:left w:val="nil"/>
              <w:bottom w:val="single" w:sz="4" w:space="0" w:color="auto"/>
              <w:right w:val="single" w:sz="4" w:space="0" w:color="auto"/>
            </w:tcBorders>
            <w:shd w:val="clear" w:color="auto" w:fill="auto"/>
            <w:noWrap/>
            <w:vAlign w:val="bottom"/>
            <w:hideMark/>
          </w:tcPr>
          <w:p w14:paraId="084456E1"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-19%</w:t>
            </w:r>
          </w:p>
        </w:tc>
      </w:tr>
      <w:tr w:rsidR="00AD29D1" w:rsidRPr="00AD29D1" w14:paraId="3CD52FF3"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7C6098F9"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20D988A9" w14:textId="77777777" w:rsidR="00AD29D1" w:rsidRPr="00AD29D1" w:rsidRDefault="00AD29D1" w:rsidP="00FD79CF">
            <w:pPr>
              <w:keepNext/>
              <w:rPr>
                <w:rFonts w:cs="Calibri"/>
                <w:color w:val="000000"/>
                <w:sz w:val="20"/>
                <w:szCs w:val="20"/>
              </w:rPr>
            </w:pPr>
            <w:r w:rsidRPr="00AD29D1">
              <w:rPr>
                <w:rFonts w:cs="Calibri"/>
                <w:color w:val="000000"/>
                <w:sz w:val="20"/>
                <w:szCs w:val="20"/>
              </w:rPr>
              <w:t>Other</w:t>
            </w:r>
          </w:p>
        </w:tc>
        <w:tc>
          <w:tcPr>
            <w:tcW w:w="1450" w:type="dxa"/>
            <w:tcBorders>
              <w:top w:val="nil"/>
              <w:left w:val="nil"/>
              <w:bottom w:val="single" w:sz="4" w:space="0" w:color="auto"/>
              <w:right w:val="single" w:sz="4" w:space="0" w:color="auto"/>
            </w:tcBorders>
            <w:shd w:val="clear" w:color="auto" w:fill="auto"/>
            <w:noWrap/>
            <w:vAlign w:val="bottom"/>
            <w:hideMark/>
          </w:tcPr>
          <w:p w14:paraId="545C8D24"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4,101</w:t>
            </w:r>
          </w:p>
        </w:tc>
        <w:tc>
          <w:tcPr>
            <w:tcW w:w="1890" w:type="dxa"/>
            <w:tcBorders>
              <w:top w:val="nil"/>
              <w:left w:val="nil"/>
              <w:bottom w:val="single" w:sz="4" w:space="0" w:color="auto"/>
              <w:right w:val="single" w:sz="4" w:space="0" w:color="auto"/>
            </w:tcBorders>
            <w:shd w:val="clear" w:color="auto" w:fill="auto"/>
            <w:noWrap/>
            <w:vAlign w:val="bottom"/>
            <w:hideMark/>
          </w:tcPr>
          <w:p w14:paraId="7D9F7E6F"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4,010</w:t>
            </w:r>
          </w:p>
        </w:tc>
        <w:tc>
          <w:tcPr>
            <w:tcW w:w="928" w:type="dxa"/>
            <w:tcBorders>
              <w:top w:val="nil"/>
              <w:left w:val="nil"/>
              <w:bottom w:val="single" w:sz="4" w:space="0" w:color="auto"/>
              <w:right w:val="single" w:sz="4" w:space="0" w:color="auto"/>
            </w:tcBorders>
            <w:shd w:val="clear" w:color="auto" w:fill="auto"/>
            <w:noWrap/>
            <w:vAlign w:val="bottom"/>
            <w:hideMark/>
          </w:tcPr>
          <w:p w14:paraId="6AC258CA"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w:t>
            </w:r>
          </w:p>
        </w:tc>
      </w:tr>
      <w:tr w:rsidR="00AD29D1" w:rsidRPr="00AD29D1" w14:paraId="684FC827"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599D4CB3"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02945D8D" w14:textId="77777777" w:rsidR="00AD29D1" w:rsidRPr="00AD29D1" w:rsidRDefault="00AD29D1" w:rsidP="00FD79CF">
            <w:pPr>
              <w:keepNext/>
              <w:rPr>
                <w:rFonts w:cs="Calibri"/>
                <w:color w:val="000000"/>
                <w:sz w:val="20"/>
                <w:szCs w:val="20"/>
              </w:rPr>
            </w:pPr>
            <w:r w:rsidRPr="00AD29D1">
              <w:rPr>
                <w:rFonts w:cs="Calibri"/>
                <w:color w:val="000000"/>
                <w:sz w:val="20"/>
                <w:szCs w:val="20"/>
              </w:rPr>
              <w:t>Sierra</w:t>
            </w:r>
          </w:p>
        </w:tc>
        <w:tc>
          <w:tcPr>
            <w:tcW w:w="1450" w:type="dxa"/>
            <w:tcBorders>
              <w:top w:val="nil"/>
              <w:left w:val="nil"/>
              <w:bottom w:val="single" w:sz="4" w:space="0" w:color="auto"/>
              <w:right w:val="single" w:sz="4" w:space="0" w:color="auto"/>
            </w:tcBorders>
            <w:shd w:val="clear" w:color="auto" w:fill="auto"/>
            <w:noWrap/>
            <w:vAlign w:val="bottom"/>
            <w:hideMark/>
          </w:tcPr>
          <w:p w14:paraId="10D59AA1"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2,095</w:t>
            </w:r>
          </w:p>
        </w:tc>
        <w:tc>
          <w:tcPr>
            <w:tcW w:w="1890" w:type="dxa"/>
            <w:tcBorders>
              <w:top w:val="nil"/>
              <w:left w:val="nil"/>
              <w:bottom w:val="single" w:sz="4" w:space="0" w:color="auto"/>
              <w:right w:val="single" w:sz="4" w:space="0" w:color="auto"/>
            </w:tcBorders>
            <w:shd w:val="clear" w:color="auto" w:fill="auto"/>
            <w:noWrap/>
            <w:vAlign w:val="bottom"/>
            <w:hideMark/>
          </w:tcPr>
          <w:p w14:paraId="6D99D300"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2,018</w:t>
            </w:r>
          </w:p>
        </w:tc>
        <w:tc>
          <w:tcPr>
            <w:tcW w:w="928" w:type="dxa"/>
            <w:tcBorders>
              <w:top w:val="nil"/>
              <w:left w:val="nil"/>
              <w:bottom w:val="single" w:sz="4" w:space="0" w:color="auto"/>
              <w:right w:val="single" w:sz="4" w:space="0" w:color="auto"/>
            </w:tcBorders>
            <w:shd w:val="clear" w:color="auto" w:fill="auto"/>
            <w:noWrap/>
            <w:vAlign w:val="bottom"/>
            <w:hideMark/>
          </w:tcPr>
          <w:p w14:paraId="4140A6E7"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-4%</w:t>
            </w:r>
          </w:p>
        </w:tc>
      </w:tr>
      <w:tr w:rsidR="00AD29D1" w:rsidRPr="00AD29D1" w14:paraId="64ACFD48"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57BE7102"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400248B2" w14:textId="77777777" w:rsidR="00AD29D1" w:rsidRPr="00AD29D1" w:rsidRDefault="00AD29D1" w:rsidP="00FD79CF">
            <w:pPr>
              <w:keepNext/>
              <w:rPr>
                <w:rFonts w:cs="Calibri"/>
                <w:color w:val="000000"/>
                <w:sz w:val="20"/>
                <w:szCs w:val="20"/>
              </w:rPr>
            </w:pPr>
            <w:r w:rsidRPr="00AD29D1">
              <w:rPr>
                <w:rFonts w:cs="Calibri"/>
                <w:color w:val="000000"/>
                <w:sz w:val="20"/>
                <w:szCs w:val="20"/>
              </w:rPr>
              <w:t>Stockton</w:t>
            </w:r>
          </w:p>
        </w:tc>
        <w:tc>
          <w:tcPr>
            <w:tcW w:w="1450" w:type="dxa"/>
            <w:tcBorders>
              <w:top w:val="nil"/>
              <w:left w:val="nil"/>
              <w:bottom w:val="single" w:sz="4" w:space="0" w:color="auto"/>
              <w:right w:val="single" w:sz="4" w:space="0" w:color="auto"/>
            </w:tcBorders>
            <w:shd w:val="clear" w:color="auto" w:fill="auto"/>
            <w:noWrap/>
            <w:vAlign w:val="bottom"/>
            <w:hideMark/>
          </w:tcPr>
          <w:p w14:paraId="32ABAEE1"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1,773</w:t>
            </w:r>
          </w:p>
        </w:tc>
        <w:tc>
          <w:tcPr>
            <w:tcW w:w="1890" w:type="dxa"/>
            <w:tcBorders>
              <w:top w:val="nil"/>
              <w:left w:val="nil"/>
              <w:bottom w:val="single" w:sz="4" w:space="0" w:color="auto"/>
              <w:right w:val="single" w:sz="4" w:space="0" w:color="auto"/>
            </w:tcBorders>
            <w:shd w:val="clear" w:color="auto" w:fill="auto"/>
            <w:noWrap/>
            <w:vAlign w:val="bottom"/>
            <w:hideMark/>
          </w:tcPr>
          <w:p w14:paraId="7F60BBE3"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1,823</w:t>
            </w:r>
          </w:p>
        </w:tc>
        <w:tc>
          <w:tcPr>
            <w:tcW w:w="928" w:type="dxa"/>
            <w:tcBorders>
              <w:top w:val="nil"/>
              <w:left w:val="nil"/>
              <w:bottom w:val="single" w:sz="4" w:space="0" w:color="auto"/>
              <w:right w:val="single" w:sz="4" w:space="0" w:color="auto"/>
            </w:tcBorders>
            <w:shd w:val="clear" w:color="auto" w:fill="auto"/>
            <w:noWrap/>
            <w:vAlign w:val="bottom"/>
            <w:hideMark/>
          </w:tcPr>
          <w:p w14:paraId="3D14DE9D"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3%</w:t>
            </w:r>
          </w:p>
        </w:tc>
      </w:tr>
      <w:tr w:rsidR="00AD29D1" w:rsidRPr="00AD29D1" w14:paraId="1E51804C" w14:textId="77777777" w:rsidTr="00B41E3C">
        <w:trPr>
          <w:trHeight w:val="300"/>
          <w:jc w:val="center"/>
        </w:trPr>
        <w:tc>
          <w:tcPr>
            <w:tcW w:w="2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7DA199" w14:textId="75B22554" w:rsidR="00AD29D1" w:rsidRPr="00AD29D1" w:rsidRDefault="00546AFB" w:rsidP="00FD79CF">
            <w:pPr>
              <w:keepNext/>
              <w:jc w:val="center"/>
              <w:rPr>
                <w:rFonts w:cs="Calibri"/>
                <w:color w:val="000000"/>
                <w:sz w:val="20"/>
                <w:szCs w:val="20"/>
              </w:rPr>
            </w:pPr>
            <w:r>
              <w:rPr>
                <w:rFonts w:cs="Calibri"/>
                <w:color w:val="000000"/>
                <w:sz w:val="20"/>
                <w:szCs w:val="20"/>
              </w:rPr>
              <w:t>SmartAC™</w:t>
            </w:r>
            <w:r w:rsidR="00AD29D1" w:rsidRPr="00AD29D1">
              <w:rPr>
                <w:rFonts w:cs="Calibri"/>
                <w:color w:val="000000"/>
                <w:sz w:val="20"/>
                <w:szCs w:val="20"/>
              </w:rPr>
              <w:t xml:space="preserve"> Only</w:t>
            </w:r>
          </w:p>
        </w:tc>
        <w:tc>
          <w:tcPr>
            <w:tcW w:w="1680" w:type="dxa"/>
            <w:tcBorders>
              <w:top w:val="nil"/>
              <w:left w:val="nil"/>
              <w:bottom w:val="single" w:sz="4" w:space="0" w:color="auto"/>
              <w:right w:val="single" w:sz="4" w:space="0" w:color="auto"/>
            </w:tcBorders>
            <w:shd w:val="clear" w:color="auto" w:fill="auto"/>
            <w:noWrap/>
            <w:vAlign w:val="bottom"/>
            <w:hideMark/>
          </w:tcPr>
          <w:p w14:paraId="7DAD60BE" w14:textId="77777777" w:rsidR="00AD29D1" w:rsidRPr="00AD29D1" w:rsidRDefault="00AD29D1" w:rsidP="00FD79CF">
            <w:pPr>
              <w:keepNext/>
              <w:rPr>
                <w:rFonts w:cs="Calibri"/>
                <w:color w:val="000000"/>
                <w:sz w:val="20"/>
                <w:szCs w:val="20"/>
              </w:rPr>
            </w:pPr>
            <w:r w:rsidRPr="00AD29D1">
              <w:rPr>
                <w:rFonts w:cs="Calibri"/>
                <w:color w:val="000000"/>
                <w:sz w:val="20"/>
                <w:szCs w:val="20"/>
              </w:rPr>
              <w:t>Greater Bay Area</w:t>
            </w:r>
          </w:p>
        </w:tc>
        <w:tc>
          <w:tcPr>
            <w:tcW w:w="1450" w:type="dxa"/>
            <w:tcBorders>
              <w:top w:val="nil"/>
              <w:left w:val="nil"/>
              <w:bottom w:val="single" w:sz="4" w:space="0" w:color="auto"/>
              <w:right w:val="single" w:sz="4" w:space="0" w:color="auto"/>
            </w:tcBorders>
            <w:shd w:val="clear" w:color="auto" w:fill="auto"/>
            <w:noWrap/>
            <w:vAlign w:val="bottom"/>
            <w:hideMark/>
          </w:tcPr>
          <w:p w14:paraId="7F654404"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27,445</w:t>
            </w:r>
          </w:p>
        </w:tc>
        <w:tc>
          <w:tcPr>
            <w:tcW w:w="1890" w:type="dxa"/>
            <w:tcBorders>
              <w:top w:val="nil"/>
              <w:left w:val="nil"/>
              <w:bottom w:val="single" w:sz="4" w:space="0" w:color="auto"/>
              <w:right w:val="single" w:sz="4" w:space="0" w:color="auto"/>
            </w:tcBorders>
            <w:shd w:val="clear" w:color="auto" w:fill="auto"/>
            <w:noWrap/>
            <w:vAlign w:val="bottom"/>
            <w:hideMark/>
          </w:tcPr>
          <w:p w14:paraId="6AEF5C57"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29,583</w:t>
            </w:r>
          </w:p>
        </w:tc>
        <w:tc>
          <w:tcPr>
            <w:tcW w:w="928" w:type="dxa"/>
            <w:tcBorders>
              <w:top w:val="nil"/>
              <w:left w:val="nil"/>
              <w:bottom w:val="single" w:sz="4" w:space="0" w:color="auto"/>
              <w:right w:val="single" w:sz="4" w:space="0" w:color="auto"/>
            </w:tcBorders>
            <w:shd w:val="clear" w:color="auto" w:fill="auto"/>
            <w:noWrap/>
            <w:vAlign w:val="bottom"/>
            <w:hideMark/>
          </w:tcPr>
          <w:p w14:paraId="7BB65E6D"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8%</w:t>
            </w:r>
          </w:p>
        </w:tc>
      </w:tr>
      <w:tr w:rsidR="00AD29D1" w:rsidRPr="00AD29D1" w14:paraId="2522FB71"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37B3B176"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03ABCB25" w14:textId="77777777" w:rsidR="00AD29D1" w:rsidRPr="00AD29D1" w:rsidRDefault="00AD29D1" w:rsidP="00FD79CF">
            <w:pPr>
              <w:keepNext/>
              <w:rPr>
                <w:rFonts w:cs="Calibri"/>
                <w:color w:val="000000"/>
                <w:sz w:val="20"/>
                <w:szCs w:val="20"/>
              </w:rPr>
            </w:pPr>
            <w:r w:rsidRPr="00AD29D1">
              <w:rPr>
                <w:rFonts w:cs="Calibri"/>
                <w:color w:val="000000"/>
                <w:sz w:val="20"/>
                <w:szCs w:val="20"/>
              </w:rPr>
              <w:t>Greater Fresno</w:t>
            </w:r>
          </w:p>
        </w:tc>
        <w:tc>
          <w:tcPr>
            <w:tcW w:w="1450" w:type="dxa"/>
            <w:tcBorders>
              <w:top w:val="nil"/>
              <w:left w:val="nil"/>
              <w:bottom w:val="single" w:sz="4" w:space="0" w:color="auto"/>
              <w:right w:val="single" w:sz="4" w:space="0" w:color="auto"/>
            </w:tcBorders>
            <w:shd w:val="clear" w:color="auto" w:fill="auto"/>
            <w:noWrap/>
            <w:vAlign w:val="bottom"/>
            <w:hideMark/>
          </w:tcPr>
          <w:p w14:paraId="709D04A8"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14,048</w:t>
            </w:r>
          </w:p>
        </w:tc>
        <w:tc>
          <w:tcPr>
            <w:tcW w:w="1890" w:type="dxa"/>
            <w:tcBorders>
              <w:top w:val="nil"/>
              <w:left w:val="nil"/>
              <w:bottom w:val="single" w:sz="4" w:space="0" w:color="auto"/>
              <w:right w:val="single" w:sz="4" w:space="0" w:color="auto"/>
            </w:tcBorders>
            <w:shd w:val="clear" w:color="auto" w:fill="auto"/>
            <w:noWrap/>
            <w:vAlign w:val="bottom"/>
            <w:hideMark/>
          </w:tcPr>
          <w:p w14:paraId="52C8A667"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15,455</w:t>
            </w:r>
          </w:p>
        </w:tc>
        <w:tc>
          <w:tcPr>
            <w:tcW w:w="928" w:type="dxa"/>
            <w:tcBorders>
              <w:top w:val="nil"/>
              <w:left w:val="nil"/>
              <w:bottom w:val="single" w:sz="4" w:space="0" w:color="auto"/>
              <w:right w:val="single" w:sz="4" w:space="0" w:color="auto"/>
            </w:tcBorders>
            <w:shd w:val="clear" w:color="auto" w:fill="auto"/>
            <w:noWrap/>
            <w:vAlign w:val="bottom"/>
            <w:hideMark/>
          </w:tcPr>
          <w:p w14:paraId="76A4A38B"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10%</w:t>
            </w:r>
          </w:p>
        </w:tc>
      </w:tr>
      <w:tr w:rsidR="00AD29D1" w:rsidRPr="00AD29D1" w14:paraId="39F54106"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4A14DFEA"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1DDEE0E3" w14:textId="77777777" w:rsidR="00AD29D1" w:rsidRPr="00AD29D1" w:rsidRDefault="00AD29D1" w:rsidP="00FD79CF">
            <w:pPr>
              <w:keepNext/>
              <w:rPr>
                <w:rFonts w:cs="Calibri"/>
                <w:color w:val="000000"/>
                <w:sz w:val="20"/>
                <w:szCs w:val="20"/>
              </w:rPr>
            </w:pPr>
            <w:r w:rsidRPr="00AD29D1">
              <w:rPr>
                <w:rFonts w:cs="Calibri"/>
                <w:color w:val="000000"/>
                <w:sz w:val="20"/>
                <w:szCs w:val="20"/>
              </w:rPr>
              <w:t>Humboldt</w:t>
            </w:r>
          </w:p>
        </w:tc>
        <w:tc>
          <w:tcPr>
            <w:tcW w:w="1450" w:type="dxa"/>
            <w:tcBorders>
              <w:top w:val="nil"/>
              <w:left w:val="nil"/>
              <w:bottom w:val="single" w:sz="4" w:space="0" w:color="auto"/>
              <w:right w:val="single" w:sz="4" w:space="0" w:color="auto"/>
            </w:tcBorders>
            <w:shd w:val="clear" w:color="auto" w:fill="auto"/>
            <w:noWrap/>
            <w:vAlign w:val="bottom"/>
            <w:hideMark/>
          </w:tcPr>
          <w:p w14:paraId="0A6625E1"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w:t>
            </w:r>
          </w:p>
        </w:tc>
        <w:tc>
          <w:tcPr>
            <w:tcW w:w="1890" w:type="dxa"/>
            <w:tcBorders>
              <w:top w:val="nil"/>
              <w:left w:val="nil"/>
              <w:bottom w:val="single" w:sz="4" w:space="0" w:color="auto"/>
              <w:right w:val="single" w:sz="4" w:space="0" w:color="auto"/>
            </w:tcBorders>
            <w:shd w:val="clear" w:color="auto" w:fill="auto"/>
            <w:noWrap/>
            <w:vAlign w:val="bottom"/>
            <w:hideMark/>
          </w:tcPr>
          <w:p w14:paraId="0BC7F22C"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w:t>
            </w:r>
          </w:p>
        </w:tc>
        <w:tc>
          <w:tcPr>
            <w:tcW w:w="928" w:type="dxa"/>
            <w:tcBorders>
              <w:top w:val="nil"/>
              <w:left w:val="nil"/>
              <w:bottom w:val="single" w:sz="4" w:space="0" w:color="auto"/>
              <w:right w:val="single" w:sz="4" w:space="0" w:color="auto"/>
            </w:tcBorders>
            <w:shd w:val="clear" w:color="auto" w:fill="auto"/>
            <w:noWrap/>
            <w:vAlign w:val="bottom"/>
            <w:hideMark/>
          </w:tcPr>
          <w:p w14:paraId="10A235C3"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-5%</w:t>
            </w:r>
          </w:p>
        </w:tc>
      </w:tr>
      <w:tr w:rsidR="00AD29D1" w:rsidRPr="00AD29D1" w14:paraId="12FCADC8"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10CC4C17"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088FB7B8" w14:textId="77777777" w:rsidR="00AD29D1" w:rsidRPr="00AD29D1" w:rsidRDefault="00AD29D1" w:rsidP="00FD79CF">
            <w:pPr>
              <w:keepNext/>
              <w:rPr>
                <w:rFonts w:cs="Calibri"/>
                <w:color w:val="000000"/>
                <w:sz w:val="20"/>
                <w:szCs w:val="20"/>
              </w:rPr>
            </w:pPr>
            <w:r w:rsidRPr="00AD29D1">
              <w:rPr>
                <w:rFonts w:cs="Calibri"/>
                <w:color w:val="000000"/>
                <w:sz w:val="20"/>
                <w:szCs w:val="20"/>
              </w:rPr>
              <w:t>Kern</w:t>
            </w:r>
          </w:p>
        </w:tc>
        <w:tc>
          <w:tcPr>
            <w:tcW w:w="1450" w:type="dxa"/>
            <w:tcBorders>
              <w:top w:val="nil"/>
              <w:left w:val="nil"/>
              <w:bottom w:val="single" w:sz="4" w:space="0" w:color="auto"/>
              <w:right w:val="single" w:sz="4" w:space="0" w:color="auto"/>
            </w:tcBorders>
            <w:shd w:val="clear" w:color="auto" w:fill="auto"/>
            <w:noWrap/>
            <w:vAlign w:val="bottom"/>
            <w:hideMark/>
          </w:tcPr>
          <w:p w14:paraId="0C87CB83"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4,423</w:t>
            </w:r>
          </w:p>
        </w:tc>
        <w:tc>
          <w:tcPr>
            <w:tcW w:w="1890" w:type="dxa"/>
            <w:tcBorders>
              <w:top w:val="nil"/>
              <w:left w:val="nil"/>
              <w:bottom w:val="single" w:sz="4" w:space="0" w:color="auto"/>
              <w:right w:val="single" w:sz="4" w:space="0" w:color="auto"/>
            </w:tcBorders>
            <w:shd w:val="clear" w:color="auto" w:fill="auto"/>
            <w:noWrap/>
            <w:vAlign w:val="bottom"/>
            <w:hideMark/>
          </w:tcPr>
          <w:p w14:paraId="509726DF"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4,525</w:t>
            </w:r>
          </w:p>
        </w:tc>
        <w:tc>
          <w:tcPr>
            <w:tcW w:w="928" w:type="dxa"/>
            <w:tcBorders>
              <w:top w:val="nil"/>
              <w:left w:val="nil"/>
              <w:bottom w:val="single" w:sz="4" w:space="0" w:color="auto"/>
              <w:right w:val="single" w:sz="4" w:space="0" w:color="auto"/>
            </w:tcBorders>
            <w:shd w:val="clear" w:color="auto" w:fill="auto"/>
            <w:noWrap/>
            <w:vAlign w:val="bottom"/>
            <w:hideMark/>
          </w:tcPr>
          <w:p w14:paraId="51BB2163"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w:t>
            </w:r>
          </w:p>
        </w:tc>
      </w:tr>
      <w:tr w:rsidR="00AD29D1" w:rsidRPr="00AD29D1" w14:paraId="406C06F4"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02A38AD5"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5711B132" w14:textId="77777777" w:rsidR="00AD29D1" w:rsidRPr="00AD29D1" w:rsidRDefault="00AD29D1" w:rsidP="00FD79CF">
            <w:pPr>
              <w:keepNext/>
              <w:rPr>
                <w:rFonts w:cs="Calibri"/>
                <w:color w:val="000000"/>
                <w:sz w:val="20"/>
                <w:szCs w:val="20"/>
              </w:rPr>
            </w:pPr>
            <w:r w:rsidRPr="00AD29D1">
              <w:rPr>
                <w:rFonts w:cs="Calibri"/>
                <w:color w:val="000000"/>
                <w:sz w:val="20"/>
                <w:szCs w:val="20"/>
              </w:rPr>
              <w:t>Northern Coast</w:t>
            </w:r>
          </w:p>
        </w:tc>
        <w:tc>
          <w:tcPr>
            <w:tcW w:w="1450" w:type="dxa"/>
            <w:tcBorders>
              <w:top w:val="nil"/>
              <w:left w:val="nil"/>
              <w:bottom w:val="single" w:sz="4" w:space="0" w:color="auto"/>
              <w:right w:val="single" w:sz="4" w:space="0" w:color="auto"/>
            </w:tcBorders>
            <w:shd w:val="clear" w:color="auto" w:fill="auto"/>
            <w:noWrap/>
            <w:vAlign w:val="bottom"/>
            <w:hideMark/>
          </w:tcPr>
          <w:p w14:paraId="5CC79E43"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4,099</w:t>
            </w:r>
          </w:p>
        </w:tc>
        <w:tc>
          <w:tcPr>
            <w:tcW w:w="1890" w:type="dxa"/>
            <w:tcBorders>
              <w:top w:val="nil"/>
              <w:left w:val="nil"/>
              <w:bottom w:val="single" w:sz="4" w:space="0" w:color="auto"/>
              <w:right w:val="single" w:sz="4" w:space="0" w:color="auto"/>
            </w:tcBorders>
            <w:shd w:val="clear" w:color="auto" w:fill="auto"/>
            <w:noWrap/>
            <w:vAlign w:val="bottom"/>
            <w:hideMark/>
          </w:tcPr>
          <w:p w14:paraId="710F4BAD"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3,810</w:t>
            </w:r>
          </w:p>
        </w:tc>
        <w:tc>
          <w:tcPr>
            <w:tcW w:w="928" w:type="dxa"/>
            <w:tcBorders>
              <w:top w:val="nil"/>
              <w:left w:val="nil"/>
              <w:bottom w:val="single" w:sz="4" w:space="0" w:color="auto"/>
              <w:right w:val="single" w:sz="4" w:space="0" w:color="auto"/>
            </w:tcBorders>
            <w:shd w:val="clear" w:color="auto" w:fill="auto"/>
            <w:noWrap/>
            <w:vAlign w:val="bottom"/>
            <w:hideMark/>
          </w:tcPr>
          <w:p w14:paraId="72D715CB"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-7%</w:t>
            </w:r>
          </w:p>
        </w:tc>
      </w:tr>
      <w:tr w:rsidR="00AD29D1" w:rsidRPr="00AD29D1" w14:paraId="710EF287"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0B53A260"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2288E749" w14:textId="77777777" w:rsidR="00AD29D1" w:rsidRPr="00AD29D1" w:rsidRDefault="00AD29D1" w:rsidP="00FD79CF">
            <w:pPr>
              <w:keepNext/>
              <w:rPr>
                <w:rFonts w:cs="Calibri"/>
                <w:color w:val="000000"/>
                <w:sz w:val="20"/>
                <w:szCs w:val="20"/>
              </w:rPr>
            </w:pPr>
            <w:r w:rsidRPr="00AD29D1">
              <w:rPr>
                <w:rFonts w:cs="Calibri"/>
                <w:color w:val="000000"/>
                <w:sz w:val="20"/>
                <w:szCs w:val="20"/>
              </w:rPr>
              <w:t>Other</w:t>
            </w:r>
          </w:p>
        </w:tc>
        <w:tc>
          <w:tcPr>
            <w:tcW w:w="1450" w:type="dxa"/>
            <w:tcBorders>
              <w:top w:val="nil"/>
              <w:left w:val="nil"/>
              <w:bottom w:val="single" w:sz="4" w:space="0" w:color="auto"/>
              <w:right w:val="single" w:sz="4" w:space="0" w:color="auto"/>
            </w:tcBorders>
            <w:shd w:val="clear" w:color="auto" w:fill="auto"/>
            <w:noWrap/>
            <w:vAlign w:val="bottom"/>
            <w:hideMark/>
          </w:tcPr>
          <w:p w14:paraId="791DAE03"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13,272</w:t>
            </w:r>
          </w:p>
        </w:tc>
        <w:tc>
          <w:tcPr>
            <w:tcW w:w="1890" w:type="dxa"/>
            <w:tcBorders>
              <w:top w:val="nil"/>
              <w:left w:val="nil"/>
              <w:bottom w:val="single" w:sz="4" w:space="0" w:color="auto"/>
              <w:right w:val="single" w:sz="4" w:space="0" w:color="auto"/>
            </w:tcBorders>
            <w:shd w:val="clear" w:color="auto" w:fill="auto"/>
            <w:noWrap/>
            <w:vAlign w:val="bottom"/>
            <w:hideMark/>
          </w:tcPr>
          <w:p w14:paraId="02A9A8C6"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14,209</w:t>
            </w:r>
          </w:p>
        </w:tc>
        <w:tc>
          <w:tcPr>
            <w:tcW w:w="928" w:type="dxa"/>
            <w:tcBorders>
              <w:top w:val="nil"/>
              <w:left w:val="nil"/>
              <w:bottom w:val="single" w:sz="4" w:space="0" w:color="auto"/>
              <w:right w:val="single" w:sz="4" w:space="0" w:color="auto"/>
            </w:tcBorders>
            <w:shd w:val="clear" w:color="auto" w:fill="auto"/>
            <w:noWrap/>
            <w:vAlign w:val="bottom"/>
            <w:hideMark/>
          </w:tcPr>
          <w:p w14:paraId="41BC54D3"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7%</w:t>
            </w:r>
          </w:p>
        </w:tc>
      </w:tr>
      <w:tr w:rsidR="00AD29D1" w:rsidRPr="00AD29D1" w14:paraId="59C07849"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657B07A6"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3BE146A5" w14:textId="77777777" w:rsidR="00AD29D1" w:rsidRPr="00AD29D1" w:rsidRDefault="00AD29D1" w:rsidP="00FD79CF">
            <w:pPr>
              <w:keepNext/>
              <w:rPr>
                <w:rFonts w:cs="Calibri"/>
                <w:color w:val="000000"/>
                <w:sz w:val="20"/>
                <w:szCs w:val="20"/>
              </w:rPr>
            </w:pPr>
            <w:r w:rsidRPr="00AD29D1">
              <w:rPr>
                <w:rFonts w:cs="Calibri"/>
                <w:color w:val="000000"/>
                <w:sz w:val="20"/>
                <w:szCs w:val="20"/>
              </w:rPr>
              <w:t>Sierra</w:t>
            </w:r>
          </w:p>
        </w:tc>
        <w:tc>
          <w:tcPr>
            <w:tcW w:w="1450" w:type="dxa"/>
            <w:tcBorders>
              <w:top w:val="nil"/>
              <w:left w:val="nil"/>
              <w:bottom w:val="single" w:sz="4" w:space="0" w:color="auto"/>
              <w:right w:val="single" w:sz="4" w:space="0" w:color="auto"/>
            </w:tcBorders>
            <w:shd w:val="clear" w:color="auto" w:fill="auto"/>
            <w:noWrap/>
            <w:vAlign w:val="bottom"/>
            <w:hideMark/>
          </w:tcPr>
          <w:p w14:paraId="4C5FEB87"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14,437</w:t>
            </w:r>
          </w:p>
        </w:tc>
        <w:tc>
          <w:tcPr>
            <w:tcW w:w="1890" w:type="dxa"/>
            <w:tcBorders>
              <w:top w:val="nil"/>
              <w:left w:val="nil"/>
              <w:bottom w:val="single" w:sz="4" w:space="0" w:color="auto"/>
              <w:right w:val="single" w:sz="4" w:space="0" w:color="auto"/>
            </w:tcBorders>
            <w:shd w:val="clear" w:color="auto" w:fill="auto"/>
            <w:noWrap/>
            <w:vAlign w:val="bottom"/>
            <w:hideMark/>
          </w:tcPr>
          <w:p w14:paraId="16DB6DBE"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14,734</w:t>
            </w:r>
          </w:p>
        </w:tc>
        <w:tc>
          <w:tcPr>
            <w:tcW w:w="928" w:type="dxa"/>
            <w:tcBorders>
              <w:top w:val="nil"/>
              <w:left w:val="nil"/>
              <w:bottom w:val="single" w:sz="4" w:space="0" w:color="auto"/>
              <w:right w:val="single" w:sz="4" w:space="0" w:color="auto"/>
            </w:tcBorders>
            <w:shd w:val="clear" w:color="auto" w:fill="auto"/>
            <w:noWrap/>
            <w:vAlign w:val="bottom"/>
            <w:hideMark/>
          </w:tcPr>
          <w:p w14:paraId="7B0DC160"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2%</w:t>
            </w:r>
          </w:p>
        </w:tc>
      </w:tr>
      <w:tr w:rsidR="00AD29D1" w:rsidRPr="00AD29D1" w14:paraId="1A0BFD0B" w14:textId="77777777" w:rsidTr="00B41E3C">
        <w:trPr>
          <w:trHeight w:val="300"/>
          <w:jc w:val="center"/>
        </w:trPr>
        <w:tc>
          <w:tcPr>
            <w:tcW w:w="2080" w:type="dxa"/>
            <w:vMerge/>
            <w:tcBorders>
              <w:top w:val="nil"/>
              <w:left w:val="single" w:sz="4" w:space="0" w:color="auto"/>
              <w:bottom w:val="single" w:sz="4" w:space="0" w:color="auto"/>
              <w:right w:val="single" w:sz="4" w:space="0" w:color="auto"/>
            </w:tcBorders>
            <w:vAlign w:val="center"/>
            <w:hideMark/>
          </w:tcPr>
          <w:p w14:paraId="47D35E76" w14:textId="77777777" w:rsidR="00AD29D1" w:rsidRPr="00AD29D1" w:rsidRDefault="00AD29D1" w:rsidP="00FD79CF">
            <w:pPr>
              <w:keepNext/>
              <w:rPr>
                <w:rFonts w:cs="Calibri"/>
                <w:color w:val="000000"/>
                <w:sz w:val="20"/>
                <w:szCs w:val="20"/>
              </w:rPr>
            </w:pPr>
          </w:p>
        </w:tc>
        <w:tc>
          <w:tcPr>
            <w:tcW w:w="1680" w:type="dxa"/>
            <w:tcBorders>
              <w:top w:val="nil"/>
              <w:left w:val="nil"/>
              <w:bottom w:val="single" w:sz="4" w:space="0" w:color="auto"/>
              <w:right w:val="single" w:sz="4" w:space="0" w:color="auto"/>
            </w:tcBorders>
            <w:shd w:val="clear" w:color="auto" w:fill="auto"/>
            <w:noWrap/>
            <w:vAlign w:val="bottom"/>
            <w:hideMark/>
          </w:tcPr>
          <w:p w14:paraId="12DBBBD2" w14:textId="77777777" w:rsidR="00AD29D1" w:rsidRPr="00AD29D1" w:rsidRDefault="00AD29D1" w:rsidP="00FD79CF">
            <w:pPr>
              <w:keepNext/>
              <w:rPr>
                <w:rFonts w:cs="Calibri"/>
                <w:color w:val="000000"/>
                <w:sz w:val="20"/>
                <w:szCs w:val="20"/>
              </w:rPr>
            </w:pPr>
            <w:r w:rsidRPr="00AD29D1">
              <w:rPr>
                <w:rFonts w:cs="Calibri"/>
                <w:color w:val="000000"/>
                <w:sz w:val="20"/>
                <w:szCs w:val="20"/>
              </w:rPr>
              <w:t>Stockton</w:t>
            </w:r>
          </w:p>
        </w:tc>
        <w:tc>
          <w:tcPr>
            <w:tcW w:w="1450" w:type="dxa"/>
            <w:tcBorders>
              <w:top w:val="nil"/>
              <w:left w:val="nil"/>
              <w:bottom w:val="single" w:sz="4" w:space="0" w:color="auto"/>
              <w:right w:val="single" w:sz="4" w:space="0" w:color="auto"/>
            </w:tcBorders>
            <w:shd w:val="clear" w:color="auto" w:fill="auto"/>
            <w:noWrap/>
            <w:vAlign w:val="bottom"/>
            <w:hideMark/>
          </w:tcPr>
          <w:p w14:paraId="12C130CC"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5,773</w:t>
            </w:r>
          </w:p>
        </w:tc>
        <w:tc>
          <w:tcPr>
            <w:tcW w:w="1890" w:type="dxa"/>
            <w:tcBorders>
              <w:top w:val="nil"/>
              <w:left w:val="nil"/>
              <w:bottom w:val="single" w:sz="4" w:space="0" w:color="auto"/>
              <w:right w:val="single" w:sz="4" w:space="0" w:color="auto"/>
            </w:tcBorders>
            <w:shd w:val="clear" w:color="auto" w:fill="auto"/>
            <w:noWrap/>
            <w:vAlign w:val="bottom"/>
            <w:hideMark/>
          </w:tcPr>
          <w:p w14:paraId="1879BCDB"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6,327</w:t>
            </w:r>
          </w:p>
        </w:tc>
        <w:tc>
          <w:tcPr>
            <w:tcW w:w="928" w:type="dxa"/>
            <w:tcBorders>
              <w:top w:val="nil"/>
              <w:left w:val="nil"/>
              <w:bottom w:val="single" w:sz="4" w:space="0" w:color="auto"/>
              <w:right w:val="single" w:sz="4" w:space="0" w:color="auto"/>
            </w:tcBorders>
            <w:shd w:val="clear" w:color="auto" w:fill="auto"/>
            <w:noWrap/>
            <w:vAlign w:val="bottom"/>
            <w:hideMark/>
          </w:tcPr>
          <w:p w14:paraId="114EE09F" w14:textId="77777777" w:rsidR="00AD29D1" w:rsidRPr="00AD29D1" w:rsidRDefault="00AD29D1" w:rsidP="00FD79CF">
            <w:pPr>
              <w:keepNext/>
              <w:jc w:val="right"/>
              <w:rPr>
                <w:rFonts w:cs="Calibri"/>
                <w:color w:val="000000"/>
                <w:sz w:val="20"/>
                <w:szCs w:val="20"/>
              </w:rPr>
            </w:pPr>
            <w:r w:rsidRPr="00AD29D1">
              <w:rPr>
                <w:rFonts w:cs="Calibri"/>
                <w:color w:val="000000"/>
                <w:sz w:val="20"/>
                <w:szCs w:val="20"/>
              </w:rPr>
              <w:t>10%</w:t>
            </w:r>
          </w:p>
        </w:tc>
      </w:tr>
    </w:tbl>
    <w:p w14:paraId="597871A7" w14:textId="57619992" w:rsidR="00A215E7" w:rsidRDefault="00A215E7" w:rsidP="009B2338"/>
    <w:p w14:paraId="564D65D5" w14:textId="77777777" w:rsidR="00AA42D6" w:rsidRDefault="00AA42D6" w:rsidP="009B2338"/>
    <w:p w14:paraId="5AD28000" w14:textId="5E4ADC31" w:rsidR="00FB3572" w:rsidRDefault="00F410AF" w:rsidP="00FB3572">
      <w:r>
        <w:fldChar w:fldCharType="begin"/>
      </w:r>
      <w:r>
        <w:instrText xml:space="preserve"> REF _Ref507247682 \h </w:instrText>
      </w:r>
      <w:r>
        <w:fldChar w:fldCharType="separate"/>
      </w:r>
      <w:r w:rsidR="00445DF3">
        <w:t xml:space="preserve">Figure </w:t>
      </w:r>
      <w:r w:rsidR="00445DF3">
        <w:rPr>
          <w:noProof/>
        </w:rPr>
        <w:t>4</w:t>
      </w:r>
      <w:r w:rsidR="00445DF3">
        <w:noBreakHyphen/>
      </w:r>
      <w:r w:rsidR="00445DF3">
        <w:rPr>
          <w:noProof/>
        </w:rPr>
        <w:t>1</w:t>
      </w:r>
      <w:r>
        <w:fldChar w:fldCharType="end"/>
      </w:r>
      <w:r w:rsidR="00782ABA">
        <w:t xml:space="preserve"> illustrates the aggregate reference load, observed load, and load impact for</w:t>
      </w:r>
      <w:r w:rsidR="00CD6497">
        <w:t xml:space="preserve"> </w:t>
      </w:r>
      <w:r w:rsidR="00950D63">
        <w:t xml:space="preserve">all </w:t>
      </w:r>
      <w:r w:rsidR="00546AFB">
        <w:t>SmartAC™</w:t>
      </w:r>
      <w:r w:rsidR="00950D63">
        <w:t xml:space="preserve"> </w:t>
      </w:r>
      <w:r w:rsidR="00CD6497">
        <w:t>customers on</w:t>
      </w:r>
      <w:r w:rsidR="00782ABA">
        <w:t xml:space="preserve"> the typical event day in</w:t>
      </w:r>
      <w:r w:rsidR="00717AA5">
        <w:t xml:space="preserve"> any year from </w:t>
      </w:r>
      <w:r w:rsidR="00BF6128">
        <w:t>2019 to 2029</w:t>
      </w:r>
      <w:r w:rsidR="00717AA5">
        <w:t xml:space="preserve"> </w:t>
      </w:r>
      <w:r w:rsidR="00782ABA">
        <w:t>for the PG&amp;E 1-in-2 weather scenario.</w:t>
      </w:r>
      <w:r w:rsidR="008711BE">
        <w:t xml:space="preserve"> The shape of the</w:t>
      </w:r>
      <w:r w:rsidR="003B39B5">
        <w:t xml:space="preserve"> </w:t>
      </w:r>
      <w:r w:rsidR="003B39B5" w:rsidRPr="003B39B5">
        <w:rPr>
          <w:i/>
        </w:rPr>
        <w:t>ex-ante</w:t>
      </w:r>
      <w:r w:rsidR="008711BE">
        <w:t xml:space="preserve"> loads and load impacts </w:t>
      </w:r>
      <w:r w:rsidR="00600114">
        <w:t>are</w:t>
      </w:r>
      <w:r w:rsidR="008711BE">
        <w:t xml:space="preserve"> similar to the </w:t>
      </w:r>
      <w:r w:rsidR="008711BE" w:rsidRPr="003B39B5">
        <w:rPr>
          <w:i/>
        </w:rPr>
        <w:t>ex-post</w:t>
      </w:r>
      <w:r w:rsidR="008711BE">
        <w:t xml:space="preserve"> results in</w:t>
      </w:r>
      <w:r w:rsidR="00600114">
        <w:t xml:space="preserve"> </w:t>
      </w:r>
      <w:r w:rsidR="00600114" w:rsidRPr="0078000C">
        <w:fldChar w:fldCharType="begin"/>
      </w:r>
      <w:r w:rsidR="00600114" w:rsidRPr="0078000C">
        <w:instrText xml:space="preserve"> REF _Ref706718 \h </w:instrText>
      </w:r>
      <w:r w:rsidR="0078000C">
        <w:instrText xml:space="preserve"> \* MERGEFORMAT </w:instrText>
      </w:r>
      <w:r w:rsidR="00600114" w:rsidRPr="0078000C">
        <w:fldChar w:fldCharType="separate"/>
      </w:r>
      <w:r w:rsidR="00445DF3" w:rsidRPr="00554A35">
        <w:t xml:space="preserve">Figure </w:t>
      </w:r>
      <w:r w:rsidR="00445DF3">
        <w:rPr>
          <w:noProof/>
        </w:rPr>
        <w:t>3</w:t>
      </w:r>
      <w:r w:rsidR="00445DF3">
        <w:rPr>
          <w:noProof/>
        </w:rPr>
        <w:noBreakHyphen/>
        <w:t>5</w:t>
      </w:r>
      <w:r w:rsidR="00600114" w:rsidRPr="0078000C">
        <w:fldChar w:fldCharType="end"/>
      </w:r>
      <w:r w:rsidR="0078000C" w:rsidRPr="0078000C">
        <w:t>, h</w:t>
      </w:r>
      <w:r w:rsidR="0030448C" w:rsidRPr="0078000C">
        <w:t>owever</w:t>
      </w:r>
      <w:r w:rsidR="008711BE">
        <w:t xml:space="preserve"> the </w:t>
      </w:r>
      <w:r w:rsidR="0030448C" w:rsidRPr="0030448C">
        <w:rPr>
          <w:i/>
        </w:rPr>
        <w:t>ex-ante</w:t>
      </w:r>
      <w:r w:rsidR="0030448C">
        <w:t xml:space="preserve"> loads and load impacts are much larger in </w:t>
      </w:r>
      <w:r w:rsidR="008711BE">
        <w:t>magnitude</w:t>
      </w:r>
      <w:r w:rsidR="0078000C">
        <w:t xml:space="preserve">. The </w:t>
      </w:r>
      <w:r w:rsidR="0030448C" w:rsidRPr="0030448C">
        <w:rPr>
          <w:i/>
        </w:rPr>
        <w:t>ex-post</w:t>
      </w:r>
      <w:r w:rsidR="0030448C">
        <w:t xml:space="preserve"> </w:t>
      </w:r>
      <w:r w:rsidR="0078000C">
        <w:t xml:space="preserve">aggregate </w:t>
      </w:r>
      <w:r w:rsidR="0030448C">
        <w:t xml:space="preserve">load impacts </w:t>
      </w:r>
      <w:r w:rsidR="0078000C">
        <w:t xml:space="preserve">are for all customers called for the event on August 9, 2018, while the </w:t>
      </w:r>
      <w:r w:rsidR="0078000C" w:rsidRPr="0078000C">
        <w:rPr>
          <w:i/>
        </w:rPr>
        <w:t>ex-ante</w:t>
      </w:r>
      <w:r w:rsidR="0078000C">
        <w:t xml:space="preserve"> load impacts correspond to a system-wide event on a typical event day</w:t>
      </w:r>
      <w:r w:rsidR="0030448C">
        <w:t>.</w:t>
      </w:r>
      <w:r w:rsidR="0078000C">
        <w:t xml:space="preserve"> Moreover, the </w:t>
      </w:r>
      <w:r w:rsidR="0078000C" w:rsidRPr="0078000C">
        <w:rPr>
          <w:i/>
        </w:rPr>
        <w:t>ex-ante</w:t>
      </w:r>
      <w:r w:rsidR="0078000C">
        <w:t xml:space="preserve"> load impacts account for the forecasted increase the number of </w:t>
      </w:r>
      <w:r w:rsidR="00546AFB">
        <w:t>SmartAC™</w:t>
      </w:r>
      <w:r w:rsidR="0078000C">
        <w:t xml:space="preserve"> customers.</w:t>
      </w:r>
      <w:r w:rsidR="008711BE">
        <w:t xml:space="preserve"> The </w:t>
      </w:r>
      <w:r w:rsidR="0030448C">
        <w:t xml:space="preserve">average RA window </w:t>
      </w:r>
      <w:r w:rsidR="008711BE">
        <w:t xml:space="preserve">load impact </w:t>
      </w:r>
      <w:r w:rsidR="009A5DB0">
        <w:t xml:space="preserve">is </w:t>
      </w:r>
      <w:r w:rsidR="00DB62AA">
        <w:t>5</w:t>
      </w:r>
      <w:r w:rsidR="00764357">
        <w:t>0</w:t>
      </w:r>
      <w:r w:rsidR="008711BE">
        <w:t xml:space="preserve"> MWh/hour</w:t>
      </w:r>
      <w:r w:rsidR="009A5DB0">
        <w:t xml:space="preserve">, or </w:t>
      </w:r>
      <w:r w:rsidR="0030448C">
        <w:t>2</w:t>
      </w:r>
      <w:r w:rsidR="00764357">
        <w:t>3</w:t>
      </w:r>
      <w:r w:rsidR="008711BE">
        <w:t xml:space="preserve"> percent </w:t>
      </w:r>
      <w:r w:rsidR="009A5DB0">
        <w:t>of the</w:t>
      </w:r>
      <w:r w:rsidR="0030448C">
        <w:t xml:space="preserve"> average RA window</w:t>
      </w:r>
      <w:r w:rsidR="009A5DB0">
        <w:t xml:space="preserve"> </w:t>
      </w:r>
      <w:r w:rsidR="008711BE">
        <w:t>reference load</w:t>
      </w:r>
      <w:r w:rsidR="0030448C">
        <w:t>s</w:t>
      </w:r>
      <w:r w:rsidR="008711BE">
        <w:t>.</w:t>
      </w:r>
    </w:p>
    <w:p w14:paraId="32A4CE4B" w14:textId="5E1B94EB" w:rsidR="00FB3572" w:rsidRPr="00C734D6" w:rsidRDefault="00FB3572" w:rsidP="00C734D6"/>
    <w:p w14:paraId="0657E667" w14:textId="2C37427F" w:rsidR="001B3142" w:rsidRPr="00DF7EDE" w:rsidRDefault="001B3142" w:rsidP="001B3142">
      <w:pPr>
        <w:pStyle w:val="FigureCaption"/>
      </w:pPr>
      <w:bookmarkStart w:id="127" w:name="_Ref507247682"/>
      <w:bookmarkStart w:id="128" w:name="_Ref1307272"/>
      <w:bookmarkStart w:id="129" w:name="_Toc4578200"/>
      <w:r>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4</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1</w:t>
      </w:r>
      <w:r w:rsidR="00002E97">
        <w:rPr>
          <w:noProof/>
        </w:rPr>
        <w:fldChar w:fldCharType="end"/>
      </w:r>
      <w:bookmarkEnd w:id="127"/>
      <w:r>
        <w:t xml:space="preserve">: </w:t>
      </w:r>
      <w:r w:rsidRPr="003E379F">
        <w:t>Aggregate Hourly Loads and Load Impacts</w:t>
      </w:r>
      <w:r>
        <w:t xml:space="preserve"> for</w:t>
      </w:r>
      <w:r>
        <w:rPr>
          <w:i/>
        </w:rPr>
        <w:t xml:space="preserve"> PG&amp;E 1-in-2 </w:t>
      </w:r>
      <w:r w:rsidR="00782ABA" w:rsidRPr="00DF7EDE">
        <w:t>Typical Event</w:t>
      </w:r>
      <w:r w:rsidRPr="00DF7EDE">
        <w:t xml:space="preserve"> Day</w:t>
      </w:r>
      <w:r w:rsidR="00125284" w:rsidRPr="00DF7EDE">
        <w:t xml:space="preserve">: All </w:t>
      </w:r>
      <w:r w:rsidR="00546AFB">
        <w:t>SmartAC™</w:t>
      </w:r>
      <w:r w:rsidR="00125284" w:rsidRPr="00DF7EDE">
        <w:t xml:space="preserve"> customers</w:t>
      </w:r>
      <w:bookmarkEnd w:id="128"/>
      <w:bookmarkEnd w:id="129"/>
    </w:p>
    <w:p w14:paraId="086FFF7D" w14:textId="42904D5F" w:rsidR="00764357" w:rsidRDefault="00764357" w:rsidP="00CC0084">
      <w:pPr>
        <w:jc w:val="center"/>
      </w:pPr>
      <w:r>
        <w:rPr>
          <w:noProof/>
        </w:rPr>
        <w:drawing>
          <wp:inline distT="0" distB="0" distL="0" distR="0" wp14:anchorId="34F5078F" wp14:editId="4C7B8ECC">
            <wp:extent cx="5486400" cy="3985895"/>
            <wp:effectExtent l="0" t="0" r="0" b="0"/>
            <wp:docPr id="17" name="Chart 17">
              <a:extLst xmlns:a="http://schemas.openxmlformats.org/drawingml/2006/main">
                <a:ext uri="{FF2B5EF4-FFF2-40B4-BE49-F238E27FC236}">
                  <a16:creationId xmlns:a16="http://schemas.microsoft.com/office/drawing/2014/main" id="{DF9C1121-694E-4FA5-9712-440E4F2C8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E7C1B6" w14:textId="7751DEEE" w:rsidR="00DA733B" w:rsidRDefault="00DA733B" w:rsidP="00710329"/>
    <w:p w14:paraId="4944BA68" w14:textId="54A4E091" w:rsidR="00125284" w:rsidRDefault="00717AA5" w:rsidP="00931EF8">
      <w:pPr>
        <w:spacing w:after="120"/>
      </w:pPr>
      <w:r>
        <w:fldChar w:fldCharType="begin"/>
      </w:r>
      <w:r>
        <w:instrText xml:space="preserve"> REF _Ref1307318 \h </w:instrText>
      </w:r>
      <w:r>
        <w:fldChar w:fldCharType="separate"/>
      </w:r>
      <w:r w:rsidR="00445DF3">
        <w:t xml:space="preserve">Figure </w:t>
      </w:r>
      <w:r w:rsidR="00445DF3">
        <w:rPr>
          <w:noProof/>
        </w:rPr>
        <w:t>4</w:t>
      </w:r>
      <w:r w:rsidR="00445DF3">
        <w:noBreakHyphen/>
      </w:r>
      <w:r w:rsidR="00445DF3">
        <w:rPr>
          <w:noProof/>
        </w:rPr>
        <w:t>2</w:t>
      </w:r>
      <w:r>
        <w:fldChar w:fldCharType="end"/>
      </w:r>
      <w:r w:rsidR="00950D63">
        <w:t xml:space="preserve"> illustrates the aggregate reference load, observed load, and load impact for </w:t>
      </w:r>
      <w:r w:rsidR="00546AFB">
        <w:t>SmartAC™</w:t>
      </w:r>
      <w:r w:rsidR="00931EF8">
        <w:t>-only</w:t>
      </w:r>
      <w:r w:rsidR="00950D63">
        <w:t xml:space="preserve"> customers on the typical event day in August in</w:t>
      </w:r>
      <w:r>
        <w:t xml:space="preserve"> any year from </w:t>
      </w:r>
      <w:r w:rsidR="00BF6128">
        <w:t>2019 to 2029</w:t>
      </w:r>
      <w:r w:rsidR="00950D63">
        <w:t xml:space="preserve"> for the PG&amp;E 1-in-2 weather scenario. The shape of the </w:t>
      </w:r>
      <w:r w:rsidR="00950D63" w:rsidRPr="003B39B5">
        <w:rPr>
          <w:i/>
        </w:rPr>
        <w:t>ex-ante</w:t>
      </w:r>
      <w:r w:rsidR="00950D63">
        <w:t xml:space="preserve"> loads and load impacts is similar to the results for all </w:t>
      </w:r>
      <w:r w:rsidR="00546AFB">
        <w:t>SmartAC™</w:t>
      </w:r>
      <w:r w:rsidR="00931EF8">
        <w:t xml:space="preserve"> program </w:t>
      </w:r>
      <w:r w:rsidR="00950D63">
        <w:t xml:space="preserve">customers. </w:t>
      </w:r>
      <w:r w:rsidR="00931EF8">
        <w:t xml:space="preserve">The average RA window load impact is </w:t>
      </w:r>
      <w:r w:rsidR="00DB62AA">
        <w:t>4</w:t>
      </w:r>
      <w:r w:rsidR="00764357">
        <w:t>4</w:t>
      </w:r>
      <w:r w:rsidR="00931EF8">
        <w:t xml:space="preserve"> MWh/hour, or 2</w:t>
      </w:r>
      <w:r w:rsidR="00764357">
        <w:t>3</w:t>
      </w:r>
      <w:r w:rsidR="00931EF8">
        <w:t xml:space="preserve"> percent of the average RA window reference loads.</w:t>
      </w:r>
    </w:p>
    <w:p w14:paraId="5061B041" w14:textId="77777777" w:rsidR="00C734D6" w:rsidRDefault="00C734D6" w:rsidP="00931EF8">
      <w:pPr>
        <w:spacing w:after="120"/>
      </w:pPr>
    </w:p>
    <w:p w14:paraId="5A1A155F" w14:textId="4164E8FA" w:rsidR="00FC0FCB" w:rsidRDefault="00125284" w:rsidP="00125284">
      <w:pPr>
        <w:pStyle w:val="FigureCaption"/>
        <w:rPr>
          <w:noProof/>
        </w:rPr>
      </w:pPr>
      <w:bookmarkStart w:id="130" w:name="_Ref1307318"/>
      <w:bookmarkStart w:id="131" w:name="_Toc4578201"/>
      <w:r>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4</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2</w:t>
      </w:r>
      <w:r w:rsidR="00002E97">
        <w:rPr>
          <w:noProof/>
        </w:rPr>
        <w:fldChar w:fldCharType="end"/>
      </w:r>
      <w:bookmarkEnd w:id="130"/>
      <w:r>
        <w:t xml:space="preserve">: </w:t>
      </w:r>
      <w:r w:rsidRPr="003E379F">
        <w:t>Aggregate Hourly Loads and Load Impacts</w:t>
      </w:r>
      <w:r>
        <w:t xml:space="preserve"> for</w:t>
      </w:r>
      <w:r>
        <w:rPr>
          <w:i/>
        </w:rPr>
        <w:t xml:space="preserve"> PG&amp;E 1-in-2 </w:t>
      </w:r>
      <w:r w:rsidRPr="00DF7EDE">
        <w:t xml:space="preserve">Typical Event Day: </w:t>
      </w:r>
      <w:r w:rsidR="00546AFB">
        <w:t>SmartAC™</w:t>
      </w:r>
      <w:r w:rsidRPr="00DF7EDE">
        <w:t>-only customers</w:t>
      </w:r>
      <w:bookmarkEnd w:id="131"/>
    </w:p>
    <w:p w14:paraId="4EDD6912" w14:textId="4F4173F2" w:rsidR="00702F16" w:rsidRDefault="00702F16" w:rsidP="00CC0084">
      <w:pPr>
        <w:jc w:val="center"/>
        <w:rPr>
          <w:noProof/>
        </w:rPr>
      </w:pPr>
      <w:r>
        <w:rPr>
          <w:noProof/>
        </w:rPr>
        <w:drawing>
          <wp:inline distT="0" distB="0" distL="0" distR="0" wp14:anchorId="1D09E0C9" wp14:editId="689630CF">
            <wp:extent cx="5486400" cy="3985895"/>
            <wp:effectExtent l="0" t="0" r="0" b="0"/>
            <wp:docPr id="18" name="Chart 18">
              <a:extLst xmlns:a="http://schemas.openxmlformats.org/drawingml/2006/main">
                <a:ext uri="{FF2B5EF4-FFF2-40B4-BE49-F238E27FC236}">
                  <a16:creationId xmlns:a16="http://schemas.microsoft.com/office/drawing/2014/main" id="{C56E7310-4A80-44B9-B43B-E78C3BC7F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7AEAEE" w14:textId="27EB7DB7" w:rsidR="00C734D6" w:rsidRDefault="00C734D6" w:rsidP="0078000C">
      <w:pPr>
        <w:rPr>
          <w:noProof/>
        </w:rPr>
      </w:pPr>
    </w:p>
    <w:p w14:paraId="4F63A39E" w14:textId="152F794B" w:rsidR="00950D63" w:rsidRDefault="00950D63" w:rsidP="00950D63">
      <w:r>
        <w:fldChar w:fldCharType="begin"/>
      </w:r>
      <w:r>
        <w:instrText xml:space="preserve"> REF _Ref1307328 \h </w:instrText>
      </w:r>
      <w:r>
        <w:fldChar w:fldCharType="separate"/>
      </w:r>
      <w:r w:rsidR="00445DF3">
        <w:t xml:space="preserve">Figure </w:t>
      </w:r>
      <w:r w:rsidR="00445DF3">
        <w:rPr>
          <w:noProof/>
        </w:rPr>
        <w:t>4</w:t>
      </w:r>
      <w:r w:rsidR="00445DF3">
        <w:noBreakHyphen/>
      </w:r>
      <w:r w:rsidR="00445DF3">
        <w:rPr>
          <w:noProof/>
        </w:rPr>
        <w:t>3</w:t>
      </w:r>
      <w:r>
        <w:fldChar w:fldCharType="end"/>
      </w:r>
      <w:r>
        <w:t xml:space="preserve"> illustrates the aggregate reference load, observed load, and load impact for customers who are dually enrolled in </w:t>
      </w:r>
      <w:r w:rsidR="00546AFB">
        <w:t>SmartAC™</w:t>
      </w:r>
      <w:r>
        <w:t xml:space="preserve"> and SmartRate</w:t>
      </w:r>
      <w:r w:rsidR="001566D4">
        <w:rPr>
          <w:rFonts w:cs="Calibri"/>
        </w:rPr>
        <w:t>™</w:t>
      </w:r>
      <w:r>
        <w:t xml:space="preserve"> on the typical event day in August in </w:t>
      </w:r>
      <w:r w:rsidR="00717AA5">
        <w:t xml:space="preserve">any year from </w:t>
      </w:r>
      <w:r w:rsidR="00BF6128">
        <w:t>2019 to 2029</w:t>
      </w:r>
      <w:r>
        <w:t xml:space="preserve"> for the PG&amp;E 1-in-2 weather scenario. The shape of the </w:t>
      </w:r>
      <w:r w:rsidRPr="003B39B5">
        <w:rPr>
          <w:i/>
        </w:rPr>
        <w:t>ex-ante</w:t>
      </w:r>
      <w:r>
        <w:t xml:space="preserve"> </w:t>
      </w:r>
      <w:r w:rsidR="000A7FEF">
        <w:t xml:space="preserve">reference </w:t>
      </w:r>
      <w:r>
        <w:t>load</w:t>
      </w:r>
      <w:r w:rsidR="00DB4858">
        <w:t xml:space="preserve"> is flatter</w:t>
      </w:r>
      <w:r w:rsidR="000A7FEF">
        <w:t xml:space="preserve"> than for </w:t>
      </w:r>
      <w:r w:rsidR="00546AFB">
        <w:t>SmartAC™</w:t>
      </w:r>
      <w:r w:rsidR="000A7FEF">
        <w:t>-only customers</w:t>
      </w:r>
      <w:r w:rsidR="00931EF8">
        <w:t>, with a</w:t>
      </w:r>
      <w:r w:rsidR="00DB62AA">
        <w:t xml:space="preserve"> slightly</w:t>
      </w:r>
      <w:r w:rsidR="00931EF8">
        <w:t xml:space="preserve"> less pronounced peak</w:t>
      </w:r>
      <w:r w:rsidR="000A7FEF">
        <w:t>. T</w:t>
      </w:r>
      <w:r>
        <w:t>he magnitude</w:t>
      </w:r>
      <w:r w:rsidR="00DD4C5A">
        <w:t xml:space="preserve"> of the loads and load impacts </w:t>
      </w:r>
      <w:r>
        <w:t xml:space="preserve">are much </w:t>
      </w:r>
      <w:r w:rsidR="000A7FEF">
        <w:t xml:space="preserve">smaller compared to </w:t>
      </w:r>
      <w:r w:rsidR="00546AFB">
        <w:t>SmartAC™</w:t>
      </w:r>
      <w:r w:rsidR="000A7FEF">
        <w:t xml:space="preserve">-only customers due to lower dual </w:t>
      </w:r>
      <w:r>
        <w:t>enrollment</w:t>
      </w:r>
      <w:r w:rsidR="000A7FEF">
        <w:t>s</w:t>
      </w:r>
      <w:r w:rsidR="00DD4C5A">
        <w:t xml:space="preserve">, however dually enrolled customers are still less responsive than </w:t>
      </w:r>
      <w:r w:rsidR="00546AFB">
        <w:t>SmartAC™</w:t>
      </w:r>
      <w:r w:rsidR="00DD4C5A">
        <w:t>-only customers</w:t>
      </w:r>
      <w:r w:rsidR="00E37E44">
        <w:t xml:space="preserve"> based on the methodology employed</w:t>
      </w:r>
      <w:r>
        <w:t>.</w:t>
      </w:r>
      <w:r w:rsidR="00E37E44">
        <w:t xml:space="preserve"> See Section </w:t>
      </w:r>
      <w:r w:rsidR="00E37E44">
        <w:fldChar w:fldCharType="begin"/>
      </w:r>
      <w:r w:rsidR="00E37E44">
        <w:instrText xml:space="preserve"> REF _Ref2244398 \r \h </w:instrText>
      </w:r>
      <w:r w:rsidR="00E37E44">
        <w:fldChar w:fldCharType="separate"/>
      </w:r>
      <w:r w:rsidR="00445DF3">
        <w:t>2.2.2</w:t>
      </w:r>
      <w:r w:rsidR="00E37E44">
        <w:fldChar w:fldCharType="end"/>
      </w:r>
      <w:r w:rsidR="00E37E44">
        <w:t xml:space="preserve"> for more details of our load impacts modeling approach.</w:t>
      </w:r>
      <w:r>
        <w:t xml:space="preserve"> </w:t>
      </w:r>
      <w:r w:rsidR="00931EF8">
        <w:t xml:space="preserve">The average RA window load impact is </w:t>
      </w:r>
      <w:r w:rsidR="00702F16">
        <w:t>6</w:t>
      </w:r>
      <w:r w:rsidR="00931EF8">
        <w:t xml:space="preserve"> MWh/hour, or </w:t>
      </w:r>
      <w:r w:rsidR="00702F16">
        <w:t>19</w:t>
      </w:r>
      <w:r w:rsidR="00931EF8">
        <w:t xml:space="preserve"> percent of the average RA window reference loads.</w:t>
      </w:r>
    </w:p>
    <w:p w14:paraId="60745E1E" w14:textId="03A9D06E" w:rsidR="00125284" w:rsidRDefault="00125284" w:rsidP="00B865B0"/>
    <w:p w14:paraId="721207FF" w14:textId="587133EC" w:rsidR="00125284" w:rsidRPr="00DF7EDE" w:rsidRDefault="00125284" w:rsidP="00125284">
      <w:pPr>
        <w:pStyle w:val="FigureCaption"/>
      </w:pPr>
      <w:bookmarkStart w:id="132" w:name="_Ref1307328"/>
      <w:bookmarkStart w:id="133" w:name="_Toc4578202"/>
      <w:r>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4</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3</w:t>
      </w:r>
      <w:r w:rsidR="00002E97">
        <w:rPr>
          <w:noProof/>
        </w:rPr>
        <w:fldChar w:fldCharType="end"/>
      </w:r>
      <w:bookmarkEnd w:id="132"/>
      <w:r>
        <w:t xml:space="preserve">: </w:t>
      </w:r>
      <w:r w:rsidRPr="003E379F">
        <w:t>Aggregate Hourly Loads and Load Impacts</w:t>
      </w:r>
      <w:r>
        <w:t xml:space="preserve"> for</w:t>
      </w:r>
      <w:r>
        <w:rPr>
          <w:i/>
        </w:rPr>
        <w:t xml:space="preserve"> PG&amp;E 1-in-2 </w:t>
      </w:r>
      <w:r w:rsidRPr="00DF7EDE">
        <w:t>Typical Event Day: Dually Enrolled Customers</w:t>
      </w:r>
      <w:bookmarkEnd w:id="133"/>
    </w:p>
    <w:p w14:paraId="3E88FFEA" w14:textId="245C4895" w:rsidR="00702F16" w:rsidRDefault="00702F16" w:rsidP="00CC0084">
      <w:pPr>
        <w:jc w:val="center"/>
      </w:pPr>
      <w:r>
        <w:rPr>
          <w:noProof/>
        </w:rPr>
        <w:drawing>
          <wp:inline distT="0" distB="0" distL="0" distR="0" wp14:anchorId="03592FE9" wp14:editId="7CA31418">
            <wp:extent cx="5486400" cy="3985895"/>
            <wp:effectExtent l="0" t="0" r="0" b="0"/>
            <wp:docPr id="19" name="Chart 19">
              <a:extLst xmlns:a="http://schemas.openxmlformats.org/drawingml/2006/main">
                <a:ext uri="{FF2B5EF4-FFF2-40B4-BE49-F238E27FC236}">
                  <a16:creationId xmlns:a16="http://schemas.microsoft.com/office/drawing/2014/main" id="{D5F7C1E8-598A-49C8-9AE6-29E64B1DE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4C6131" w14:textId="7F1C5314" w:rsidR="00DA733B" w:rsidRDefault="00DA733B" w:rsidP="00710329"/>
    <w:p w14:paraId="18EBCF04" w14:textId="1045C2DD" w:rsidR="002C0AE6" w:rsidRDefault="002C0AE6" w:rsidP="00BE4EEC">
      <w:pPr>
        <w:spacing w:after="120"/>
        <w:rPr>
          <w:szCs w:val="32"/>
        </w:rPr>
      </w:pPr>
      <w:r>
        <w:rPr>
          <w:szCs w:val="32"/>
        </w:rPr>
        <w:fldChar w:fldCharType="begin"/>
      </w:r>
      <w:r>
        <w:rPr>
          <w:szCs w:val="32"/>
        </w:rPr>
        <w:instrText xml:space="preserve"> REF _Ref1404460 \h </w:instrText>
      </w:r>
      <w:r>
        <w:rPr>
          <w:szCs w:val="32"/>
        </w:rPr>
      </w:r>
      <w:r>
        <w:rPr>
          <w:szCs w:val="32"/>
        </w:rPr>
        <w:fldChar w:fldCharType="separate"/>
      </w:r>
      <w:r w:rsidR="00445DF3">
        <w:t xml:space="preserve">Table </w:t>
      </w:r>
      <w:r w:rsidR="00445DF3">
        <w:rPr>
          <w:noProof/>
        </w:rPr>
        <w:t>4</w:t>
      </w:r>
      <w:r w:rsidR="00445DF3">
        <w:noBreakHyphen/>
      </w:r>
      <w:r w:rsidR="00445DF3">
        <w:rPr>
          <w:noProof/>
        </w:rPr>
        <w:t>2</w:t>
      </w:r>
      <w:r>
        <w:rPr>
          <w:szCs w:val="32"/>
        </w:rPr>
        <w:fldChar w:fldCharType="end"/>
      </w:r>
      <w:r>
        <w:rPr>
          <w:szCs w:val="32"/>
        </w:rPr>
        <w:t xml:space="preserve"> summarizes average loads and load impacts, percentage load impacts, and average temperature for the RA window on the typical event day in</w:t>
      </w:r>
      <w:r w:rsidR="00717AA5">
        <w:rPr>
          <w:szCs w:val="32"/>
        </w:rPr>
        <w:t xml:space="preserve"> any year from </w:t>
      </w:r>
      <w:r w:rsidR="00BF6128">
        <w:rPr>
          <w:szCs w:val="32"/>
        </w:rPr>
        <w:t>2019 to 2029</w:t>
      </w:r>
      <w:r>
        <w:rPr>
          <w:szCs w:val="32"/>
        </w:rPr>
        <w:t xml:space="preserve"> for the PG&amp;E 1-in-2 weather scenario by LCA and enrollment segment. </w:t>
      </w:r>
      <w:r w:rsidR="00DC563C">
        <w:rPr>
          <w:szCs w:val="32"/>
        </w:rPr>
        <w:t>Per-customer load impacts range from 0.</w:t>
      </w:r>
      <w:r w:rsidR="00A5425D">
        <w:rPr>
          <w:szCs w:val="32"/>
        </w:rPr>
        <w:t>03</w:t>
      </w:r>
      <w:r w:rsidR="00DC563C">
        <w:rPr>
          <w:szCs w:val="32"/>
        </w:rPr>
        <w:t xml:space="preserve"> to 0.</w:t>
      </w:r>
      <w:r w:rsidR="00A5425D">
        <w:rPr>
          <w:szCs w:val="32"/>
        </w:rPr>
        <w:t>57</w:t>
      </w:r>
      <w:r w:rsidR="00DC563C">
        <w:rPr>
          <w:szCs w:val="32"/>
        </w:rPr>
        <w:t xml:space="preserve"> (kWh/customer/hour)</w:t>
      </w:r>
      <w:r w:rsidR="00A5425D">
        <w:rPr>
          <w:szCs w:val="32"/>
        </w:rPr>
        <w:t xml:space="preserve"> with a</w:t>
      </w:r>
      <w:r w:rsidR="00DC563C">
        <w:rPr>
          <w:szCs w:val="32"/>
        </w:rPr>
        <w:t xml:space="preserve"> large variation in aggregate load impacts due to the distribution of enrolled customers across LCAs. The Greater Bay area will have the largest aggregate load reduction of </w:t>
      </w:r>
      <w:r w:rsidR="00C40573">
        <w:rPr>
          <w:szCs w:val="32"/>
        </w:rPr>
        <w:t>16</w:t>
      </w:r>
      <w:r w:rsidR="00DC563C">
        <w:rPr>
          <w:szCs w:val="32"/>
        </w:rPr>
        <w:t xml:space="preserve"> MWh/hour</w:t>
      </w:r>
      <w:r w:rsidR="00AB7F62">
        <w:rPr>
          <w:szCs w:val="32"/>
        </w:rPr>
        <w:t xml:space="preserve"> and the largest percentage reduction of </w:t>
      </w:r>
      <w:r w:rsidR="00A5425D">
        <w:rPr>
          <w:szCs w:val="32"/>
        </w:rPr>
        <w:t>31.6</w:t>
      </w:r>
      <w:r w:rsidR="00AB7F62">
        <w:rPr>
          <w:szCs w:val="32"/>
        </w:rPr>
        <w:t xml:space="preserve"> percent </w:t>
      </w:r>
      <w:r w:rsidR="00A5425D">
        <w:rPr>
          <w:szCs w:val="32"/>
        </w:rPr>
        <w:t>from dually enrolled customers the Greater Bay Area</w:t>
      </w:r>
      <w:r w:rsidR="00AB7F62">
        <w:rPr>
          <w:szCs w:val="32"/>
        </w:rPr>
        <w:t>.</w:t>
      </w:r>
      <w:r w:rsidR="00DC563C">
        <w:rPr>
          <w:szCs w:val="32"/>
        </w:rPr>
        <w:t xml:space="preserve"> </w:t>
      </w:r>
      <w:r w:rsidR="00A5425D">
        <w:rPr>
          <w:szCs w:val="32"/>
        </w:rPr>
        <w:t>The ongoing dispatch issues in Kern are reflected in the low per-customer load impacts</w:t>
      </w:r>
      <w:r w:rsidR="00B47605">
        <w:rPr>
          <w:szCs w:val="32"/>
        </w:rPr>
        <w:t xml:space="preserve"> (0.04 kWh/customer/hour),</w:t>
      </w:r>
      <w:r w:rsidR="00A5425D">
        <w:rPr>
          <w:szCs w:val="32"/>
        </w:rPr>
        <w:t xml:space="preserve"> low aggregate load impacts (0.2 MWh/hour)</w:t>
      </w:r>
      <w:r w:rsidR="00B47605">
        <w:rPr>
          <w:szCs w:val="32"/>
        </w:rPr>
        <w:t>, and low percentage load</w:t>
      </w:r>
      <w:r w:rsidR="00A5425D">
        <w:rPr>
          <w:szCs w:val="32"/>
        </w:rPr>
        <w:t xml:space="preserve"> </w:t>
      </w:r>
      <w:r w:rsidR="00B47605">
        <w:rPr>
          <w:szCs w:val="32"/>
        </w:rPr>
        <w:t xml:space="preserve">impacts (1.3 percent) </w:t>
      </w:r>
      <w:r w:rsidR="00A5425D">
        <w:rPr>
          <w:szCs w:val="32"/>
        </w:rPr>
        <w:t xml:space="preserve">corresponding to all </w:t>
      </w:r>
      <w:r w:rsidR="00546AFB">
        <w:rPr>
          <w:szCs w:val="32"/>
        </w:rPr>
        <w:t>SmartAC™</w:t>
      </w:r>
      <w:r w:rsidR="00A5425D">
        <w:rPr>
          <w:szCs w:val="32"/>
        </w:rPr>
        <w:t xml:space="preserve"> customers in Kern.</w:t>
      </w:r>
    </w:p>
    <w:p w14:paraId="6C3E49AF" w14:textId="25B9E70F" w:rsidR="00C734D6" w:rsidRDefault="00C734D6" w:rsidP="00BE4EEC">
      <w:pPr>
        <w:spacing w:after="120"/>
        <w:rPr>
          <w:szCs w:val="32"/>
        </w:rPr>
      </w:pPr>
    </w:p>
    <w:p w14:paraId="67E1FAD8" w14:textId="63612CD9" w:rsidR="00587B4A" w:rsidRDefault="00587B4A" w:rsidP="00BE4EEC">
      <w:pPr>
        <w:spacing w:after="120"/>
        <w:rPr>
          <w:szCs w:val="32"/>
        </w:rPr>
      </w:pPr>
    </w:p>
    <w:p w14:paraId="22026EC1" w14:textId="16B7574E" w:rsidR="00587B4A" w:rsidRDefault="00587B4A" w:rsidP="00BE4EEC">
      <w:pPr>
        <w:spacing w:after="120"/>
        <w:rPr>
          <w:szCs w:val="32"/>
        </w:rPr>
      </w:pPr>
    </w:p>
    <w:p w14:paraId="129D0003" w14:textId="5485B8E8" w:rsidR="00587B4A" w:rsidRDefault="00587B4A" w:rsidP="00BE4EEC">
      <w:pPr>
        <w:spacing w:after="120"/>
        <w:rPr>
          <w:szCs w:val="32"/>
        </w:rPr>
      </w:pPr>
    </w:p>
    <w:p w14:paraId="29137C6A" w14:textId="3C6E1350" w:rsidR="00587B4A" w:rsidRDefault="00587B4A" w:rsidP="00BE4EEC">
      <w:pPr>
        <w:spacing w:after="120"/>
        <w:rPr>
          <w:szCs w:val="32"/>
        </w:rPr>
      </w:pPr>
    </w:p>
    <w:p w14:paraId="164856AB" w14:textId="23ECE03C" w:rsidR="00125284" w:rsidRDefault="00125284" w:rsidP="00125284">
      <w:pPr>
        <w:pStyle w:val="TableCaption"/>
      </w:pPr>
      <w:bookmarkStart w:id="134" w:name="_Ref1404460"/>
      <w:bookmarkStart w:id="135" w:name="_Toc4578185"/>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4</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2</w:t>
      </w:r>
      <w:r w:rsidR="005D5F52">
        <w:rPr>
          <w:noProof/>
        </w:rPr>
        <w:fldChar w:fldCharType="end"/>
      </w:r>
      <w:bookmarkEnd w:id="134"/>
      <w:r>
        <w:t xml:space="preserve">: Average RA Window Load Impacts for </w:t>
      </w:r>
      <w:r w:rsidRPr="00125284">
        <w:rPr>
          <w:i/>
        </w:rPr>
        <w:t>PG&amp;E 1-in-</w:t>
      </w:r>
      <w:r w:rsidRPr="00DF7EDE">
        <w:rPr>
          <w:i/>
        </w:rPr>
        <w:t xml:space="preserve">2 </w:t>
      </w:r>
      <w:r w:rsidRPr="00DF7EDE">
        <w:t>Typical Event Day by LCA and Enrollment Segmen</w:t>
      </w:r>
      <w:r>
        <w:t>t</w:t>
      </w:r>
      <w:bookmarkEnd w:id="135"/>
    </w:p>
    <w:tbl>
      <w:tblPr>
        <w:tblW w:w="8745" w:type="dxa"/>
        <w:jc w:val="center"/>
        <w:tblLook w:val="04A0" w:firstRow="1" w:lastRow="0" w:firstColumn="1" w:lastColumn="0" w:noHBand="0" w:noVBand="1"/>
      </w:tblPr>
      <w:tblGrid>
        <w:gridCol w:w="1350"/>
        <w:gridCol w:w="1620"/>
        <w:gridCol w:w="906"/>
        <w:gridCol w:w="1067"/>
        <w:gridCol w:w="1067"/>
        <w:gridCol w:w="792"/>
        <w:gridCol w:w="1063"/>
        <w:gridCol w:w="880"/>
      </w:tblGrid>
      <w:tr w:rsidR="00DA6948" w:rsidRPr="00DA6948" w14:paraId="4DC3DAE1" w14:textId="77777777" w:rsidTr="00DA6948">
        <w:trPr>
          <w:trHeight w:val="300"/>
          <w:jc w:val="center"/>
        </w:trPr>
        <w:tc>
          <w:tcPr>
            <w:tcW w:w="1350" w:type="dxa"/>
            <w:vMerge w:val="restart"/>
            <w:tcBorders>
              <w:top w:val="nil"/>
              <w:left w:val="nil"/>
              <w:bottom w:val="nil"/>
              <w:right w:val="nil"/>
            </w:tcBorders>
            <w:shd w:val="clear" w:color="000000" w:fill="0C2577"/>
            <w:vAlign w:val="center"/>
            <w:hideMark/>
          </w:tcPr>
          <w:p w14:paraId="38B50A88" w14:textId="77777777" w:rsidR="00DA6948" w:rsidRPr="00DA6948" w:rsidRDefault="00DA6948" w:rsidP="00DA6948">
            <w:pPr>
              <w:jc w:val="center"/>
              <w:rPr>
                <w:rFonts w:cs="Calibri"/>
                <w:b/>
                <w:bCs/>
                <w:color w:val="FFFFFF"/>
                <w:sz w:val="20"/>
                <w:szCs w:val="20"/>
              </w:rPr>
            </w:pPr>
            <w:r w:rsidRPr="00DA6948">
              <w:rPr>
                <w:rFonts w:cs="Calibri"/>
                <w:b/>
                <w:bCs/>
                <w:color w:val="FFFFFF"/>
                <w:sz w:val="20"/>
                <w:szCs w:val="20"/>
              </w:rPr>
              <w:t>Enrollment Segment</w:t>
            </w:r>
          </w:p>
        </w:tc>
        <w:tc>
          <w:tcPr>
            <w:tcW w:w="1620" w:type="dxa"/>
            <w:vMerge w:val="restart"/>
            <w:tcBorders>
              <w:top w:val="nil"/>
              <w:left w:val="single" w:sz="4" w:space="0" w:color="FFFFFF"/>
              <w:bottom w:val="nil"/>
              <w:right w:val="single" w:sz="4" w:space="0" w:color="FFFFFF"/>
            </w:tcBorders>
            <w:shd w:val="clear" w:color="000000" w:fill="0C2577"/>
            <w:vAlign w:val="center"/>
            <w:hideMark/>
          </w:tcPr>
          <w:p w14:paraId="1461D934" w14:textId="77777777" w:rsidR="00DA6948" w:rsidRPr="00DA6948" w:rsidRDefault="00DA6948" w:rsidP="00DA6948">
            <w:pPr>
              <w:jc w:val="center"/>
              <w:rPr>
                <w:rFonts w:cs="Calibri"/>
                <w:b/>
                <w:bCs/>
                <w:color w:val="FFFFFF"/>
                <w:sz w:val="20"/>
                <w:szCs w:val="20"/>
              </w:rPr>
            </w:pPr>
            <w:r w:rsidRPr="00DA6948">
              <w:rPr>
                <w:rFonts w:cs="Calibri"/>
                <w:b/>
                <w:bCs/>
                <w:color w:val="FFFFFF"/>
                <w:sz w:val="20"/>
                <w:szCs w:val="20"/>
              </w:rPr>
              <w:t>LCA</w:t>
            </w:r>
          </w:p>
        </w:tc>
        <w:tc>
          <w:tcPr>
            <w:tcW w:w="906" w:type="dxa"/>
            <w:vMerge w:val="restart"/>
            <w:tcBorders>
              <w:top w:val="nil"/>
              <w:left w:val="nil"/>
              <w:bottom w:val="nil"/>
              <w:right w:val="single" w:sz="4" w:space="0" w:color="FFFFFF"/>
            </w:tcBorders>
            <w:shd w:val="clear" w:color="000000" w:fill="0C2577"/>
            <w:vAlign w:val="center"/>
            <w:hideMark/>
          </w:tcPr>
          <w:p w14:paraId="08D6528C" w14:textId="77777777" w:rsidR="00DA6948" w:rsidRPr="00DA6948" w:rsidRDefault="00DA6948" w:rsidP="00DA6948">
            <w:pPr>
              <w:jc w:val="center"/>
              <w:rPr>
                <w:rFonts w:cs="Calibri"/>
                <w:b/>
                <w:bCs/>
                <w:color w:val="FFFFFF"/>
                <w:sz w:val="20"/>
                <w:szCs w:val="20"/>
              </w:rPr>
            </w:pPr>
            <w:r w:rsidRPr="00DA6948">
              <w:rPr>
                <w:rFonts w:cs="Calibri"/>
                <w:b/>
                <w:bCs/>
                <w:color w:val="FFFFFF"/>
                <w:sz w:val="20"/>
                <w:szCs w:val="20"/>
              </w:rPr>
              <w:t>Enrolled</w:t>
            </w:r>
          </w:p>
        </w:tc>
        <w:tc>
          <w:tcPr>
            <w:tcW w:w="4869" w:type="dxa"/>
            <w:gridSpan w:val="5"/>
            <w:tcBorders>
              <w:top w:val="nil"/>
              <w:left w:val="nil"/>
              <w:bottom w:val="single" w:sz="4" w:space="0" w:color="E7E6E6"/>
              <w:right w:val="nil"/>
            </w:tcBorders>
            <w:shd w:val="clear" w:color="000000" w:fill="0C2577"/>
            <w:vAlign w:val="center"/>
            <w:hideMark/>
          </w:tcPr>
          <w:p w14:paraId="2129703F" w14:textId="77777777" w:rsidR="00DA6948" w:rsidRPr="00DA6948" w:rsidRDefault="00DA6948" w:rsidP="00DA6948">
            <w:pPr>
              <w:jc w:val="center"/>
              <w:rPr>
                <w:rFonts w:cs="Calibri"/>
                <w:b/>
                <w:bCs/>
                <w:color w:val="FFFFFF"/>
                <w:sz w:val="20"/>
                <w:szCs w:val="20"/>
              </w:rPr>
            </w:pPr>
            <w:r w:rsidRPr="00DA6948">
              <w:rPr>
                <w:rFonts w:cs="Calibri"/>
                <w:b/>
                <w:bCs/>
                <w:color w:val="FFFFFF"/>
                <w:sz w:val="20"/>
                <w:szCs w:val="20"/>
              </w:rPr>
              <w:t>Average RA Window Hour</w:t>
            </w:r>
          </w:p>
        </w:tc>
      </w:tr>
      <w:tr w:rsidR="00DA6948" w:rsidRPr="00DA6948" w14:paraId="3745BB73" w14:textId="77777777" w:rsidTr="00DA6948">
        <w:trPr>
          <w:trHeight w:val="360"/>
          <w:jc w:val="center"/>
        </w:trPr>
        <w:tc>
          <w:tcPr>
            <w:tcW w:w="1350" w:type="dxa"/>
            <w:vMerge/>
            <w:tcBorders>
              <w:top w:val="nil"/>
              <w:left w:val="nil"/>
              <w:bottom w:val="nil"/>
              <w:right w:val="nil"/>
            </w:tcBorders>
            <w:vAlign w:val="center"/>
            <w:hideMark/>
          </w:tcPr>
          <w:p w14:paraId="6DB0DA34" w14:textId="77777777" w:rsidR="00DA6948" w:rsidRPr="00DA6948" w:rsidRDefault="00DA6948" w:rsidP="00DA6948">
            <w:pPr>
              <w:rPr>
                <w:rFonts w:cs="Calibri"/>
                <w:b/>
                <w:bCs/>
                <w:color w:val="FFFFFF"/>
                <w:sz w:val="20"/>
                <w:szCs w:val="20"/>
              </w:rPr>
            </w:pPr>
          </w:p>
        </w:tc>
        <w:tc>
          <w:tcPr>
            <w:tcW w:w="1620" w:type="dxa"/>
            <w:vMerge/>
            <w:tcBorders>
              <w:top w:val="nil"/>
              <w:left w:val="single" w:sz="4" w:space="0" w:color="FFFFFF"/>
              <w:bottom w:val="nil"/>
              <w:right w:val="single" w:sz="4" w:space="0" w:color="FFFFFF"/>
            </w:tcBorders>
            <w:vAlign w:val="center"/>
            <w:hideMark/>
          </w:tcPr>
          <w:p w14:paraId="34AFEF62" w14:textId="77777777" w:rsidR="00DA6948" w:rsidRPr="00DA6948" w:rsidRDefault="00DA6948" w:rsidP="00DA6948">
            <w:pPr>
              <w:rPr>
                <w:rFonts w:cs="Calibri"/>
                <w:b/>
                <w:bCs/>
                <w:color w:val="FFFFFF"/>
                <w:sz w:val="20"/>
                <w:szCs w:val="20"/>
              </w:rPr>
            </w:pPr>
          </w:p>
        </w:tc>
        <w:tc>
          <w:tcPr>
            <w:tcW w:w="906" w:type="dxa"/>
            <w:vMerge/>
            <w:tcBorders>
              <w:top w:val="nil"/>
              <w:left w:val="nil"/>
              <w:bottom w:val="nil"/>
              <w:right w:val="single" w:sz="4" w:space="0" w:color="FFFFFF"/>
            </w:tcBorders>
            <w:vAlign w:val="center"/>
            <w:hideMark/>
          </w:tcPr>
          <w:p w14:paraId="5C7F4B0E" w14:textId="77777777" w:rsidR="00DA6948" w:rsidRPr="00DA6948" w:rsidRDefault="00DA6948" w:rsidP="00DA6948">
            <w:pPr>
              <w:rPr>
                <w:rFonts w:cs="Calibri"/>
                <w:b/>
                <w:bCs/>
                <w:color w:val="FFFFFF"/>
                <w:sz w:val="20"/>
                <w:szCs w:val="20"/>
              </w:rPr>
            </w:pPr>
          </w:p>
        </w:tc>
        <w:tc>
          <w:tcPr>
            <w:tcW w:w="1067" w:type="dxa"/>
            <w:tcBorders>
              <w:top w:val="nil"/>
              <w:left w:val="nil"/>
              <w:bottom w:val="nil"/>
              <w:right w:val="single" w:sz="4" w:space="0" w:color="FFFFFF"/>
            </w:tcBorders>
            <w:shd w:val="clear" w:color="000000" w:fill="0C2577"/>
            <w:vAlign w:val="center"/>
            <w:hideMark/>
          </w:tcPr>
          <w:p w14:paraId="1A6F4ABB" w14:textId="77777777" w:rsidR="00DA6948" w:rsidRPr="00DA6948" w:rsidRDefault="00DA6948" w:rsidP="00DA6948">
            <w:pPr>
              <w:jc w:val="center"/>
              <w:rPr>
                <w:rFonts w:cs="Calibri"/>
                <w:b/>
                <w:bCs/>
                <w:color w:val="FFFFFF"/>
                <w:sz w:val="20"/>
                <w:szCs w:val="20"/>
              </w:rPr>
            </w:pPr>
            <w:r w:rsidRPr="00DA6948">
              <w:rPr>
                <w:rFonts w:cs="Calibri"/>
                <w:b/>
                <w:bCs/>
                <w:color w:val="FFFFFF"/>
                <w:sz w:val="20"/>
                <w:szCs w:val="20"/>
              </w:rPr>
              <w:t>Reference (kW/Cust)</w:t>
            </w:r>
          </w:p>
        </w:tc>
        <w:tc>
          <w:tcPr>
            <w:tcW w:w="1067" w:type="dxa"/>
            <w:tcBorders>
              <w:top w:val="nil"/>
              <w:left w:val="nil"/>
              <w:bottom w:val="nil"/>
              <w:right w:val="single" w:sz="4" w:space="0" w:color="FFFFFF"/>
            </w:tcBorders>
            <w:shd w:val="clear" w:color="000000" w:fill="0C2577"/>
            <w:vAlign w:val="center"/>
            <w:hideMark/>
          </w:tcPr>
          <w:p w14:paraId="3A9297F7" w14:textId="77777777" w:rsidR="00DA6948" w:rsidRPr="00DA6948" w:rsidRDefault="00DA6948" w:rsidP="00DA6948">
            <w:pPr>
              <w:jc w:val="center"/>
              <w:rPr>
                <w:rFonts w:cs="Calibri"/>
                <w:b/>
                <w:bCs/>
                <w:color w:val="FFFFFF"/>
                <w:sz w:val="20"/>
                <w:szCs w:val="20"/>
              </w:rPr>
            </w:pPr>
            <w:r w:rsidRPr="00DA6948">
              <w:rPr>
                <w:rFonts w:cs="Calibri"/>
                <w:b/>
                <w:bCs/>
                <w:color w:val="FFFFFF"/>
                <w:sz w:val="20"/>
                <w:szCs w:val="20"/>
              </w:rPr>
              <w:t>Impact (kW/Cust)</w:t>
            </w:r>
          </w:p>
        </w:tc>
        <w:tc>
          <w:tcPr>
            <w:tcW w:w="792" w:type="dxa"/>
            <w:tcBorders>
              <w:top w:val="nil"/>
              <w:left w:val="nil"/>
              <w:bottom w:val="nil"/>
              <w:right w:val="single" w:sz="4" w:space="0" w:color="FFFFFF"/>
            </w:tcBorders>
            <w:shd w:val="clear" w:color="000000" w:fill="0C2577"/>
            <w:vAlign w:val="center"/>
            <w:hideMark/>
          </w:tcPr>
          <w:p w14:paraId="24DCA2C4" w14:textId="77777777" w:rsidR="00DA6948" w:rsidRPr="00DA6948" w:rsidRDefault="00DA6948" w:rsidP="00DA6948">
            <w:pPr>
              <w:jc w:val="center"/>
              <w:rPr>
                <w:rFonts w:cs="Calibri"/>
                <w:b/>
                <w:bCs/>
                <w:color w:val="FFFFFF"/>
                <w:sz w:val="20"/>
                <w:szCs w:val="20"/>
              </w:rPr>
            </w:pPr>
            <w:r w:rsidRPr="00DA6948">
              <w:rPr>
                <w:rFonts w:cs="Calibri"/>
                <w:b/>
                <w:bCs/>
                <w:color w:val="FFFFFF"/>
                <w:sz w:val="20"/>
                <w:szCs w:val="20"/>
              </w:rPr>
              <w:t>% Load Impact</w:t>
            </w:r>
          </w:p>
        </w:tc>
        <w:tc>
          <w:tcPr>
            <w:tcW w:w="1063" w:type="dxa"/>
            <w:tcBorders>
              <w:top w:val="nil"/>
              <w:left w:val="nil"/>
              <w:bottom w:val="nil"/>
              <w:right w:val="single" w:sz="4" w:space="0" w:color="FFFFFF"/>
            </w:tcBorders>
            <w:shd w:val="clear" w:color="000000" w:fill="0C2577"/>
            <w:vAlign w:val="center"/>
            <w:hideMark/>
          </w:tcPr>
          <w:p w14:paraId="3F5D1058" w14:textId="77777777" w:rsidR="00DA6948" w:rsidRPr="00DA6948" w:rsidRDefault="00DA6948" w:rsidP="00DA6948">
            <w:pPr>
              <w:jc w:val="center"/>
              <w:rPr>
                <w:rFonts w:cs="Calibri"/>
                <w:b/>
                <w:bCs/>
                <w:color w:val="FFFFFF"/>
                <w:sz w:val="20"/>
                <w:szCs w:val="20"/>
              </w:rPr>
            </w:pPr>
            <w:r w:rsidRPr="00DA6948">
              <w:rPr>
                <w:rFonts w:cs="Calibri"/>
                <w:b/>
                <w:bCs/>
                <w:color w:val="FFFFFF"/>
                <w:sz w:val="20"/>
                <w:szCs w:val="20"/>
              </w:rPr>
              <w:t>Aggregate Impact (MW)</w:t>
            </w:r>
          </w:p>
        </w:tc>
        <w:tc>
          <w:tcPr>
            <w:tcW w:w="880" w:type="dxa"/>
            <w:tcBorders>
              <w:top w:val="nil"/>
              <w:left w:val="nil"/>
              <w:bottom w:val="nil"/>
              <w:right w:val="nil"/>
            </w:tcBorders>
            <w:shd w:val="clear" w:color="000000" w:fill="0C2577"/>
            <w:vAlign w:val="center"/>
            <w:hideMark/>
          </w:tcPr>
          <w:p w14:paraId="7048E352" w14:textId="77777777" w:rsidR="00DA6948" w:rsidRPr="00DA6948" w:rsidRDefault="00DA6948" w:rsidP="00DA6948">
            <w:pPr>
              <w:jc w:val="center"/>
              <w:rPr>
                <w:rFonts w:cs="Calibri"/>
                <w:b/>
                <w:bCs/>
                <w:color w:val="FFFFFF"/>
                <w:sz w:val="20"/>
                <w:szCs w:val="20"/>
              </w:rPr>
            </w:pPr>
            <w:r w:rsidRPr="00DA6948">
              <w:rPr>
                <w:rFonts w:cs="Calibri"/>
                <w:b/>
                <w:bCs/>
                <w:color w:val="FFFFFF"/>
                <w:sz w:val="20"/>
                <w:szCs w:val="20"/>
              </w:rPr>
              <w:t>Avg. Temp (°F)</w:t>
            </w:r>
          </w:p>
        </w:tc>
      </w:tr>
      <w:tr w:rsidR="00DA6948" w:rsidRPr="00DA6948" w14:paraId="68022B51" w14:textId="77777777" w:rsidTr="00DA6948">
        <w:trPr>
          <w:trHeight w:val="300"/>
          <w:jc w:val="center"/>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4EB98" w14:textId="77777777" w:rsidR="00DA6948" w:rsidRPr="00DA6948" w:rsidRDefault="00DA6948" w:rsidP="00DA6948">
            <w:pPr>
              <w:jc w:val="center"/>
              <w:rPr>
                <w:rFonts w:cs="Calibri"/>
                <w:color w:val="000000"/>
                <w:sz w:val="20"/>
                <w:szCs w:val="20"/>
              </w:rPr>
            </w:pPr>
            <w:r w:rsidRPr="00DA6948">
              <w:rPr>
                <w:rFonts w:cs="Calibri"/>
                <w:color w:val="000000"/>
                <w:sz w:val="20"/>
                <w:szCs w:val="20"/>
              </w:rPr>
              <w:t>All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E3EDE44" w14:textId="77777777" w:rsidR="00DA6948" w:rsidRPr="00DA6948" w:rsidRDefault="00DA6948" w:rsidP="00DA6948">
            <w:pPr>
              <w:rPr>
                <w:rFonts w:cs="Calibri"/>
                <w:color w:val="000000"/>
                <w:sz w:val="20"/>
                <w:szCs w:val="20"/>
              </w:rPr>
            </w:pPr>
            <w:r w:rsidRPr="00DA6948">
              <w:rPr>
                <w:rFonts w:cs="Calibri"/>
                <w:color w:val="000000"/>
                <w:sz w:val="20"/>
                <w:szCs w:val="20"/>
              </w:rPr>
              <w:t>Greater Bay Area</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14:paraId="5CE1AB72" w14:textId="77777777" w:rsidR="00DA6948" w:rsidRPr="00DA6948" w:rsidRDefault="00DA6948" w:rsidP="00DA6948">
            <w:pPr>
              <w:jc w:val="right"/>
              <w:rPr>
                <w:rFonts w:cs="Calibri"/>
                <w:color w:val="000000"/>
                <w:sz w:val="20"/>
                <w:szCs w:val="20"/>
              </w:rPr>
            </w:pPr>
            <w:r w:rsidRPr="00DA6948">
              <w:rPr>
                <w:rFonts w:cs="Calibri"/>
                <w:color w:val="000000"/>
                <w:sz w:val="20"/>
                <w:szCs w:val="20"/>
              </w:rPr>
              <w:t>31,889</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587B1EF6" w14:textId="77777777" w:rsidR="00DA6948" w:rsidRPr="00DA6948" w:rsidRDefault="00DA6948" w:rsidP="00DA6948">
            <w:pPr>
              <w:jc w:val="right"/>
              <w:rPr>
                <w:rFonts w:cs="Calibri"/>
                <w:color w:val="000000"/>
                <w:sz w:val="20"/>
                <w:szCs w:val="20"/>
              </w:rPr>
            </w:pPr>
            <w:r w:rsidRPr="00DA6948">
              <w:rPr>
                <w:rFonts w:cs="Calibri"/>
                <w:color w:val="000000"/>
                <w:sz w:val="20"/>
                <w:szCs w:val="20"/>
              </w:rPr>
              <w:t>1.67</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065FA873" w14:textId="77777777" w:rsidR="00DA6948" w:rsidRPr="00DA6948" w:rsidRDefault="00DA6948" w:rsidP="00DA6948">
            <w:pPr>
              <w:jc w:val="right"/>
              <w:rPr>
                <w:rFonts w:cs="Calibri"/>
                <w:color w:val="000000"/>
                <w:sz w:val="20"/>
                <w:szCs w:val="20"/>
              </w:rPr>
            </w:pPr>
            <w:r w:rsidRPr="00DA6948">
              <w:rPr>
                <w:rFonts w:cs="Calibri"/>
                <w:color w:val="000000"/>
                <w:sz w:val="20"/>
                <w:szCs w:val="20"/>
              </w:rPr>
              <w:t>0.50</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14:paraId="1ECDF887" w14:textId="77777777" w:rsidR="00DA6948" w:rsidRPr="00DA6948" w:rsidRDefault="00DA6948" w:rsidP="00DA6948">
            <w:pPr>
              <w:jc w:val="right"/>
              <w:rPr>
                <w:rFonts w:cs="Calibri"/>
                <w:color w:val="000000"/>
                <w:sz w:val="20"/>
                <w:szCs w:val="20"/>
              </w:rPr>
            </w:pPr>
            <w:r w:rsidRPr="00DA6948">
              <w:rPr>
                <w:rFonts w:cs="Calibri"/>
                <w:color w:val="000000"/>
                <w:sz w:val="20"/>
                <w:szCs w:val="20"/>
              </w:rPr>
              <w:t>30.1%</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5EC42816" w14:textId="77777777" w:rsidR="00DA6948" w:rsidRPr="00DA6948" w:rsidRDefault="00DA6948" w:rsidP="00DA6948">
            <w:pPr>
              <w:jc w:val="right"/>
              <w:rPr>
                <w:rFonts w:cs="Calibri"/>
                <w:color w:val="000000"/>
                <w:sz w:val="20"/>
                <w:szCs w:val="20"/>
              </w:rPr>
            </w:pPr>
            <w:r w:rsidRPr="00DA6948">
              <w:rPr>
                <w:rFonts w:cs="Calibri"/>
                <w:color w:val="000000"/>
                <w:sz w:val="20"/>
                <w:szCs w:val="20"/>
              </w:rPr>
              <w:t>16.0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642B40D" w14:textId="77777777" w:rsidR="00DA6948" w:rsidRPr="00DA6948" w:rsidRDefault="00DA6948" w:rsidP="00DA6948">
            <w:pPr>
              <w:jc w:val="right"/>
              <w:rPr>
                <w:rFonts w:cs="Calibri"/>
                <w:color w:val="000000"/>
                <w:sz w:val="20"/>
                <w:szCs w:val="20"/>
              </w:rPr>
            </w:pPr>
            <w:r w:rsidRPr="00DA6948">
              <w:rPr>
                <w:rFonts w:cs="Calibri"/>
                <w:color w:val="000000"/>
                <w:sz w:val="20"/>
                <w:szCs w:val="20"/>
              </w:rPr>
              <w:t>88.2</w:t>
            </w:r>
          </w:p>
        </w:tc>
      </w:tr>
      <w:tr w:rsidR="00DA6948" w:rsidRPr="00DA6948" w14:paraId="0ED017DA" w14:textId="77777777" w:rsidTr="00DA6948">
        <w:trPr>
          <w:trHeight w:val="30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36449F0A"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01960998" w14:textId="77777777" w:rsidR="00DA6948" w:rsidRPr="00DA6948" w:rsidRDefault="00DA6948" w:rsidP="00DA6948">
            <w:pPr>
              <w:rPr>
                <w:rFonts w:cs="Calibri"/>
                <w:color w:val="000000"/>
                <w:sz w:val="20"/>
                <w:szCs w:val="20"/>
              </w:rPr>
            </w:pPr>
            <w:r w:rsidRPr="00DA6948">
              <w:rPr>
                <w:rFonts w:cs="Calibri"/>
                <w:color w:val="000000"/>
                <w:sz w:val="20"/>
                <w:szCs w:val="20"/>
              </w:rPr>
              <w:t>Greater Fresno</w:t>
            </w:r>
          </w:p>
        </w:tc>
        <w:tc>
          <w:tcPr>
            <w:tcW w:w="906" w:type="dxa"/>
            <w:tcBorders>
              <w:top w:val="nil"/>
              <w:left w:val="nil"/>
              <w:bottom w:val="single" w:sz="4" w:space="0" w:color="auto"/>
              <w:right w:val="single" w:sz="4" w:space="0" w:color="auto"/>
            </w:tcBorders>
            <w:shd w:val="clear" w:color="auto" w:fill="auto"/>
            <w:noWrap/>
            <w:vAlign w:val="bottom"/>
            <w:hideMark/>
          </w:tcPr>
          <w:p w14:paraId="73FAC037" w14:textId="77777777" w:rsidR="00DA6948" w:rsidRPr="00DA6948" w:rsidRDefault="00DA6948" w:rsidP="00DA6948">
            <w:pPr>
              <w:jc w:val="right"/>
              <w:rPr>
                <w:rFonts w:cs="Calibri"/>
                <w:color w:val="000000"/>
                <w:sz w:val="20"/>
                <w:szCs w:val="20"/>
              </w:rPr>
            </w:pPr>
            <w:r w:rsidRPr="00DA6948">
              <w:rPr>
                <w:rFonts w:cs="Calibri"/>
                <w:color w:val="000000"/>
                <w:sz w:val="20"/>
                <w:szCs w:val="20"/>
              </w:rPr>
              <w:t>18,755</w:t>
            </w:r>
          </w:p>
        </w:tc>
        <w:tc>
          <w:tcPr>
            <w:tcW w:w="1067" w:type="dxa"/>
            <w:tcBorders>
              <w:top w:val="nil"/>
              <w:left w:val="nil"/>
              <w:bottom w:val="single" w:sz="4" w:space="0" w:color="auto"/>
              <w:right w:val="single" w:sz="4" w:space="0" w:color="auto"/>
            </w:tcBorders>
            <w:shd w:val="clear" w:color="auto" w:fill="auto"/>
            <w:noWrap/>
            <w:vAlign w:val="bottom"/>
            <w:hideMark/>
          </w:tcPr>
          <w:p w14:paraId="75AD006E" w14:textId="77777777" w:rsidR="00DA6948" w:rsidRPr="00DA6948" w:rsidRDefault="00DA6948" w:rsidP="00DA6948">
            <w:pPr>
              <w:jc w:val="right"/>
              <w:rPr>
                <w:rFonts w:cs="Calibri"/>
                <w:color w:val="000000"/>
                <w:sz w:val="20"/>
                <w:szCs w:val="20"/>
              </w:rPr>
            </w:pPr>
            <w:r w:rsidRPr="00DA6948">
              <w:rPr>
                <w:rFonts w:cs="Calibri"/>
                <w:color w:val="000000"/>
                <w:sz w:val="20"/>
                <w:szCs w:val="20"/>
              </w:rPr>
              <w:t>2.68</w:t>
            </w:r>
          </w:p>
        </w:tc>
        <w:tc>
          <w:tcPr>
            <w:tcW w:w="1067" w:type="dxa"/>
            <w:tcBorders>
              <w:top w:val="nil"/>
              <w:left w:val="nil"/>
              <w:bottom w:val="single" w:sz="4" w:space="0" w:color="auto"/>
              <w:right w:val="single" w:sz="4" w:space="0" w:color="auto"/>
            </w:tcBorders>
            <w:shd w:val="clear" w:color="auto" w:fill="auto"/>
            <w:noWrap/>
            <w:vAlign w:val="bottom"/>
            <w:hideMark/>
          </w:tcPr>
          <w:p w14:paraId="08F66A7C" w14:textId="77777777" w:rsidR="00DA6948" w:rsidRPr="00DA6948" w:rsidRDefault="00DA6948" w:rsidP="00DA6948">
            <w:pPr>
              <w:jc w:val="right"/>
              <w:rPr>
                <w:rFonts w:cs="Calibri"/>
                <w:color w:val="000000"/>
                <w:sz w:val="20"/>
                <w:szCs w:val="20"/>
              </w:rPr>
            </w:pPr>
            <w:r w:rsidRPr="00DA6948">
              <w:rPr>
                <w:rFonts w:cs="Calibri"/>
                <w:color w:val="000000"/>
                <w:sz w:val="20"/>
                <w:szCs w:val="20"/>
              </w:rPr>
              <w:t>0.50</w:t>
            </w:r>
          </w:p>
        </w:tc>
        <w:tc>
          <w:tcPr>
            <w:tcW w:w="792" w:type="dxa"/>
            <w:tcBorders>
              <w:top w:val="nil"/>
              <w:left w:val="nil"/>
              <w:bottom w:val="single" w:sz="4" w:space="0" w:color="auto"/>
              <w:right w:val="single" w:sz="4" w:space="0" w:color="auto"/>
            </w:tcBorders>
            <w:shd w:val="clear" w:color="auto" w:fill="auto"/>
            <w:noWrap/>
            <w:vAlign w:val="bottom"/>
            <w:hideMark/>
          </w:tcPr>
          <w:p w14:paraId="705FC786" w14:textId="77777777" w:rsidR="00DA6948" w:rsidRPr="00DA6948" w:rsidRDefault="00DA6948" w:rsidP="00DA6948">
            <w:pPr>
              <w:jc w:val="right"/>
              <w:rPr>
                <w:rFonts w:cs="Calibri"/>
                <w:color w:val="000000"/>
                <w:sz w:val="20"/>
                <w:szCs w:val="20"/>
              </w:rPr>
            </w:pPr>
            <w:r w:rsidRPr="00DA6948">
              <w:rPr>
                <w:rFonts w:cs="Calibri"/>
                <w:color w:val="000000"/>
                <w:sz w:val="20"/>
                <w:szCs w:val="20"/>
              </w:rPr>
              <w:t>18.5%</w:t>
            </w:r>
          </w:p>
        </w:tc>
        <w:tc>
          <w:tcPr>
            <w:tcW w:w="1063" w:type="dxa"/>
            <w:tcBorders>
              <w:top w:val="nil"/>
              <w:left w:val="nil"/>
              <w:bottom w:val="single" w:sz="4" w:space="0" w:color="auto"/>
              <w:right w:val="single" w:sz="4" w:space="0" w:color="auto"/>
            </w:tcBorders>
            <w:shd w:val="clear" w:color="auto" w:fill="auto"/>
            <w:noWrap/>
            <w:vAlign w:val="bottom"/>
            <w:hideMark/>
          </w:tcPr>
          <w:p w14:paraId="25764D87" w14:textId="77777777" w:rsidR="00DA6948" w:rsidRPr="00DA6948" w:rsidRDefault="00DA6948" w:rsidP="00DA6948">
            <w:pPr>
              <w:jc w:val="right"/>
              <w:rPr>
                <w:rFonts w:cs="Calibri"/>
                <w:color w:val="000000"/>
                <w:sz w:val="20"/>
                <w:szCs w:val="20"/>
              </w:rPr>
            </w:pPr>
            <w:r w:rsidRPr="00DA6948">
              <w:rPr>
                <w:rFonts w:cs="Calibri"/>
                <w:color w:val="000000"/>
                <w:sz w:val="20"/>
                <w:szCs w:val="20"/>
              </w:rPr>
              <w:t>9.3</w:t>
            </w:r>
          </w:p>
        </w:tc>
        <w:tc>
          <w:tcPr>
            <w:tcW w:w="880" w:type="dxa"/>
            <w:tcBorders>
              <w:top w:val="nil"/>
              <w:left w:val="nil"/>
              <w:bottom w:val="single" w:sz="4" w:space="0" w:color="auto"/>
              <w:right w:val="single" w:sz="4" w:space="0" w:color="auto"/>
            </w:tcBorders>
            <w:shd w:val="clear" w:color="auto" w:fill="auto"/>
            <w:noWrap/>
            <w:vAlign w:val="bottom"/>
            <w:hideMark/>
          </w:tcPr>
          <w:p w14:paraId="4688F29C" w14:textId="77777777" w:rsidR="00DA6948" w:rsidRPr="00DA6948" w:rsidRDefault="00DA6948" w:rsidP="00DA6948">
            <w:pPr>
              <w:jc w:val="right"/>
              <w:rPr>
                <w:rFonts w:cs="Calibri"/>
                <w:color w:val="000000"/>
                <w:sz w:val="20"/>
                <w:szCs w:val="20"/>
              </w:rPr>
            </w:pPr>
            <w:r w:rsidRPr="00DA6948">
              <w:rPr>
                <w:rFonts w:cs="Calibri"/>
                <w:color w:val="000000"/>
                <w:sz w:val="20"/>
                <w:szCs w:val="20"/>
              </w:rPr>
              <w:t>101.2</w:t>
            </w:r>
          </w:p>
        </w:tc>
      </w:tr>
      <w:tr w:rsidR="00DA6948" w:rsidRPr="00DA6948" w14:paraId="7234F472" w14:textId="77777777" w:rsidTr="00DA6948">
        <w:trPr>
          <w:trHeight w:val="30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602FBD1E"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22770736" w14:textId="556C7F97" w:rsidR="00DA6948" w:rsidRPr="00DA6948" w:rsidRDefault="00DA6948" w:rsidP="00DA6948">
            <w:pPr>
              <w:rPr>
                <w:rFonts w:cs="Calibri"/>
                <w:color w:val="000000"/>
                <w:sz w:val="20"/>
                <w:szCs w:val="20"/>
              </w:rPr>
            </w:pPr>
            <w:r w:rsidRPr="00DA6948">
              <w:rPr>
                <w:rFonts w:cs="Calibri"/>
                <w:color w:val="000000"/>
                <w:sz w:val="20"/>
                <w:szCs w:val="20"/>
              </w:rPr>
              <w:t>Humboldt</w:t>
            </w:r>
            <w:r w:rsidR="00DD77C7">
              <w:rPr>
                <w:rStyle w:val="FootnoteReference"/>
                <w:szCs w:val="32"/>
              </w:rPr>
              <w:footnoteReference w:id="14"/>
            </w:r>
          </w:p>
        </w:tc>
        <w:tc>
          <w:tcPr>
            <w:tcW w:w="906" w:type="dxa"/>
            <w:tcBorders>
              <w:top w:val="nil"/>
              <w:left w:val="nil"/>
              <w:bottom w:val="single" w:sz="4" w:space="0" w:color="auto"/>
              <w:right w:val="single" w:sz="4" w:space="0" w:color="auto"/>
            </w:tcBorders>
            <w:shd w:val="clear" w:color="auto" w:fill="auto"/>
            <w:noWrap/>
            <w:vAlign w:val="bottom"/>
            <w:hideMark/>
          </w:tcPr>
          <w:p w14:paraId="4B5C57E4" w14:textId="77777777" w:rsidR="00DA6948" w:rsidRPr="00DA6948" w:rsidRDefault="00DA6948" w:rsidP="00DA6948">
            <w:pPr>
              <w:jc w:val="right"/>
              <w:rPr>
                <w:rFonts w:cs="Calibri"/>
                <w:color w:val="000000"/>
                <w:sz w:val="20"/>
                <w:szCs w:val="20"/>
              </w:rPr>
            </w:pPr>
            <w:r w:rsidRPr="00DA6948">
              <w:rPr>
                <w:rFonts w:cs="Calibri"/>
                <w:color w:val="000000"/>
                <w:sz w:val="20"/>
                <w:szCs w:val="20"/>
              </w:rPr>
              <w:t>2</w:t>
            </w:r>
          </w:p>
        </w:tc>
        <w:tc>
          <w:tcPr>
            <w:tcW w:w="1067" w:type="dxa"/>
            <w:tcBorders>
              <w:top w:val="nil"/>
              <w:left w:val="nil"/>
              <w:bottom w:val="single" w:sz="4" w:space="0" w:color="auto"/>
              <w:right w:val="single" w:sz="4" w:space="0" w:color="auto"/>
            </w:tcBorders>
            <w:shd w:val="clear" w:color="auto" w:fill="auto"/>
            <w:noWrap/>
            <w:vAlign w:val="bottom"/>
            <w:hideMark/>
          </w:tcPr>
          <w:p w14:paraId="30A4A54A" w14:textId="77777777" w:rsidR="00DA6948" w:rsidRPr="00DA6948" w:rsidRDefault="00DA6948" w:rsidP="00DA6948">
            <w:pPr>
              <w:jc w:val="right"/>
              <w:rPr>
                <w:rFonts w:cs="Calibri"/>
                <w:color w:val="000000"/>
                <w:sz w:val="20"/>
                <w:szCs w:val="20"/>
              </w:rPr>
            </w:pPr>
            <w:r w:rsidRPr="00DA6948">
              <w:rPr>
                <w:rFonts w:cs="Calibri"/>
                <w:color w:val="000000"/>
                <w:sz w:val="20"/>
                <w:szCs w:val="20"/>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3765CB18" w14:textId="77777777" w:rsidR="00DA6948" w:rsidRPr="00DA6948" w:rsidRDefault="00DA6948" w:rsidP="00DA6948">
            <w:pPr>
              <w:jc w:val="right"/>
              <w:rPr>
                <w:rFonts w:cs="Calibri"/>
                <w:color w:val="000000"/>
                <w:sz w:val="20"/>
                <w:szCs w:val="20"/>
              </w:rPr>
            </w:pPr>
            <w:r w:rsidRPr="00DA6948">
              <w:rPr>
                <w:rFonts w:cs="Calibri"/>
                <w:color w:val="000000"/>
                <w:sz w:val="20"/>
                <w:szCs w:val="20"/>
              </w:rPr>
              <w:t>0.50</w:t>
            </w:r>
          </w:p>
        </w:tc>
        <w:tc>
          <w:tcPr>
            <w:tcW w:w="792" w:type="dxa"/>
            <w:tcBorders>
              <w:top w:val="nil"/>
              <w:left w:val="nil"/>
              <w:bottom w:val="single" w:sz="4" w:space="0" w:color="auto"/>
              <w:right w:val="single" w:sz="4" w:space="0" w:color="auto"/>
            </w:tcBorders>
            <w:shd w:val="clear" w:color="auto" w:fill="auto"/>
            <w:noWrap/>
            <w:vAlign w:val="bottom"/>
            <w:hideMark/>
          </w:tcPr>
          <w:p w14:paraId="572D2EEF" w14:textId="77777777" w:rsidR="00DA6948" w:rsidRPr="00DA6948" w:rsidRDefault="00DA6948" w:rsidP="00DA6948">
            <w:pPr>
              <w:jc w:val="right"/>
              <w:rPr>
                <w:rFonts w:cs="Calibri"/>
                <w:color w:val="000000"/>
                <w:sz w:val="20"/>
                <w:szCs w:val="20"/>
              </w:rPr>
            </w:pPr>
            <w:r w:rsidRPr="00DA6948">
              <w:rPr>
                <w:rFonts w:cs="Calibri"/>
                <w:color w:val="000000"/>
                <w:sz w:val="20"/>
                <w:szCs w:val="20"/>
              </w:rPr>
              <w:t>30.9%</w:t>
            </w:r>
          </w:p>
        </w:tc>
        <w:tc>
          <w:tcPr>
            <w:tcW w:w="1063" w:type="dxa"/>
            <w:tcBorders>
              <w:top w:val="nil"/>
              <w:left w:val="nil"/>
              <w:bottom w:val="single" w:sz="4" w:space="0" w:color="auto"/>
              <w:right w:val="single" w:sz="4" w:space="0" w:color="auto"/>
            </w:tcBorders>
            <w:shd w:val="clear" w:color="auto" w:fill="auto"/>
            <w:noWrap/>
            <w:vAlign w:val="bottom"/>
            <w:hideMark/>
          </w:tcPr>
          <w:p w14:paraId="7B6E7125" w14:textId="77777777" w:rsidR="00DA6948" w:rsidRPr="00DA6948" w:rsidRDefault="00DA6948" w:rsidP="00DA6948">
            <w:pPr>
              <w:jc w:val="right"/>
              <w:rPr>
                <w:rFonts w:cs="Calibri"/>
                <w:color w:val="000000"/>
                <w:sz w:val="20"/>
                <w:szCs w:val="20"/>
              </w:rPr>
            </w:pPr>
            <w:r w:rsidRPr="00DA6948">
              <w:rPr>
                <w:rFonts w:cs="Calibri"/>
                <w:color w:val="000000"/>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14:paraId="56F78EFA" w14:textId="77777777" w:rsidR="00DA6948" w:rsidRPr="00DA6948" w:rsidRDefault="00DA6948" w:rsidP="00DA6948">
            <w:pPr>
              <w:jc w:val="right"/>
              <w:rPr>
                <w:rFonts w:cs="Calibri"/>
                <w:color w:val="000000"/>
                <w:sz w:val="20"/>
                <w:szCs w:val="20"/>
              </w:rPr>
            </w:pPr>
            <w:r w:rsidRPr="00DA6948">
              <w:rPr>
                <w:rFonts w:cs="Calibri"/>
                <w:color w:val="000000"/>
                <w:sz w:val="20"/>
                <w:szCs w:val="20"/>
              </w:rPr>
              <w:t>92.2</w:t>
            </w:r>
          </w:p>
        </w:tc>
      </w:tr>
      <w:tr w:rsidR="00DA6948" w:rsidRPr="00DA6948" w14:paraId="3B195ED2" w14:textId="77777777" w:rsidTr="00DA6948">
        <w:trPr>
          <w:trHeight w:val="30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74929B44"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375B8899" w14:textId="77777777" w:rsidR="00DA6948" w:rsidRPr="00DA6948" w:rsidRDefault="00DA6948" w:rsidP="00DA6948">
            <w:pPr>
              <w:rPr>
                <w:rFonts w:cs="Calibri"/>
                <w:color w:val="000000"/>
                <w:sz w:val="20"/>
                <w:szCs w:val="20"/>
              </w:rPr>
            </w:pPr>
            <w:r w:rsidRPr="00DA6948">
              <w:rPr>
                <w:rFonts w:cs="Calibri"/>
                <w:color w:val="000000"/>
                <w:sz w:val="20"/>
                <w:szCs w:val="20"/>
              </w:rPr>
              <w:t>Kern</w:t>
            </w:r>
          </w:p>
        </w:tc>
        <w:tc>
          <w:tcPr>
            <w:tcW w:w="906" w:type="dxa"/>
            <w:tcBorders>
              <w:top w:val="nil"/>
              <w:left w:val="nil"/>
              <w:bottom w:val="single" w:sz="4" w:space="0" w:color="auto"/>
              <w:right w:val="single" w:sz="4" w:space="0" w:color="auto"/>
            </w:tcBorders>
            <w:shd w:val="clear" w:color="auto" w:fill="auto"/>
            <w:noWrap/>
            <w:vAlign w:val="bottom"/>
            <w:hideMark/>
          </w:tcPr>
          <w:p w14:paraId="4D942A07" w14:textId="77777777" w:rsidR="00DA6948" w:rsidRPr="00DA6948" w:rsidRDefault="00DA6948" w:rsidP="00DA6948">
            <w:pPr>
              <w:jc w:val="right"/>
              <w:rPr>
                <w:rFonts w:cs="Calibri"/>
                <w:color w:val="000000"/>
                <w:sz w:val="20"/>
                <w:szCs w:val="20"/>
              </w:rPr>
            </w:pPr>
            <w:r w:rsidRPr="00DA6948">
              <w:rPr>
                <w:rFonts w:cs="Calibri"/>
                <w:color w:val="000000"/>
                <w:sz w:val="20"/>
                <w:szCs w:val="20"/>
              </w:rPr>
              <w:t>5,565</w:t>
            </w:r>
          </w:p>
        </w:tc>
        <w:tc>
          <w:tcPr>
            <w:tcW w:w="1067" w:type="dxa"/>
            <w:tcBorders>
              <w:top w:val="nil"/>
              <w:left w:val="nil"/>
              <w:bottom w:val="single" w:sz="4" w:space="0" w:color="auto"/>
              <w:right w:val="single" w:sz="4" w:space="0" w:color="auto"/>
            </w:tcBorders>
            <w:shd w:val="clear" w:color="auto" w:fill="auto"/>
            <w:noWrap/>
            <w:vAlign w:val="bottom"/>
            <w:hideMark/>
          </w:tcPr>
          <w:p w14:paraId="481D1D38" w14:textId="77777777" w:rsidR="00DA6948" w:rsidRPr="00DA6948" w:rsidRDefault="00DA6948" w:rsidP="00DA6948">
            <w:pPr>
              <w:jc w:val="right"/>
              <w:rPr>
                <w:rFonts w:cs="Calibri"/>
                <w:color w:val="000000"/>
                <w:sz w:val="20"/>
                <w:szCs w:val="20"/>
              </w:rPr>
            </w:pPr>
            <w:r w:rsidRPr="00DA6948">
              <w:rPr>
                <w:rFonts w:cs="Calibri"/>
                <w:color w:val="000000"/>
                <w:sz w:val="20"/>
                <w:szCs w:val="20"/>
              </w:rPr>
              <w:t>2.77</w:t>
            </w:r>
          </w:p>
        </w:tc>
        <w:tc>
          <w:tcPr>
            <w:tcW w:w="1067" w:type="dxa"/>
            <w:tcBorders>
              <w:top w:val="nil"/>
              <w:left w:val="nil"/>
              <w:bottom w:val="single" w:sz="4" w:space="0" w:color="auto"/>
              <w:right w:val="single" w:sz="4" w:space="0" w:color="auto"/>
            </w:tcBorders>
            <w:shd w:val="clear" w:color="auto" w:fill="auto"/>
            <w:noWrap/>
            <w:vAlign w:val="bottom"/>
            <w:hideMark/>
          </w:tcPr>
          <w:p w14:paraId="1FF6BC8C" w14:textId="77777777" w:rsidR="00DA6948" w:rsidRPr="00DA6948" w:rsidRDefault="00DA6948" w:rsidP="00DA6948">
            <w:pPr>
              <w:jc w:val="right"/>
              <w:rPr>
                <w:rFonts w:cs="Calibri"/>
                <w:color w:val="000000"/>
                <w:sz w:val="20"/>
                <w:szCs w:val="20"/>
              </w:rPr>
            </w:pPr>
            <w:r w:rsidRPr="00DA6948">
              <w:rPr>
                <w:rFonts w:cs="Calibri"/>
                <w:color w:val="000000"/>
                <w:sz w:val="20"/>
                <w:szCs w:val="20"/>
              </w:rPr>
              <w:t>0.04</w:t>
            </w:r>
          </w:p>
        </w:tc>
        <w:tc>
          <w:tcPr>
            <w:tcW w:w="792" w:type="dxa"/>
            <w:tcBorders>
              <w:top w:val="nil"/>
              <w:left w:val="nil"/>
              <w:bottom w:val="single" w:sz="4" w:space="0" w:color="auto"/>
              <w:right w:val="single" w:sz="4" w:space="0" w:color="auto"/>
            </w:tcBorders>
            <w:shd w:val="clear" w:color="auto" w:fill="auto"/>
            <w:noWrap/>
            <w:vAlign w:val="bottom"/>
            <w:hideMark/>
          </w:tcPr>
          <w:p w14:paraId="57ABFA1C" w14:textId="77777777" w:rsidR="00DA6948" w:rsidRPr="00DA6948" w:rsidRDefault="00DA6948" w:rsidP="00DA6948">
            <w:pPr>
              <w:jc w:val="right"/>
              <w:rPr>
                <w:rFonts w:cs="Calibri"/>
                <w:color w:val="000000"/>
                <w:sz w:val="20"/>
                <w:szCs w:val="20"/>
              </w:rPr>
            </w:pPr>
            <w:r w:rsidRPr="00DA6948">
              <w:rPr>
                <w:rFonts w:cs="Calibri"/>
                <w:color w:val="000000"/>
                <w:sz w:val="20"/>
                <w:szCs w:val="20"/>
              </w:rPr>
              <w:t>1.3%</w:t>
            </w:r>
          </w:p>
        </w:tc>
        <w:tc>
          <w:tcPr>
            <w:tcW w:w="1063" w:type="dxa"/>
            <w:tcBorders>
              <w:top w:val="nil"/>
              <w:left w:val="nil"/>
              <w:bottom w:val="single" w:sz="4" w:space="0" w:color="auto"/>
              <w:right w:val="single" w:sz="4" w:space="0" w:color="auto"/>
            </w:tcBorders>
            <w:shd w:val="clear" w:color="auto" w:fill="auto"/>
            <w:noWrap/>
            <w:vAlign w:val="bottom"/>
            <w:hideMark/>
          </w:tcPr>
          <w:p w14:paraId="7BA6E74C" w14:textId="77777777" w:rsidR="00DA6948" w:rsidRPr="00DA6948" w:rsidRDefault="00DA6948" w:rsidP="00DA6948">
            <w:pPr>
              <w:jc w:val="right"/>
              <w:rPr>
                <w:rFonts w:cs="Calibri"/>
                <w:color w:val="000000"/>
                <w:sz w:val="20"/>
                <w:szCs w:val="20"/>
              </w:rPr>
            </w:pPr>
            <w:r w:rsidRPr="00DA6948">
              <w:rPr>
                <w:rFonts w:cs="Calibri"/>
                <w:color w:val="000000"/>
                <w:sz w:val="20"/>
                <w:szCs w:val="20"/>
              </w:rPr>
              <w:t>0.2</w:t>
            </w:r>
          </w:p>
        </w:tc>
        <w:tc>
          <w:tcPr>
            <w:tcW w:w="880" w:type="dxa"/>
            <w:tcBorders>
              <w:top w:val="nil"/>
              <w:left w:val="nil"/>
              <w:bottom w:val="single" w:sz="4" w:space="0" w:color="auto"/>
              <w:right w:val="single" w:sz="4" w:space="0" w:color="auto"/>
            </w:tcBorders>
            <w:shd w:val="clear" w:color="auto" w:fill="auto"/>
            <w:noWrap/>
            <w:vAlign w:val="bottom"/>
            <w:hideMark/>
          </w:tcPr>
          <w:p w14:paraId="4D045ABA" w14:textId="77777777" w:rsidR="00DA6948" w:rsidRPr="00DA6948" w:rsidRDefault="00DA6948" w:rsidP="00DA6948">
            <w:pPr>
              <w:jc w:val="right"/>
              <w:rPr>
                <w:rFonts w:cs="Calibri"/>
                <w:color w:val="000000"/>
                <w:sz w:val="20"/>
                <w:szCs w:val="20"/>
              </w:rPr>
            </w:pPr>
            <w:r w:rsidRPr="00DA6948">
              <w:rPr>
                <w:rFonts w:cs="Calibri"/>
                <w:color w:val="000000"/>
                <w:sz w:val="20"/>
                <w:szCs w:val="20"/>
              </w:rPr>
              <w:t>100.9</w:t>
            </w:r>
          </w:p>
        </w:tc>
      </w:tr>
      <w:tr w:rsidR="00DA6948" w:rsidRPr="00DA6948" w14:paraId="2652EF14" w14:textId="77777777" w:rsidTr="00DA6948">
        <w:trPr>
          <w:trHeight w:val="30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5757828B"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5337E9AF" w14:textId="77777777" w:rsidR="00DA6948" w:rsidRPr="00DA6948" w:rsidRDefault="00DA6948" w:rsidP="00DA6948">
            <w:pPr>
              <w:rPr>
                <w:rFonts w:cs="Calibri"/>
                <w:color w:val="000000"/>
                <w:sz w:val="20"/>
                <w:szCs w:val="20"/>
              </w:rPr>
            </w:pPr>
            <w:r w:rsidRPr="00DA6948">
              <w:rPr>
                <w:rFonts w:cs="Calibri"/>
                <w:color w:val="000000"/>
                <w:sz w:val="20"/>
                <w:szCs w:val="20"/>
              </w:rPr>
              <w:t>Northern Coast</w:t>
            </w:r>
          </w:p>
        </w:tc>
        <w:tc>
          <w:tcPr>
            <w:tcW w:w="906" w:type="dxa"/>
            <w:tcBorders>
              <w:top w:val="nil"/>
              <w:left w:val="nil"/>
              <w:bottom w:val="single" w:sz="4" w:space="0" w:color="auto"/>
              <w:right w:val="single" w:sz="4" w:space="0" w:color="auto"/>
            </w:tcBorders>
            <w:shd w:val="clear" w:color="auto" w:fill="auto"/>
            <w:noWrap/>
            <w:vAlign w:val="bottom"/>
            <w:hideMark/>
          </w:tcPr>
          <w:p w14:paraId="230CBA97" w14:textId="77777777" w:rsidR="00DA6948" w:rsidRPr="00DA6948" w:rsidRDefault="00DA6948" w:rsidP="00DA6948">
            <w:pPr>
              <w:jc w:val="right"/>
              <w:rPr>
                <w:rFonts w:cs="Calibri"/>
                <w:color w:val="000000"/>
                <w:sz w:val="20"/>
                <w:szCs w:val="20"/>
              </w:rPr>
            </w:pPr>
            <w:r w:rsidRPr="00DA6948">
              <w:rPr>
                <w:rFonts w:cs="Calibri"/>
                <w:color w:val="000000"/>
                <w:sz w:val="20"/>
                <w:szCs w:val="20"/>
              </w:rPr>
              <w:t>4,139</w:t>
            </w:r>
          </w:p>
        </w:tc>
        <w:tc>
          <w:tcPr>
            <w:tcW w:w="1067" w:type="dxa"/>
            <w:tcBorders>
              <w:top w:val="nil"/>
              <w:left w:val="nil"/>
              <w:bottom w:val="single" w:sz="4" w:space="0" w:color="auto"/>
              <w:right w:val="single" w:sz="4" w:space="0" w:color="auto"/>
            </w:tcBorders>
            <w:shd w:val="clear" w:color="auto" w:fill="auto"/>
            <w:noWrap/>
            <w:vAlign w:val="bottom"/>
            <w:hideMark/>
          </w:tcPr>
          <w:p w14:paraId="3A5EE86E" w14:textId="77777777" w:rsidR="00DA6948" w:rsidRPr="00DA6948" w:rsidRDefault="00DA6948" w:rsidP="00DA6948">
            <w:pPr>
              <w:jc w:val="right"/>
              <w:rPr>
                <w:rFonts w:cs="Calibri"/>
                <w:color w:val="000000"/>
                <w:sz w:val="20"/>
                <w:szCs w:val="20"/>
              </w:rPr>
            </w:pPr>
            <w:r w:rsidRPr="00DA6948">
              <w:rPr>
                <w:rFonts w:cs="Calibri"/>
                <w:color w:val="000000"/>
                <w:sz w:val="20"/>
                <w:szCs w:val="20"/>
              </w:rPr>
              <w:t>1.48</w:t>
            </w:r>
          </w:p>
        </w:tc>
        <w:tc>
          <w:tcPr>
            <w:tcW w:w="1067" w:type="dxa"/>
            <w:tcBorders>
              <w:top w:val="nil"/>
              <w:left w:val="nil"/>
              <w:bottom w:val="single" w:sz="4" w:space="0" w:color="auto"/>
              <w:right w:val="single" w:sz="4" w:space="0" w:color="auto"/>
            </w:tcBorders>
            <w:shd w:val="clear" w:color="auto" w:fill="auto"/>
            <w:noWrap/>
            <w:vAlign w:val="bottom"/>
            <w:hideMark/>
          </w:tcPr>
          <w:p w14:paraId="660798ED" w14:textId="77777777" w:rsidR="00DA6948" w:rsidRPr="00DA6948" w:rsidRDefault="00DA6948" w:rsidP="00DA6948">
            <w:pPr>
              <w:jc w:val="right"/>
              <w:rPr>
                <w:rFonts w:cs="Calibri"/>
                <w:color w:val="000000"/>
                <w:sz w:val="20"/>
                <w:szCs w:val="20"/>
              </w:rPr>
            </w:pPr>
            <w:r w:rsidRPr="00DA6948">
              <w:rPr>
                <w:rFonts w:cs="Calibri"/>
                <w:color w:val="000000"/>
                <w:sz w:val="20"/>
                <w:szCs w:val="20"/>
              </w:rPr>
              <w:t>0.40</w:t>
            </w:r>
          </w:p>
        </w:tc>
        <w:tc>
          <w:tcPr>
            <w:tcW w:w="792" w:type="dxa"/>
            <w:tcBorders>
              <w:top w:val="nil"/>
              <w:left w:val="nil"/>
              <w:bottom w:val="single" w:sz="4" w:space="0" w:color="auto"/>
              <w:right w:val="single" w:sz="4" w:space="0" w:color="auto"/>
            </w:tcBorders>
            <w:shd w:val="clear" w:color="auto" w:fill="auto"/>
            <w:noWrap/>
            <w:vAlign w:val="bottom"/>
            <w:hideMark/>
          </w:tcPr>
          <w:p w14:paraId="4C82BB8D" w14:textId="77777777" w:rsidR="00DA6948" w:rsidRPr="00DA6948" w:rsidRDefault="00DA6948" w:rsidP="00DA6948">
            <w:pPr>
              <w:jc w:val="right"/>
              <w:rPr>
                <w:rFonts w:cs="Calibri"/>
                <w:color w:val="000000"/>
                <w:sz w:val="20"/>
                <w:szCs w:val="20"/>
              </w:rPr>
            </w:pPr>
            <w:r w:rsidRPr="00DA6948">
              <w:rPr>
                <w:rFonts w:cs="Calibri"/>
                <w:color w:val="000000"/>
                <w:sz w:val="20"/>
                <w:szCs w:val="20"/>
              </w:rPr>
              <w:t>27.0%</w:t>
            </w:r>
          </w:p>
        </w:tc>
        <w:tc>
          <w:tcPr>
            <w:tcW w:w="1063" w:type="dxa"/>
            <w:tcBorders>
              <w:top w:val="nil"/>
              <w:left w:val="nil"/>
              <w:bottom w:val="single" w:sz="4" w:space="0" w:color="auto"/>
              <w:right w:val="single" w:sz="4" w:space="0" w:color="auto"/>
            </w:tcBorders>
            <w:shd w:val="clear" w:color="auto" w:fill="auto"/>
            <w:noWrap/>
            <w:vAlign w:val="bottom"/>
            <w:hideMark/>
          </w:tcPr>
          <w:p w14:paraId="4E61E8F0" w14:textId="77777777" w:rsidR="00DA6948" w:rsidRPr="00DA6948" w:rsidRDefault="00DA6948" w:rsidP="00DA6948">
            <w:pPr>
              <w:jc w:val="right"/>
              <w:rPr>
                <w:rFonts w:cs="Calibri"/>
                <w:color w:val="000000"/>
                <w:sz w:val="20"/>
                <w:szCs w:val="20"/>
              </w:rPr>
            </w:pPr>
            <w:r w:rsidRPr="00DA6948">
              <w:rPr>
                <w:rFonts w:cs="Calibri"/>
                <w:color w:val="000000"/>
                <w:sz w:val="20"/>
                <w:szCs w:val="20"/>
              </w:rPr>
              <w:t>1.7</w:t>
            </w:r>
          </w:p>
        </w:tc>
        <w:tc>
          <w:tcPr>
            <w:tcW w:w="880" w:type="dxa"/>
            <w:tcBorders>
              <w:top w:val="nil"/>
              <w:left w:val="nil"/>
              <w:bottom w:val="single" w:sz="4" w:space="0" w:color="auto"/>
              <w:right w:val="single" w:sz="4" w:space="0" w:color="auto"/>
            </w:tcBorders>
            <w:shd w:val="clear" w:color="auto" w:fill="auto"/>
            <w:noWrap/>
            <w:vAlign w:val="bottom"/>
            <w:hideMark/>
          </w:tcPr>
          <w:p w14:paraId="1D321B6D" w14:textId="77777777" w:rsidR="00DA6948" w:rsidRPr="00DA6948" w:rsidRDefault="00DA6948" w:rsidP="00DA6948">
            <w:pPr>
              <w:jc w:val="right"/>
              <w:rPr>
                <w:rFonts w:cs="Calibri"/>
                <w:color w:val="000000"/>
                <w:sz w:val="20"/>
                <w:szCs w:val="20"/>
              </w:rPr>
            </w:pPr>
            <w:r w:rsidRPr="00DA6948">
              <w:rPr>
                <w:rFonts w:cs="Calibri"/>
                <w:color w:val="000000"/>
                <w:sz w:val="20"/>
                <w:szCs w:val="20"/>
              </w:rPr>
              <w:t>86.1</w:t>
            </w:r>
          </w:p>
        </w:tc>
      </w:tr>
      <w:tr w:rsidR="00DA6948" w:rsidRPr="00DA6948" w14:paraId="278453E8" w14:textId="77777777" w:rsidTr="00DA6948">
        <w:trPr>
          <w:trHeight w:val="30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56AA9ADF"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6A043739" w14:textId="77777777" w:rsidR="00DA6948" w:rsidRPr="00DA6948" w:rsidRDefault="00DA6948" w:rsidP="00DA6948">
            <w:pPr>
              <w:rPr>
                <w:rFonts w:cs="Calibri"/>
                <w:color w:val="000000"/>
                <w:sz w:val="20"/>
                <w:szCs w:val="20"/>
              </w:rPr>
            </w:pPr>
            <w:r w:rsidRPr="00DA6948">
              <w:rPr>
                <w:rFonts w:cs="Calibri"/>
                <w:color w:val="000000"/>
                <w:sz w:val="20"/>
                <w:szCs w:val="20"/>
              </w:rPr>
              <w:t>Other</w:t>
            </w:r>
          </w:p>
        </w:tc>
        <w:tc>
          <w:tcPr>
            <w:tcW w:w="906" w:type="dxa"/>
            <w:tcBorders>
              <w:top w:val="nil"/>
              <w:left w:val="nil"/>
              <w:bottom w:val="single" w:sz="4" w:space="0" w:color="auto"/>
              <w:right w:val="single" w:sz="4" w:space="0" w:color="auto"/>
            </w:tcBorders>
            <w:shd w:val="clear" w:color="auto" w:fill="auto"/>
            <w:noWrap/>
            <w:vAlign w:val="bottom"/>
            <w:hideMark/>
          </w:tcPr>
          <w:p w14:paraId="3EC77A39" w14:textId="77777777" w:rsidR="00DA6948" w:rsidRPr="00DA6948" w:rsidRDefault="00DA6948" w:rsidP="00DA6948">
            <w:pPr>
              <w:jc w:val="right"/>
              <w:rPr>
                <w:rFonts w:cs="Calibri"/>
                <w:color w:val="000000"/>
                <w:sz w:val="20"/>
                <w:szCs w:val="20"/>
              </w:rPr>
            </w:pPr>
            <w:r w:rsidRPr="00DA6948">
              <w:rPr>
                <w:rFonts w:cs="Calibri"/>
                <w:color w:val="000000"/>
                <w:sz w:val="20"/>
                <w:szCs w:val="20"/>
              </w:rPr>
              <w:t>18,219</w:t>
            </w:r>
          </w:p>
        </w:tc>
        <w:tc>
          <w:tcPr>
            <w:tcW w:w="1067" w:type="dxa"/>
            <w:tcBorders>
              <w:top w:val="nil"/>
              <w:left w:val="nil"/>
              <w:bottom w:val="single" w:sz="4" w:space="0" w:color="auto"/>
              <w:right w:val="single" w:sz="4" w:space="0" w:color="auto"/>
            </w:tcBorders>
            <w:shd w:val="clear" w:color="auto" w:fill="auto"/>
            <w:noWrap/>
            <w:vAlign w:val="bottom"/>
            <w:hideMark/>
          </w:tcPr>
          <w:p w14:paraId="05A8A17F" w14:textId="77777777" w:rsidR="00DA6948" w:rsidRPr="00DA6948" w:rsidRDefault="00DA6948" w:rsidP="00DA6948">
            <w:pPr>
              <w:jc w:val="right"/>
              <w:rPr>
                <w:rFonts w:cs="Calibri"/>
                <w:color w:val="000000"/>
                <w:sz w:val="20"/>
                <w:szCs w:val="20"/>
              </w:rPr>
            </w:pPr>
            <w:r w:rsidRPr="00DA6948">
              <w:rPr>
                <w:rFonts w:cs="Calibri"/>
                <w:color w:val="000000"/>
                <w:sz w:val="20"/>
                <w:szCs w:val="20"/>
              </w:rPr>
              <w:t>2.19</w:t>
            </w:r>
          </w:p>
        </w:tc>
        <w:tc>
          <w:tcPr>
            <w:tcW w:w="1067" w:type="dxa"/>
            <w:tcBorders>
              <w:top w:val="nil"/>
              <w:left w:val="nil"/>
              <w:bottom w:val="single" w:sz="4" w:space="0" w:color="auto"/>
              <w:right w:val="single" w:sz="4" w:space="0" w:color="auto"/>
            </w:tcBorders>
            <w:shd w:val="clear" w:color="auto" w:fill="auto"/>
            <w:noWrap/>
            <w:vAlign w:val="bottom"/>
            <w:hideMark/>
          </w:tcPr>
          <w:p w14:paraId="31482EDF" w14:textId="77777777" w:rsidR="00DA6948" w:rsidRPr="00DA6948" w:rsidRDefault="00DA6948" w:rsidP="00DA6948">
            <w:pPr>
              <w:jc w:val="right"/>
              <w:rPr>
                <w:rFonts w:cs="Calibri"/>
                <w:color w:val="000000"/>
                <w:sz w:val="20"/>
                <w:szCs w:val="20"/>
              </w:rPr>
            </w:pPr>
            <w:r w:rsidRPr="00DA6948">
              <w:rPr>
                <w:rFonts w:cs="Calibri"/>
                <w:color w:val="000000"/>
                <w:sz w:val="20"/>
                <w:szCs w:val="20"/>
              </w:rPr>
              <w:t>0.54</w:t>
            </w:r>
          </w:p>
        </w:tc>
        <w:tc>
          <w:tcPr>
            <w:tcW w:w="792" w:type="dxa"/>
            <w:tcBorders>
              <w:top w:val="nil"/>
              <w:left w:val="nil"/>
              <w:bottom w:val="single" w:sz="4" w:space="0" w:color="auto"/>
              <w:right w:val="single" w:sz="4" w:space="0" w:color="auto"/>
            </w:tcBorders>
            <w:shd w:val="clear" w:color="auto" w:fill="auto"/>
            <w:noWrap/>
            <w:vAlign w:val="bottom"/>
            <w:hideMark/>
          </w:tcPr>
          <w:p w14:paraId="393B0185" w14:textId="77777777" w:rsidR="00DA6948" w:rsidRPr="00DA6948" w:rsidRDefault="00DA6948" w:rsidP="00DA6948">
            <w:pPr>
              <w:jc w:val="right"/>
              <w:rPr>
                <w:rFonts w:cs="Calibri"/>
                <w:color w:val="000000"/>
                <w:sz w:val="20"/>
                <w:szCs w:val="20"/>
              </w:rPr>
            </w:pPr>
            <w:r w:rsidRPr="00DA6948">
              <w:rPr>
                <w:rFonts w:cs="Calibri"/>
                <w:color w:val="000000"/>
                <w:sz w:val="20"/>
                <w:szCs w:val="20"/>
              </w:rPr>
              <w:t>24.8%</w:t>
            </w:r>
          </w:p>
        </w:tc>
        <w:tc>
          <w:tcPr>
            <w:tcW w:w="1063" w:type="dxa"/>
            <w:tcBorders>
              <w:top w:val="nil"/>
              <w:left w:val="nil"/>
              <w:bottom w:val="single" w:sz="4" w:space="0" w:color="auto"/>
              <w:right w:val="single" w:sz="4" w:space="0" w:color="auto"/>
            </w:tcBorders>
            <w:shd w:val="clear" w:color="auto" w:fill="auto"/>
            <w:noWrap/>
            <w:vAlign w:val="bottom"/>
            <w:hideMark/>
          </w:tcPr>
          <w:p w14:paraId="27B6235C" w14:textId="77777777" w:rsidR="00DA6948" w:rsidRPr="00DA6948" w:rsidRDefault="00DA6948" w:rsidP="00DA6948">
            <w:pPr>
              <w:jc w:val="right"/>
              <w:rPr>
                <w:rFonts w:cs="Calibri"/>
                <w:color w:val="000000"/>
                <w:sz w:val="20"/>
                <w:szCs w:val="20"/>
              </w:rPr>
            </w:pPr>
            <w:r w:rsidRPr="00DA6948">
              <w:rPr>
                <w:rFonts w:cs="Calibri"/>
                <w:color w:val="000000"/>
                <w:sz w:val="20"/>
                <w:szCs w:val="20"/>
              </w:rPr>
              <w:t>9.9</w:t>
            </w:r>
          </w:p>
        </w:tc>
        <w:tc>
          <w:tcPr>
            <w:tcW w:w="880" w:type="dxa"/>
            <w:tcBorders>
              <w:top w:val="nil"/>
              <w:left w:val="nil"/>
              <w:bottom w:val="single" w:sz="4" w:space="0" w:color="auto"/>
              <w:right w:val="single" w:sz="4" w:space="0" w:color="auto"/>
            </w:tcBorders>
            <w:shd w:val="clear" w:color="auto" w:fill="auto"/>
            <w:noWrap/>
            <w:vAlign w:val="bottom"/>
            <w:hideMark/>
          </w:tcPr>
          <w:p w14:paraId="1177444F" w14:textId="77777777" w:rsidR="00DA6948" w:rsidRPr="00DA6948" w:rsidRDefault="00DA6948" w:rsidP="00DA6948">
            <w:pPr>
              <w:jc w:val="right"/>
              <w:rPr>
                <w:rFonts w:cs="Calibri"/>
                <w:color w:val="000000"/>
                <w:sz w:val="20"/>
                <w:szCs w:val="20"/>
              </w:rPr>
            </w:pPr>
            <w:r w:rsidRPr="00DA6948">
              <w:rPr>
                <w:rFonts w:cs="Calibri"/>
                <w:color w:val="000000"/>
                <w:sz w:val="20"/>
                <w:szCs w:val="20"/>
              </w:rPr>
              <w:t>96.9</w:t>
            </w:r>
          </w:p>
        </w:tc>
      </w:tr>
      <w:tr w:rsidR="00DA6948" w:rsidRPr="00DA6948" w14:paraId="70480A84" w14:textId="77777777" w:rsidTr="00DA6948">
        <w:trPr>
          <w:trHeight w:val="30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1A93B085"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2EE78B80" w14:textId="77777777" w:rsidR="00DA6948" w:rsidRPr="00DA6948" w:rsidRDefault="00DA6948" w:rsidP="00DA6948">
            <w:pPr>
              <w:rPr>
                <w:rFonts w:cs="Calibri"/>
                <w:color w:val="000000"/>
                <w:sz w:val="20"/>
                <w:szCs w:val="20"/>
              </w:rPr>
            </w:pPr>
            <w:r w:rsidRPr="00DA6948">
              <w:rPr>
                <w:rFonts w:cs="Calibri"/>
                <w:color w:val="000000"/>
                <w:sz w:val="20"/>
                <w:szCs w:val="20"/>
              </w:rPr>
              <w:t>Sierra</w:t>
            </w:r>
          </w:p>
        </w:tc>
        <w:tc>
          <w:tcPr>
            <w:tcW w:w="906" w:type="dxa"/>
            <w:tcBorders>
              <w:top w:val="nil"/>
              <w:left w:val="nil"/>
              <w:bottom w:val="single" w:sz="4" w:space="0" w:color="auto"/>
              <w:right w:val="single" w:sz="4" w:space="0" w:color="auto"/>
            </w:tcBorders>
            <w:shd w:val="clear" w:color="auto" w:fill="auto"/>
            <w:noWrap/>
            <w:vAlign w:val="bottom"/>
            <w:hideMark/>
          </w:tcPr>
          <w:p w14:paraId="03DF7549" w14:textId="77777777" w:rsidR="00DA6948" w:rsidRPr="00DA6948" w:rsidRDefault="00DA6948" w:rsidP="00DA6948">
            <w:pPr>
              <w:jc w:val="right"/>
              <w:rPr>
                <w:rFonts w:cs="Calibri"/>
                <w:color w:val="000000"/>
                <w:sz w:val="20"/>
                <w:szCs w:val="20"/>
              </w:rPr>
            </w:pPr>
            <w:r w:rsidRPr="00DA6948">
              <w:rPr>
                <w:rFonts w:cs="Calibri"/>
                <w:color w:val="000000"/>
                <w:sz w:val="20"/>
                <w:szCs w:val="20"/>
              </w:rPr>
              <w:t>16,752</w:t>
            </w:r>
          </w:p>
        </w:tc>
        <w:tc>
          <w:tcPr>
            <w:tcW w:w="1067" w:type="dxa"/>
            <w:tcBorders>
              <w:top w:val="nil"/>
              <w:left w:val="nil"/>
              <w:bottom w:val="single" w:sz="4" w:space="0" w:color="auto"/>
              <w:right w:val="single" w:sz="4" w:space="0" w:color="auto"/>
            </w:tcBorders>
            <w:shd w:val="clear" w:color="auto" w:fill="auto"/>
            <w:noWrap/>
            <w:vAlign w:val="bottom"/>
            <w:hideMark/>
          </w:tcPr>
          <w:p w14:paraId="2EA32572" w14:textId="77777777" w:rsidR="00DA6948" w:rsidRPr="00DA6948" w:rsidRDefault="00DA6948" w:rsidP="00DA6948">
            <w:pPr>
              <w:jc w:val="right"/>
              <w:rPr>
                <w:rFonts w:cs="Calibri"/>
                <w:color w:val="000000"/>
                <w:sz w:val="20"/>
                <w:szCs w:val="20"/>
              </w:rPr>
            </w:pPr>
            <w:r w:rsidRPr="00DA6948">
              <w:rPr>
                <w:rFonts w:cs="Calibri"/>
                <w:color w:val="000000"/>
                <w:sz w:val="20"/>
                <w:szCs w:val="20"/>
              </w:rPr>
              <w:t>2.20</w:t>
            </w:r>
          </w:p>
        </w:tc>
        <w:tc>
          <w:tcPr>
            <w:tcW w:w="1067" w:type="dxa"/>
            <w:tcBorders>
              <w:top w:val="nil"/>
              <w:left w:val="nil"/>
              <w:bottom w:val="single" w:sz="4" w:space="0" w:color="auto"/>
              <w:right w:val="single" w:sz="4" w:space="0" w:color="auto"/>
            </w:tcBorders>
            <w:shd w:val="clear" w:color="auto" w:fill="auto"/>
            <w:noWrap/>
            <w:vAlign w:val="bottom"/>
            <w:hideMark/>
          </w:tcPr>
          <w:p w14:paraId="43E05B88" w14:textId="77777777" w:rsidR="00DA6948" w:rsidRPr="00DA6948" w:rsidRDefault="00DA6948" w:rsidP="00DA6948">
            <w:pPr>
              <w:jc w:val="right"/>
              <w:rPr>
                <w:rFonts w:cs="Calibri"/>
                <w:color w:val="000000"/>
                <w:sz w:val="20"/>
                <w:szCs w:val="20"/>
              </w:rPr>
            </w:pPr>
            <w:r w:rsidRPr="00DA6948">
              <w:rPr>
                <w:rFonts w:cs="Calibri"/>
                <w:color w:val="000000"/>
                <w:sz w:val="20"/>
                <w:szCs w:val="20"/>
              </w:rPr>
              <w:t>0.51</w:t>
            </w:r>
          </w:p>
        </w:tc>
        <w:tc>
          <w:tcPr>
            <w:tcW w:w="792" w:type="dxa"/>
            <w:tcBorders>
              <w:top w:val="nil"/>
              <w:left w:val="nil"/>
              <w:bottom w:val="single" w:sz="4" w:space="0" w:color="auto"/>
              <w:right w:val="single" w:sz="4" w:space="0" w:color="auto"/>
            </w:tcBorders>
            <w:shd w:val="clear" w:color="auto" w:fill="auto"/>
            <w:noWrap/>
            <w:vAlign w:val="bottom"/>
            <w:hideMark/>
          </w:tcPr>
          <w:p w14:paraId="11245770" w14:textId="77777777" w:rsidR="00DA6948" w:rsidRPr="00DA6948" w:rsidRDefault="00DA6948" w:rsidP="00DA6948">
            <w:pPr>
              <w:jc w:val="right"/>
              <w:rPr>
                <w:rFonts w:cs="Calibri"/>
                <w:color w:val="000000"/>
                <w:sz w:val="20"/>
                <w:szCs w:val="20"/>
              </w:rPr>
            </w:pPr>
            <w:r w:rsidRPr="00DA6948">
              <w:rPr>
                <w:rFonts w:cs="Calibri"/>
                <w:color w:val="000000"/>
                <w:sz w:val="20"/>
                <w:szCs w:val="20"/>
              </w:rPr>
              <w:t>23.3%</w:t>
            </w:r>
          </w:p>
        </w:tc>
        <w:tc>
          <w:tcPr>
            <w:tcW w:w="1063" w:type="dxa"/>
            <w:tcBorders>
              <w:top w:val="nil"/>
              <w:left w:val="nil"/>
              <w:bottom w:val="single" w:sz="4" w:space="0" w:color="auto"/>
              <w:right w:val="single" w:sz="4" w:space="0" w:color="auto"/>
            </w:tcBorders>
            <w:shd w:val="clear" w:color="auto" w:fill="auto"/>
            <w:noWrap/>
            <w:vAlign w:val="bottom"/>
            <w:hideMark/>
          </w:tcPr>
          <w:p w14:paraId="3A3B0DCC" w14:textId="77777777" w:rsidR="00DA6948" w:rsidRPr="00DA6948" w:rsidRDefault="00DA6948" w:rsidP="00DA6948">
            <w:pPr>
              <w:jc w:val="right"/>
              <w:rPr>
                <w:rFonts w:cs="Calibri"/>
                <w:color w:val="000000"/>
                <w:sz w:val="20"/>
                <w:szCs w:val="20"/>
              </w:rPr>
            </w:pPr>
            <w:r w:rsidRPr="00DA6948">
              <w:rPr>
                <w:rFonts w:cs="Calibri"/>
                <w:color w:val="000000"/>
                <w:sz w:val="20"/>
                <w:szCs w:val="20"/>
              </w:rPr>
              <w:t>8.6</w:t>
            </w:r>
          </w:p>
        </w:tc>
        <w:tc>
          <w:tcPr>
            <w:tcW w:w="880" w:type="dxa"/>
            <w:tcBorders>
              <w:top w:val="nil"/>
              <w:left w:val="nil"/>
              <w:bottom w:val="single" w:sz="4" w:space="0" w:color="auto"/>
              <w:right w:val="single" w:sz="4" w:space="0" w:color="auto"/>
            </w:tcBorders>
            <w:shd w:val="clear" w:color="auto" w:fill="auto"/>
            <w:noWrap/>
            <w:vAlign w:val="bottom"/>
            <w:hideMark/>
          </w:tcPr>
          <w:p w14:paraId="068D2819" w14:textId="77777777" w:rsidR="00DA6948" w:rsidRPr="00DA6948" w:rsidRDefault="00DA6948" w:rsidP="00DA6948">
            <w:pPr>
              <w:jc w:val="right"/>
              <w:rPr>
                <w:rFonts w:cs="Calibri"/>
                <w:color w:val="000000"/>
                <w:sz w:val="20"/>
                <w:szCs w:val="20"/>
              </w:rPr>
            </w:pPr>
            <w:r w:rsidRPr="00DA6948">
              <w:rPr>
                <w:rFonts w:cs="Calibri"/>
                <w:color w:val="000000"/>
                <w:sz w:val="20"/>
                <w:szCs w:val="20"/>
              </w:rPr>
              <w:t>95.0</w:t>
            </w:r>
          </w:p>
        </w:tc>
      </w:tr>
      <w:tr w:rsidR="00DA6948" w:rsidRPr="00DA6948" w14:paraId="655E62AF" w14:textId="77777777" w:rsidTr="00DA6948">
        <w:trPr>
          <w:trHeight w:val="30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16C85614"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1E9AF4F1" w14:textId="77777777" w:rsidR="00DA6948" w:rsidRPr="00DA6948" w:rsidRDefault="00DA6948" w:rsidP="00DA6948">
            <w:pPr>
              <w:rPr>
                <w:rFonts w:cs="Calibri"/>
                <w:color w:val="000000"/>
                <w:sz w:val="20"/>
                <w:szCs w:val="20"/>
              </w:rPr>
            </w:pPr>
            <w:r w:rsidRPr="00DA6948">
              <w:rPr>
                <w:rFonts w:cs="Calibri"/>
                <w:color w:val="000000"/>
                <w:sz w:val="20"/>
                <w:szCs w:val="20"/>
              </w:rPr>
              <w:t>Stockton</w:t>
            </w:r>
          </w:p>
        </w:tc>
        <w:tc>
          <w:tcPr>
            <w:tcW w:w="906" w:type="dxa"/>
            <w:tcBorders>
              <w:top w:val="nil"/>
              <w:left w:val="nil"/>
              <w:bottom w:val="single" w:sz="4" w:space="0" w:color="auto"/>
              <w:right w:val="single" w:sz="4" w:space="0" w:color="auto"/>
            </w:tcBorders>
            <w:shd w:val="clear" w:color="auto" w:fill="auto"/>
            <w:noWrap/>
            <w:vAlign w:val="bottom"/>
            <w:hideMark/>
          </w:tcPr>
          <w:p w14:paraId="39B37374" w14:textId="77777777" w:rsidR="00DA6948" w:rsidRPr="00DA6948" w:rsidRDefault="00DA6948" w:rsidP="00DA6948">
            <w:pPr>
              <w:jc w:val="right"/>
              <w:rPr>
                <w:rFonts w:cs="Calibri"/>
                <w:color w:val="000000"/>
                <w:sz w:val="20"/>
                <w:szCs w:val="20"/>
              </w:rPr>
            </w:pPr>
            <w:r w:rsidRPr="00DA6948">
              <w:rPr>
                <w:rFonts w:cs="Calibri"/>
                <w:color w:val="000000"/>
                <w:sz w:val="20"/>
                <w:szCs w:val="20"/>
              </w:rPr>
              <w:t>8,150</w:t>
            </w:r>
          </w:p>
        </w:tc>
        <w:tc>
          <w:tcPr>
            <w:tcW w:w="1067" w:type="dxa"/>
            <w:tcBorders>
              <w:top w:val="nil"/>
              <w:left w:val="nil"/>
              <w:bottom w:val="single" w:sz="4" w:space="0" w:color="auto"/>
              <w:right w:val="single" w:sz="4" w:space="0" w:color="auto"/>
            </w:tcBorders>
            <w:shd w:val="clear" w:color="auto" w:fill="auto"/>
            <w:noWrap/>
            <w:vAlign w:val="bottom"/>
            <w:hideMark/>
          </w:tcPr>
          <w:p w14:paraId="346101EF" w14:textId="77777777" w:rsidR="00DA6948" w:rsidRPr="00DA6948" w:rsidRDefault="00DA6948" w:rsidP="00DA6948">
            <w:pPr>
              <w:jc w:val="right"/>
              <w:rPr>
                <w:rFonts w:cs="Calibri"/>
                <w:color w:val="000000"/>
                <w:sz w:val="20"/>
                <w:szCs w:val="20"/>
              </w:rPr>
            </w:pPr>
            <w:r w:rsidRPr="00DA6948">
              <w:rPr>
                <w:rFonts w:cs="Calibri"/>
                <w:color w:val="000000"/>
                <w:sz w:val="20"/>
                <w:szCs w:val="20"/>
              </w:rPr>
              <w:t>2.51</w:t>
            </w:r>
          </w:p>
        </w:tc>
        <w:tc>
          <w:tcPr>
            <w:tcW w:w="1067" w:type="dxa"/>
            <w:tcBorders>
              <w:top w:val="nil"/>
              <w:left w:val="nil"/>
              <w:bottom w:val="single" w:sz="4" w:space="0" w:color="auto"/>
              <w:right w:val="single" w:sz="4" w:space="0" w:color="auto"/>
            </w:tcBorders>
            <w:shd w:val="clear" w:color="auto" w:fill="auto"/>
            <w:noWrap/>
            <w:vAlign w:val="bottom"/>
            <w:hideMark/>
          </w:tcPr>
          <w:p w14:paraId="0893EAAB" w14:textId="77777777" w:rsidR="00DA6948" w:rsidRPr="00DA6948" w:rsidRDefault="00DA6948" w:rsidP="00DA6948">
            <w:pPr>
              <w:jc w:val="right"/>
              <w:rPr>
                <w:rFonts w:cs="Calibri"/>
                <w:color w:val="000000"/>
                <w:sz w:val="20"/>
                <w:szCs w:val="20"/>
              </w:rPr>
            </w:pPr>
            <w:r w:rsidRPr="00DA6948">
              <w:rPr>
                <w:rFonts w:cs="Calibri"/>
                <w:color w:val="000000"/>
                <w:sz w:val="20"/>
                <w:szCs w:val="20"/>
              </w:rPr>
              <w:t>0.55</w:t>
            </w:r>
          </w:p>
        </w:tc>
        <w:tc>
          <w:tcPr>
            <w:tcW w:w="792" w:type="dxa"/>
            <w:tcBorders>
              <w:top w:val="nil"/>
              <w:left w:val="nil"/>
              <w:bottom w:val="single" w:sz="4" w:space="0" w:color="auto"/>
              <w:right w:val="single" w:sz="4" w:space="0" w:color="auto"/>
            </w:tcBorders>
            <w:shd w:val="clear" w:color="auto" w:fill="auto"/>
            <w:noWrap/>
            <w:vAlign w:val="bottom"/>
            <w:hideMark/>
          </w:tcPr>
          <w:p w14:paraId="2D9E687B" w14:textId="77777777" w:rsidR="00DA6948" w:rsidRPr="00DA6948" w:rsidRDefault="00DA6948" w:rsidP="00DA6948">
            <w:pPr>
              <w:jc w:val="right"/>
              <w:rPr>
                <w:rFonts w:cs="Calibri"/>
                <w:color w:val="000000"/>
                <w:sz w:val="20"/>
                <w:szCs w:val="20"/>
              </w:rPr>
            </w:pPr>
            <w:r w:rsidRPr="00DA6948">
              <w:rPr>
                <w:rFonts w:cs="Calibri"/>
                <w:color w:val="000000"/>
                <w:sz w:val="20"/>
                <w:szCs w:val="20"/>
              </w:rPr>
              <w:t>21.9%</w:t>
            </w:r>
          </w:p>
        </w:tc>
        <w:tc>
          <w:tcPr>
            <w:tcW w:w="1063" w:type="dxa"/>
            <w:tcBorders>
              <w:top w:val="nil"/>
              <w:left w:val="nil"/>
              <w:bottom w:val="single" w:sz="4" w:space="0" w:color="auto"/>
              <w:right w:val="single" w:sz="4" w:space="0" w:color="auto"/>
            </w:tcBorders>
            <w:shd w:val="clear" w:color="auto" w:fill="auto"/>
            <w:noWrap/>
            <w:vAlign w:val="bottom"/>
            <w:hideMark/>
          </w:tcPr>
          <w:p w14:paraId="311AFFAA" w14:textId="77777777" w:rsidR="00DA6948" w:rsidRPr="00DA6948" w:rsidRDefault="00DA6948" w:rsidP="00DA6948">
            <w:pPr>
              <w:jc w:val="right"/>
              <w:rPr>
                <w:rFonts w:cs="Calibri"/>
                <w:color w:val="000000"/>
                <w:sz w:val="20"/>
                <w:szCs w:val="20"/>
              </w:rPr>
            </w:pPr>
            <w:r w:rsidRPr="00DA6948">
              <w:rPr>
                <w:rFonts w:cs="Calibri"/>
                <w:color w:val="000000"/>
                <w:sz w:val="20"/>
                <w:szCs w:val="20"/>
              </w:rPr>
              <w:t>4.5</w:t>
            </w:r>
          </w:p>
        </w:tc>
        <w:tc>
          <w:tcPr>
            <w:tcW w:w="880" w:type="dxa"/>
            <w:tcBorders>
              <w:top w:val="nil"/>
              <w:left w:val="nil"/>
              <w:bottom w:val="single" w:sz="4" w:space="0" w:color="auto"/>
              <w:right w:val="single" w:sz="4" w:space="0" w:color="auto"/>
            </w:tcBorders>
            <w:shd w:val="clear" w:color="auto" w:fill="auto"/>
            <w:noWrap/>
            <w:vAlign w:val="bottom"/>
            <w:hideMark/>
          </w:tcPr>
          <w:p w14:paraId="73CEF372" w14:textId="77777777" w:rsidR="00DA6948" w:rsidRPr="00DA6948" w:rsidRDefault="00DA6948" w:rsidP="00DA6948">
            <w:pPr>
              <w:jc w:val="right"/>
              <w:rPr>
                <w:rFonts w:cs="Calibri"/>
                <w:color w:val="000000"/>
                <w:sz w:val="20"/>
                <w:szCs w:val="20"/>
              </w:rPr>
            </w:pPr>
            <w:r w:rsidRPr="00DA6948">
              <w:rPr>
                <w:rFonts w:cs="Calibri"/>
                <w:color w:val="000000"/>
                <w:sz w:val="20"/>
                <w:szCs w:val="20"/>
              </w:rPr>
              <w:t>96.4</w:t>
            </w:r>
          </w:p>
        </w:tc>
      </w:tr>
      <w:tr w:rsidR="00DA6948" w:rsidRPr="00DA6948" w14:paraId="222E90A5" w14:textId="77777777" w:rsidTr="00DA6948">
        <w:trPr>
          <w:trHeight w:val="300"/>
          <w:jc w:val="center"/>
        </w:trPr>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FCC098" w14:textId="77777777" w:rsidR="00DA6948" w:rsidRPr="00DA6948" w:rsidRDefault="00DA6948" w:rsidP="00DA6948">
            <w:pPr>
              <w:jc w:val="center"/>
              <w:rPr>
                <w:rFonts w:cs="Calibri"/>
                <w:color w:val="000000"/>
                <w:sz w:val="20"/>
                <w:szCs w:val="20"/>
              </w:rPr>
            </w:pPr>
            <w:r w:rsidRPr="00DA6948">
              <w:rPr>
                <w:rFonts w:cs="Calibri"/>
                <w:color w:val="000000"/>
                <w:sz w:val="20"/>
                <w:szCs w:val="20"/>
              </w:rPr>
              <w:t>Dually Enrolled</w:t>
            </w:r>
          </w:p>
        </w:tc>
        <w:tc>
          <w:tcPr>
            <w:tcW w:w="1620" w:type="dxa"/>
            <w:tcBorders>
              <w:top w:val="nil"/>
              <w:left w:val="nil"/>
              <w:bottom w:val="single" w:sz="4" w:space="0" w:color="auto"/>
              <w:right w:val="single" w:sz="4" w:space="0" w:color="auto"/>
            </w:tcBorders>
            <w:shd w:val="clear" w:color="auto" w:fill="auto"/>
            <w:noWrap/>
            <w:vAlign w:val="bottom"/>
            <w:hideMark/>
          </w:tcPr>
          <w:p w14:paraId="2B756C13" w14:textId="77777777" w:rsidR="00DA6948" w:rsidRPr="00DA6948" w:rsidRDefault="00DA6948" w:rsidP="00DA6948">
            <w:pPr>
              <w:rPr>
                <w:rFonts w:cs="Calibri"/>
                <w:color w:val="000000"/>
                <w:sz w:val="20"/>
                <w:szCs w:val="20"/>
              </w:rPr>
            </w:pPr>
            <w:r w:rsidRPr="00DA6948">
              <w:rPr>
                <w:rFonts w:cs="Calibri"/>
                <w:color w:val="000000"/>
                <w:sz w:val="20"/>
                <w:szCs w:val="20"/>
              </w:rPr>
              <w:t>Greater Bay Area</w:t>
            </w:r>
          </w:p>
        </w:tc>
        <w:tc>
          <w:tcPr>
            <w:tcW w:w="906" w:type="dxa"/>
            <w:tcBorders>
              <w:top w:val="nil"/>
              <w:left w:val="nil"/>
              <w:bottom w:val="single" w:sz="4" w:space="0" w:color="auto"/>
              <w:right w:val="single" w:sz="4" w:space="0" w:color="auto"/>
            </w:tcBorders>
            <w:shd w:val="clear" w:color="auto" w:fill="auto"/>
            <w:noWrap/>
            <w:vAlign w:val="bottom"/>
            <w:hideMark/>
          </w:tcPr>
          <w:p w14:paraId="52BFDB42" w14:textId="77777777" w:rsidR="00DA6948" w:rsidRPr="00DA6948" w:rsidRDefault="00DA6948" w:rsidP="00DA6948">
            <w:pPr>
              <w:jc w:val="right"/>
              <w:rPr>
                <w:rFonts w:cs="Calibri"/>
                <w:color w:val="000000"/>
                <w:sz w:val="20"/>
                <w:szCs w:val="20"/>
              </w:rPr>
            </w:pPr>
            <w:r w:rsidRPr="00DA6948">
              <w:rPr>
                <w:rFonts w:cs="Calibri"/>
                <w:color w:val="000000"/>
                <w:sz w:val="20"/>
                <w:szCs w:val="20"/>
              </w:rPr>
              <w:t>2,306</w:t>
            </w:r>
          </w:p>
        </w:tc>
        <w:tc>
          <w:tcPr>
            <w:tcW w:w="1067" w:type="dxa"/>
            <w:tcBorders>
              <w:top w:val="nil"/>
              <w:left w:val="nil"/>
              <w:bottom w:val="single" w:sz="4" w:space="0" w:color="auto"/>
              <w:right w:val="single" w:sz="4" w:space="0" w:color="auto"/>
            </w:tcBorders>
            <w:shd w:val="clear" w:color="auto" w:fill="auto"/>
            <w:noWrap/>
            <w:vAlign w:val="bottom"/>
            <w:hideMark/>
          </w:tcPr>
          <w:p w14:paraId="254B6252" w14:textId="77777777" w:rsidR="00DA6948" w:rsidRPr="00DA6948" w:rsidRDefault="00DA6948" w:rsidP="00DA6948">
            <w:pPr>
              <w:jc w:val="right"/>
              <w:rPr>
                <w:rFonts w:cs="Calibri"/>
                <w:color w:val="000000"/>
                <w:sz w:val="20"/>
                <w:szCs w:val="20"/>
              </w:rPr>
            </w:pPr>
            <w:r w:rsidRPr="00DA6948">
              <w:rPr>
                <w:rFonts w:cs="Calibri"/>
                <w:color w:val="000000"/>
                <w:sz w:val="20"/>
                <w:szCs w:val="20"/>
              </w:rPr>
              <w:t>1.27</w:t>
            </w:r>
          </w:p>
        </w:tc>
        <w:tc>
          <w:tcPr>
            <w:tcW w:w="1067" w:type="dxa"/>
            <w:tcBorders>
              <w:top w:val="nil"/>
              <w:left w:val="nil"/>
              <w:bottom w:val="single" w:sz="4" w:space="0" w:color="auto"/>
              <w:right w:val="single" w:sz="4" w:space="0" w:color="auto"/>
            </w:tcBorders>
            <w:shd w:val="clear" w:color="auto" w:fill="auto"/>
            <w:noWrap/>
            <w:vAlign w:val="bottom"/>
            <w:hideMark/>
          </w:tcPr>
          <w:p w14:paraId="5807BA7B" w14:textId="77777777" w:rsidR="00DA6948" w:rsidRPr="00DA6948" w:rsidRDefault="00DA6948" w:rsidP="00DA6948">
            <w:pPr>
              <w:jc w:val="right"/>
              <w:rPr>
                <w:rFonts w:cs="Calibri"/>
                <w:color w:val="000000"/>
                <w:sz w:val="20"/>
                <w:szCs w:val="20"/>
              </w:rPr>
            </w:pPr>
            <w:r w:rsidRPr="00DA6948">
              <w:rPr>
                <w:rFonts w:cs="Calibri"/>
                <w:color w:val="000000"/>
                <w:sz w:val="20"/>
                <w:szCs w:val="20"/>
              </w:rPr>
              <w:t>0.40</w:t>
            </w:r>
          </w:p>
        </w:tc>
        <w:tc>
          <w:tcPr>
            <w:tcW w:w="792" w:type="dxa"/>
            <w:tcBorders>
              <w:top w:val="nil"/>
              <w:left w:val="nil"/>
              <w:bottom w:val="single" w:sz="4" w:space="0" w:color="auto"/>
              <w:right w:val="single" w:sz="4" w:space="0" w:color="auto"/>
            </w:tcBorders>
            <w:shd w:val="clear" w:color="auto" w:fill="auto"/>
            <w:noWrap/>
            <w:vAlign w:val="bottom"/>
            <w:hideMark/>
          </w:tcPr>
          <w:p w14:paraId="3B89E098" w14:textId="77777777" w:rsidR="00DA6948" w:rsidRPr="00DA6948" w:rsidRDefault="00DA6948" w:rsidP="00DA6948">
            <w:pPr>
              <w:jc w:val="right"/>
              <w:rPr>
                <w:rFonts w:cs="Calibri"/>
                <w:color w:val="000000"/>
                <w:sz w:val="20"/>
                <w:szCs w:val="20"/>
              </w:rPr>
            </w:pPr>
            <w:r w:rsidRPr="00DA6948">
              <w:rPr>
                <w:rFonts w:cs="Calibri"/>
                <w:color w:val="000000"/>
                <w:sz w:val="20"/>
                <w:szCs w:val="20"/>
              </w:rPr>
              <w:t>31.6%</w:t>
            </w:r>
          </w:p>
        </w:tc>
        <w:tc>
          <w:tcPr>
            <w:tcW w:w="1063" w:type="dxa"/>
            <w:tcBorders>
              <w:top w:val="nil"/>
              <w:left w:val="nil"/>
              <w:bottom w:val="single" w:sz="4" w:space="0" w:color="auto"/>
              <w:right w:val="single" w:sz="4" w:space="0" w:color="auto"/>
            </w:tcBorders>
            <w:shd w:val="clear" w:color="auto" w:fill="auto"/>
            <w:noWrap/>
            <w:vAlign w:val="bottom"/>
            <w:hideMark/>
          </w:tcPr>
          <w:p w14:paraId="3379EDE1" w14:textId="77777777" w:rsidR="00DA6948" w:rsidRPr="00DA6948" w:rsidRDefault="00DA6948" w:rsidP="00DA6948">
            <w:pPr>
              <w:jc w:val="right"/>
              <w:rPr>
                <w:rFonts w:cs="Calibri"/>
                <w:color w:val="000000"/>
                <w:sz w:val="20"/>
                <w:szCs w:val="20"/>
              </w:rPr>
            </w:pPr>
            <w:r w:rsidRPr="00DA6948">
              <w:rPr>
                <w:rFonts w:cs="Calibri"/>
                <w:color w:val="000000"/>
                <w:sz w:val="20"/>
                <w:szCs w:val="20"/>
              </w:rPr>
              <w:t>0.9</w:t>
            </w:r>
          </w:p>
        </w:tc>
        <w:tc>
          <w:tcPr>
            <w:tcW w:w="880" w:type="dxa"/>
            <w:tcBorders>
              <w:top w:val="nil"/>
              <w:left w:val="nil"/>
              <w:bottom w:val="single" w:sz="4" w:space="0" w:color="auto"/>
              <w:right w:val="single" w:sz="4" w:space="0" w:color="auto"/>
            </w:tcBorders>
            <w:shd w:val="clear" w:color="auto" w:fill="auto"/>
            <w:noWrap/>
            <w:vAlign w:val="bottom"/>
            <w:hideMark/>
          </w:tcPr>
          <w:p w14:paraId="67A78F3A" w14:textId="77777777" w:rsidR="00DA6948" w:rsidRPr="00DA6948" w:rsidRDefault="00DA6948" w:rsidP="00DA6948">
            <w:pPr>
              <w:jc w:val="right"/>
              <w:rPr>
                <w:rFonts w:cs="Calibri"/>
                <w:color w:val="000000"/>
                <w:sz w:val="20"/>
                <w:szCs w:val="20"/>
              </w:rPr>
            </w:pPr>
            <w:r w:rsidRPr="00DA6948">
              <w:rPr>
                <w:rFonts w:cs="Calibri"/>
                <w:color w:val="000000"/>
                <w:sz w:val="20"/>
                <w:szCs w:val="20"/>
              </w:rPr>
              <w:t>86.3</w:t>
            </w:r>
          </w:p>
        </w:tc>
      </w:tr>
      <w:tr w:rsidR="00DA6948" w:rsidRPr="00DA6948" w14:paraId="32119674"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6F6FC4FB"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2DE4D67C" w14:textId="77777777" w:rsidR="00DA6948" w:rsidRPr="00DA6948" w:rsidRDefault="00DA6948" w:rsidP="00DA6948">
            <w:pPr>
              <w:rPr>
                <w:rFonts w:cs="Calibri"/>
                <w:color w:val="000000"/>
                <w:sz w:val="20"/>
                <w:szCs w:val="20"/>
              </w:rPr>
            </w:pPr>
            <w:r w:rsidRPr="00DA6948">
              <w:rPr>
                <w:rFonts w:cs="Calibri"/>
                <w:color w:val="000000"/>
                <w:sz w:val="20"/>
                <w:szCs w:val="20"/>
              </w:rPr>
              <w:t>Greater Fresno</w:t>
            </w:r>
          </w:p>
        </w:tc>
        <w:tc>
          <w:tcPr>
            <w:tcW w:w="906" w:type="dxa"/>
            <w:tcBorders>
              <w:top w:val="nil"/>
              <w:left w:val="nil"/>
              <w:bottom w:val="single" w:sz="4" w:space="0" w:color="auto"/>
              <w:right w:val="single" w:sz="4" w:space="0" w:color="auto"/>
            </w:tcBorders>
            <w:shd w:val="clear" w:color="auto" w:fill="auto"/>
            <w:noWrap/>
            <w:vAlign w:val="bottom"/>
            <w:hideMark/>
          </w:tcPr>
          <w:p w14:paraId="3F050BEB" w14:textId="77777777" w:rsidR="00DA6948" w:rsidRPr="00DA6948" w:rsidRDefault="00DA6948" w:rsidP="00DA6948">
            <w:pPr>
              <w:jc w:val="right"/>
              <w:rPr>
                <w:rFonts w:cs="Calibri"/>
                <w:color w:val="000000"/>
                <w:sz w:val="20"/>
                <w:szCs w:val="20"/>
              </w:rPr>
            </w:pPr>
            <w:r w:rsidRPr="00DA6948">
              <w:rPr>
                <w:rFonts w:cs="Calibri"/>
                <w:color w:val="000000"/>
                <w:sz w:val="20"/>
                <w:szCs w:val="20"/>
              </w:rPr>
              <w:t>3,300</w:t>
            </w:r>
          </w:p>
        </w:tc>
        <w:tc>
          <w:tcPr>
            <w:tcW w:w="1067" w:type="dxa"/>
            <w:tcBorders>
              <w:top w:val="nil"/>
              <w:left w:val="nil"/>
              <w:bottom w:val="single" w:sz="4" w:space="0" w:color="auto"/>
              <w:right w:val="single" w:sz="4" w:space="0" w:color="auto"/>
            </w:tcBorders>
            <w:shd w:val="clear" w:color="auto" w:fill="auto"/>
            <w:noWrap/>
            <w:vAlign w:val="bottom"/>
            <w:hideMark/>
          </w:tcPr>
          <w:p w14:paraId="3FA70B0A" w14:textId="77777777" w:rsidR="00DA6948" w:rsidRPr="00DA6948" w:rsidRDefault="00DA6948" w:rsidP="00DA6948">
            <w:pPr>
              <w:jc w:val="right"/>
              <w:rPr>
                <w:rFonts w:cs="Calibri"/>
                <w:color w:val="000000"/>
                <w:sz w:val="20"/>
                <w:szCs w:val="20"/>
              </w:rPr>
            </w:pPr>
            <w:r w:rsidRPr="00DA6948">
              <w:rPr>
                <w:rFonts w:cs="Calibri"/>
                <w:color w:val="000000"/>
                <w:sz w:val="20"/>
                <w:szCs w:val="20"/>
              </w:rPr>
              <w:t>2.69</w:t>
            </w:r>
          </w:p>
        </w:tc>
        <w:tc>
          <w:tcPr>
            <w:tcW w:w="1067" w:type="dxa"/>
            <w:tcBorders>
              <w:top w:val="nil"/>
              <w:left w:val="nil"/>
              <w:bottom w:val="single" w:sz="4" w:space="0" w:color="auto"/>
              <w:right w:val="single" w:sz="4" w:space="0" w:color="auto"/>
            </w:tcBorders>
            <w:shd w:val="clear" w:color="auto" w:fill="auto"/>
            <w:noWrap/>
            <w:vAlign w:val="bottom"/>
            <w:hideMark/>
          </w:tcPr>
          <w:p w14:paraId="065F6237" w14:textId="77777777" w:rsidR="00DA6948" w:rsidRPr="00DA6948" w:rsidRDefault="00DA6948" w:rsidP="00DA6948">
            <w:pPr>
              <w:jc w:val="right"/>
              <w:rPr>
                <w:rFonts w:cs="Calibri"/>
                <w:color w:val="000000"/>
                <w:sz w:val="20"/>
                <w:szCs w:val="20"/>
              </w:rPr>
            </w:pPr>
            <w:r w:rsidRPr="00DA6948">
              <w:rPr>
                <w:rFonts w:cs="Calibri"/>
                <w:color w:val="000000"/>
                <w:sz w:val="20"/>
                <w:szCs w:val="20"/>
              </w:rPr>
              <w:t>0.43</w:t>
            </w:r>
          </w:p>
        </w:tc>
        <w:tc>
          <w:tcPr>
            <w:tcW w:w="792" w:type="dxa"/>
            <w:tcBorders>
              <w:top w:val="nil"/>
              <w:left w:val="nil"/>
              <w:bottom w:val="single" w:sz="4" w:space="0" w:color="auto"/>
              <w:right w:val="single" w:sz="4" w:space="0" w:color="auto"/>
            </w:tcBorders>
            <w:shd w:val="clear" w:color="auto" w:fill="auto"/>
            <w:noWrap/>
            <w:vAlign w:val="bottom"/>
            <w:hideMark/>
          </w:tcPr>
          <w:p w14:paraId="14479AD2" w14:textId="77777777" w:rsidR="00DA6948" w:rsidRPr="00DA6948" w:rsidRDefault="00DA6948" w:rsidP="00DA6948">
            <w:pPr>
              <w:jc w:val="right"/>
              <w:rPr>
                <w:rFonts w:cs="Calibri"/>
                <w:color w:val="000000"/>
                <w:sz w:val="20"/>
                <w:szCs w:val="20"/>
              </w:rPr>
            </w:pPr>
            <w:r w:rsidRPr="00DA6948">
              <w:rPr>
                <w:rFonts w:cs="Calibri"/>
                <w:color w:val="000000"/>
                <w:sz w:val="20"/>
                <w:szCs w:val="20"/>
              </w:rPr>
              <w:t>16.1%</w:t>
            </w:r>
          </w:p>
        </w:tc>
        <w:tc>
          <w:tcPr>
            <w:tcW w:w="1063" w:type="dxa"/>
            <w:tcBorders>
              <w:top w:val="nil"/>
              <w:left w:val="nil"/>
              <w:bottom w:val="single" w:sz="4" w:space="0" w:color="auto"/>
              <w:right w:val="single" w:sz="4" w:space="0" w:color="auto"/>
            </w:tcBorders>
            <w:shd w:val="clear" w:color="auto" w:fill="auto"/>
            <w:noWrap/>
            <w:vAlign w:val="bottom"/>
            <w:hideMark/>
          </w:tcPr>
          <w:p w14:paraId="1A0B1EAB" w14:textId="77777777" w:rsidR="00DA6948" w:rsidRPr="00DA6948" w:rsidRDefault="00DA6948" w:rsidP="00DA6948">
            <w:pPr>
              <w:jc w:val="right"/>
              <w:rPr>
                <w:rFonts w:cs="Calibri"/>
                <w:color w:val="000000"/>
                <w:sz w:val="20"/>
                <w:szCs w:val="20"/>
              </w:rPr>
            </w:pPr>
            <w:r w:rsidRPr="00DA6948">
              <w:rPr>
                <w:rFonts w:cs="Calibri"/>
                <w:color w:val="000000"/>
                <w:sz w:val="20"/>
                <w:szCs w:val="20"/>
              </w:rPr>
              <w:t>1.4</w:t>
            </w:r>
          </w:p>
        </w:tc>
        <w:tc>
          <w:tcPr>
            <w:tcW w:w="880" w:type="dxa"/>
            <w:tcBorders>
              <w:top w:val="nil"/>
              <w:left w:val="nil"/>
              <w:bottom w:val="single" w:sz="4" w:space="0" w:color="auto"/>
              <w:right w:val="single" w:sz="4" w:space="0" w:color="auto"/>
            </w:tcBorders>
            <w:shd w:val="clear" w:color="auto" w:fill="auto"/>
            <w:noWrap/>
            <w:vAlign w:val="bottom"/>
            <w:hideMark/>
          </w:tcPr>
          <w:p w14:paraId="37A43853" w14:textId="77777777" w:rsidR="00DA6948" w:rsidRPr="00DA6948" w:rsidRDefault="00DA6948" w:rsidP="00DA6948">
            <w:pPr>
              <w:jc w:val="right"/>
              <w:rPr>
                <w:rFonts w:cs="Calibri"/>
                <w:color w:val="000000"/>
                <w:sz w:val="20"/>
                <w:szCs w:val="20"/>
              </w:rPr>
            </w:pPr>
            <w:r w:rsidRPr="00DA6948">
              <w:rPr>
                <w:rFonts w:cs="Calibri"/>
                <w:color w:val="000000"/>
                <w:sz w:val="20"/>
                <w:szCs w:val="20"/>
              </w:rPr>
              <w:t>101.2</w:t>
            </w:r>
          </w:p>
        </w:tc>
      </w:tr>
      <w:tr w:rsidR="00DA6948" w:rsidRPr="00DA6948" w14:paraId="091A3C91"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67C5B2DC"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266B9025" w14:textId="77777777" w:rsidR="00DA6948" w:rsidRPr="00DA6948" w:rsidRDefault="00DA6948" w:rsidP="00DA6948">
            <w:pPr>
              <w:rPr>
                <w:rFonts w:cs="Calibri"/>
                <w:color w:val="000000"/>
                <w:sz w:val="20"/>
                <w:szCs w:val="20"/>
              </w:rPr>
            </w:pPr>
            <w:r w:rsidRPr="00DA6948">
              <w:rPr>
                <w:rFonts w:cs="Calibri"/>
                <w:color w:val="000000"/>
                <w:sz w:val="20"/>
                <w:szCs w:val="20"/>
              </w:rPr>
              <w:t>Kern</w:t>
            </w:r>
          </w:p>
        </w:tc>
        <w:tc>
          <w:tcPr>
            <w:tcW w:w="906" w:type="dxa"/>
            <w:tcBorders>
              <w:top w:val="nil"/>
              <w:left w:val="nil"/>
              <w:bottom w:val="single" w:sz="4" w:space="0" w:color="auto"/>
              <w:right w:val="single" w:sz="4" w:space="0" w:color="auto"/>
            </w:tcBorders>
            <w:shd w:val="clear" w:color="auto" w:fill="auto"/>
            <w:noWrap/>
            <w:vAlign w:val="bottom"/>
            <w:hideMark/>
          </w:tcPr>
          <w:p w14:paraId="07859657" w14:textId="77777777" w:rsidR="00DA6948" w:rsidRPr="00DA6948" w:rsidRDefault="00DA6948" w:rsidP="00DA6948">
            <w:pPr>
              <w:jc w:val="right"/>
              <w:rPr>
                <w:rFonts w:cs="Calibri"/>
                <w:color w:val="000000"/>
                <w:sz w:val="20"/>
                <w:szCs w:val="20"/>
              </w:rPr>
            </w:pPr>
            <w:r w:rsidRPr="00DA6948">
              <w:rPr>
                <w:rFonts w:cs="Calibri"/>
                <w:color w:val="000000"/>
                <w:sz w:val="20"/>
                <w:szCs w:val="20"/>
              </w:rPr>
              <w:t>1,040</w:t>
            </w:r>
          </w:p>
        </w:tc>
        <w:tc>
          <w:tcPr>
            <w:tcW w:w="1067" w:type="dxa"/>
            <w:tcBorders>
              <w:top w:val="nil"/>
              <w:left w:val="nil"/>
              <w:bottom w:val="single" w:sz="4" w:space="0" w:color="auto"/>
              <w:right w:val="single" w:sz="4" w:space="0" w:color="auto"/>
            </w:tcBorders>
            <w:shd w:val="clear" w:color="auto" w:fill="auto"/>
            <w:noWrap/>
            <w:vAlign w:val="bottom"/>
            <w:hideMark/>
          </w:tcPr>
          <w:p w14:paraId="2AE5323E" w14:textId="77777777" w:rsidR="00DA6948" w:rsidRPr="00DA6948" w:rsidRDefault="00DA6948" w:rsidP="00DA6948">
            <w:pPr>
              <w:jc w:val="right"/>
              <w:rPr>
                <w:rFonts w:cs="Calibri"/>
                <w:color w:val="000000"/>
                <w:sz w:val="20"/>
                <w:szCs w:val="20"/>
              </w:rPr>
            </w:pPr>
            <w:r w:rsidRPr="00DA6948">
              <w:rPr>
                <w:rFonts w:cs="Calibri"/>
                <w:color w:val="000000"/>
                <w:sz w:val="20"/>
                <w:szCs w:val="20"/>
              </w:rPr>
              <w:t>2.91</w:t>
            </w:r>
          </w:p>
        </w:tc>
        <w:tc>
          <w:tcPr>
            <w:tcW w:w="1067" w:type="dxa"/>
            <w:tcBorders>
              <w:top w:val="nil"/>
              <w:left w:val="nil"/>
              <w:bottom w:val="single" w:sz="4" w:space="0" w:color="auto"/>
              <w:right w:val="single" w:sz="4" w:space="0" w:color="auto"/>
            </w:tcBorders>
            <w:shd w:val="clear" w:color="auto" w:fill="auto"/>
            <w:noWrap/>
            <w:vAlign w:val="bottom"/>
            <w:hideMark/>
          </w:tcPr>
          <w:p w14:paraId="35C53590" w14:textId="77777777" w:rsidR="00DA6948" w:rsidRPr="00DA6948" w:rsidRDefault="00DA6948" w:rsidP="00DA6948">
            <w:pPr>
              <w:jc w:val="right"/>
              <w:rPr>
                <w:rFonts w:cs="Calibri"/>
                <w:color w:val="000000"/>
                <w:sz w:val="20"/>
                <w:szCs w:val="20"/>
              </w:rPr>
            </w:pPr>
            <w:r w:rsidRPr="00DA6948">
              <w:rPr>
                <w:rFonts w:cs="Calibri"/>
                <w:color w:val="000000"/>
                <w:sz w:val="20"/>
                <w:szCs w:val="20"/>
              </w:rPr>
              <w:t>0.03</w:t>
            </w:r>
          </w:p>
        </w:tc>
        <w:tc>
          <w:tcPr>
            <w:tcW w:w="792" w:type="dxa"/>
            <w:tcBorders>
              <w:top w:val="nil"/>
              <w:left w:val="nil"/>
              <w:bottom w:val="single" w:sz="4" w:space="0" w:color="auto"/>
              <w:right w:val="single" w:sz="4" w:space="0" w:color="auto"/>
            </w:tcBorders>
            <w:shd w:val="clear" w:color="auto" w:fill="auto"/>
            <w:noWrap/>
            <w:vAlign w:val="bottom"/>
            <w:hideMark/>
          </w:tcPr>
          <w:p w14:paraId="69A4A243" w14:textId="77777777" w:rsidR="00DA6948" w:rsidRPr="00DA6948" w:rsidRDefault="00DA6948" w:rsidP="00DA6948">
            <w:pPr>
              <w:jc w:val="right"/>
              <w:rPr>
                <w:rFonts w:cs="Calibri"/>
                <w:color w:val="000000"/>
                <w:sz w:val="20"/>
                <w:szCs w:val="20"/>
              </w:rPr>
            </w:pPr>
            <w:r w:rsidRPr="00DA6948">
              <w:rPr>
                <w:rFonts w:cs="Calibri"/>
                <w:color w:val="000000"/>
                <w:sz w:val="20"/>
                <w:szCs w:val="20"/>
              </w:rPr>
              <w:t>1.1%</w:t>
            </w:r>
          </w:p>
        </w:tc>
        <w:tc>
          <w:tcPr>
            <w:tcW w:w="1063" w:type="dxa"/>
            <w:tcBorders>
              <w:top w:val="nil"/>
              <w:left w:val="nil"/>
              <w:bottom w:val="single" w:sz="4" w:space="0" w:color="auto"/>
              <w:right w:val="single" w:sz="4" w:space="0" w:color="auto"/>
            </w:tcBorders>
            <w:shd w:val="clear" w:color="auto" w:fill="auto"/>
            <w:noWrap/>
            <w:vAlign w:val="bottom"/>
            <w:hideMark/>
          </w:tcPr>
          <w:p w14:paraId="6BF1D315" w14:textId="77777777" w:rsidR="00DA6948" w:rsidRPr="00DA6948" w:rsidRDefault="00DA6948" w:rsidP="00DA6948">
            <w:pPr>
              <w:jc w:val="right"/>
              <w:rPr>
                <w:rFonts w:cs="Calibri"/>
                <w:color w:val="000000"/>
                <w:sz w:val="20"/>
                <w:szCs w:val="20"/>
              </w:rPr>
            </w:pPr>
            <w:r w:rsidRPr="00DA6948">
              <w:rPr>
                <w:rFonts w:cs="Calibri"/>
                <w:color w:val="000000"/>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14:paraId="373BB84D" w14:textId="77777777" w:rsidR="00DA6948" w:rsidRPr="00DA6948" w:rsidRDefault="00DA6948" w:rsidP="00DA6948">
            <w:pPr>
              <w:jc w:val="right"/>
              <w:rPr>
                <w:rFonts w:cs="Calibri"/>
                <w:color w:val="000000"/>
                <w:sz w:val="20"/>
                <w:szCs w:val="20"/>
              </w:rPr>
            </w:pPr>
            <w:r w:rsidRPr="00DA6948">
              <w:rPr>
                <w:rFonts w:cs="Calibri"/>
                <w:color w:val="000000"/>
                <w:sz w:val="20"/>
                <w:szCs w:val="20"/>
              </w:rPr>
              <w:t>92.2</w:t>
            </w:r>
          </w:p>
        </w:tc>
      </w:tr>
      <w:tr w:rsidR="00DA6948" w:rsidRPr="00DA6948" w14:paraId="57F71CFF"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4E922AF1"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58863617" w14:textId="77777777" w:rsidR="00DA6948" w:rsidRPr="00DA6948" w:rsidRDefault="00DA6948" w:rsidP="00DA6948">
            <w:pPr>
              <w:rPr>
                <w:rFonts w:cs="Calibri"/>
                <w:color w:val="000000"/>
                <w:sz w:val="20"/>
                <w:szCs w:val="20"/>
              </w:rPr>
            </w:pPr>
            <w:r w:rsidRPr="00DA6948">
              <w:rPr>
                <w:rFonts w:cs="Calibri"/>
                <w:color w:val="000000"/>
                <w:sz w:val="20"/>
                <w:szCs w:val="20"/>
              </w:rPr>
              <w:t>Northern Coast</w:t>
            </w:r>
          </w:p>
        </w:tc>
        <w:tc>
          <w:tcPr>
            <w:tcW w:w="906" w:type="dxa"/>
            <w:tcBorders>
              <w:top w:val="nil"/>
              <w:left w:val="nil"/>
              <w:bottom w:val="single" w:sz="4" w:space="0" w:color="auto"/>
              <w:right w:val="single" w:sz="4" w:space="0" w:color="auto"/>
            </w:tcBorders>
            <w:shd w:val="clear" w:color="auto" w:fill="auto"/>
            <w:noWrap/>
            <w:vAlign w:val="bottom"/>
            <w:hideMark/>
          </w:tcPr>
          <w:p w14:paraId="2FD608B1" w14:textId="77777777" w:rsidR="00DA6948" w:rsidRPr="00DA6948" w:rsidRDefault="00DA6948" w:rsidP="00DA6948">
            <w:pPr>
              <w:jc w:val="right"/>
              <w:rPr>
                <w:rFonts w:cs="Calibri"/>
                <w:color w:val="000000"/>
                <w:sz w:val="20"/>
                <w:szCs w:val="20"/>
              </w:rPr>
            </w:pPr>
            <w:r w:rsidRPr="00DA6948">
              <w:rPr>
                <w:rFonts w:cs="Calibri"/>
                <w:color w:val="000000"/>
                <w:sz w:val="20"/>
                <w:szCs w:val="20"/>
              </w:rPr>
              <w:t>329</w:t>
            </w:r>
          </w:p>
        </w:tc>
        <w:tc>
          <w:tcPr>
            <w:tcW w:w="1067" w:type="dxa"/>
            <w:tcBorders>
              <w:top w:val="nil"/>
              <w:left w:val="nil"/>
              <w:bottom w:val="single" w:sz="4" w:space="0" w:color="auto"/>
              <w:right w:val="single" w:sz="4" w:space="0" w:color="auto"/>
            </w:tcBorders>
            <w:shd w:val="clear" w:color="auto" w:fill="auto"/>
            <w:noWrap/>
            <w:vAlign w:val="bottom"/>
            <w:hideMark/>
          </w:tcPr>
          <w:p w14:paraId="41183D33" w14:textId="77777777" w:rsidR="00DA6948" w:rsidRPr="00DA6948" w:rsidRDefault="00DA6948" w:rsidP="00DA6948">
            <w:pPr>
              <w:jc w:val="right"/>
              <w:rPr>
                <w:rFonts w:cs="Calibri"/>
                <w:color w:val="000000"/>
                <w:sz w:val="20"/>
                <w:szCs w:val="20"/>
              </w:rPr>
            </w:pPr>
            <w:r w:rsidRPr="00DA6948">
              <w:rPr>
                <w:rFonts w:cs="Calibri"/>
                <w:color w:val="000000"/>
                <w:sz w:val="20"/>
                <w:szCs w:val="20"/>
              </w:rPr>
              <w:t>1.47</w:t>
            </w:r>
          </w:p>
        </w:tc>
        <w:tc>
          <w:tcPr>
            <w:tcW w:w="1067" w:type="dxa"/>
            <w:tcBorders>
              <w:top w:val="nil"/>
              <w:left w:val="nil"/>
              <w:bottom w:val="single" w:sz="4" w:space="0" w:color="auto"/>
              <w:right w:val="single" w:sz="4" w:space="0" w:color="auto"/>
            </w:tcBorders>
            <w:shd w:val="clear" w:color="auto" w:fill="auto"/>
            <w:noWrap/>
            <w:vAlign w:val="bottom"/>
            <w:hideMark/>
          </w:tcPr>
          <w:p w14:paraId="59F0B1A1" w14:textId="77777777" w:rsidR="00DA6948" w:rsidRPr="00DA6948" w:rsidRDefault="00DA6948" w:rsidP="00DA6948">
            <w:pPr>
              <w:jc w:val="right"/>
              <w:rPr>
                <w:rFonts w:cs="Calibri"/>
                <w:color w:val="000000"/>
                <w:sz w:val="20"/>
                <w:szCs w:val="20"/>
              </w:rPr>
            </w:pPr>
            <w:r w:rsidRPr="00DA6948">
              <w:rPr>
                <w:rFonts w:cs="Calibri"/>
                <w:color w:val="000000"/>
                <w:sz w:val="20"/>
                <w:szCs w:val="20"/>
              </w:rPr>
              <w:t>0.42</w:t>
            </w:r>
          </w:p>
        </w:tc>
        <w:tc>
          <w:tcPr>
            <w:tcW w:w="792" w:type="dxa"/>
            <w:tcBorders>
              <w:top w:val="nil"/>
              <w:left w:val="nil"/>
              <w:bottom w:val="single" w:sz="4" w:space="0" w:color="auto"/>
              <w:right w:val="single" w:sz="4" w:space="0" w:color="auto"/>
            </w:tcBorders>
            <w:shd w:val="clear" w:color="auto" w:fill="auto"/>
            <w:noWrap/>
            <w:vAlign w:val="bottom"/>
            <w:hideMark/>
          </w:tcPr>
          <w:p w14:paraId="01DB611B" w14:textId="77777777" w:rsidR="00DA6948" w:rsidRPr="00DA6948" w:rsidRDefault="00DA6948" w:rsidP="00DA6948">
            <w:pPr>
              <w:jc w:val="right"/>
              <w:rPr>
                <w:rFonts w:cs="Calibri"/>
                <w:color w:val="000000"/>
                <w:sz w:val="20"/>
                <w:szCs w:val="20"/>
              </w:rPr>
            </w:pPr>
            <w:r w:rsidRPr="00DA6948">
              <w:rPr>
                <w:rFonts w:cs="Calibri"/>
                <w:color w:val="000000"/>
                <w:sz w:val="20"/>
                <w:szCs w:val="20"/>
              </w:rPr>
              <w:t>28.4%</w:t>
            </w:r>
          </w:p>
        </w:tc>
        <w:tc>
          <w:tcPr>
            <w:tcW w:w="1063" w:type="dxa"/>
            <w:tcBorders>
              <w:top w:val="nil"/>
              <w:left w:val="nil"/>
              <w:bottom w:val="single" w:sz="4" w:space="0" w:color="auto"/>
              <w:right w:val="single" w:sz="4" w:space="0" w:color="auto"/>
            </w:tcBorders>
            <w:shd w:val="clear" w:color="auto" w:fill="auto"/>
            <w:noWrap/>
            <w:vAlign w:val="bottom"/>
            <w:hideMark/>
          </w:tcPr>
          <w:p w14:paraId="582906B3" w14:textId="77777777" w:rsidR="00DA6948" w:rsidRPr="00DA6948" w:rsidRDefault="00DA6948" w:rsidP="00DA6948">
            <w:pPr>
              <w:jc w:val="right"/>
              <w:rPr>
                <w:rFonts w:cs="Calibri"/>
                <w:color w:val="000000"/>
                <w:sz w:val="20"/>
                <w:szCs w:val="20"/>
              </w:rPr>
            </w:pPr>
            <w:r w:rsidRPr="00DA6948">
              <w:rPr>
                <w:rFonts w:cs="Calibri"/>
                <w:color w:val="000000"/>
                <w:sz w:val="20"/>
                <w:szCs w:val="20"/>
              </w:rPr>
              <w:t>0.1</w:t>
            </w:r>
          </w:p>
        </w:tc>
        <w:tc>
          <w:tcPr>
            <w:tcW w:w="880" w:type="dxa"/>
            <w:tcBorders>
              <w:top w:val="nil"/>
              <w:left w:val="nil"/>
              <w:bottom w:val="single" w:sz="4" w:space="0" w:color="auto"/>
              <w:right w:val="single" w:sz="4" w:space="0" w:color="auto"/>
            </w:tcBorders>
            <w:shd w:val="clear" w:color="auto" w:fill="auto"/>
            <w:noWrap/>
            <w:vAlign w:val="bottom"/>
            <w:hideMark/>
          </w:tcPr>
          <w:p w14:paraId="38F2DC38" w14:textId="77777777" w:rsidR="00DA6948" w:rsidRPr="00DA6948" w:rsidRDefault="00DA6948" w:rsidP="00DA6948">
            <w:pPr>
              <w:jc w:val="right"/>
              <w:rPr>
                <w:rFonts w:cs="Calibri"/>
                <w:color w:val="000000"/>
                <w:sz w:val="20"/>
                <w:szCs w:val="20"/>
              </w:rPr>
            </w:pPr>
            <w:r w:rsidRPr="00DA6948">
              <w:rPr>
                <w:rFonts w:cs="Calibri"/>
                <w:color w:val="000000"/>
                <w:sz w:val="20"/>
                <w:szCs w:val="20"/>
              </w:rPr>
              <w:t>100.9</w:t>
            </w:r>
          </w:p>
        </w:tc>
      </w:tr>
      <w:tr w:rsidR="00DA6948" w:rsidRPr="00DA6948" w14:paraId="260241F4"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3E203582"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74B19204" w14:textId="77777777" w:rsidR="00DA6948" w:rsidRPr="00DA6948" w:rsidRDefault="00DA6948" w:rsidP="00DA6948">
            <w:pPr>
              <w:rPr>
                <w:rFonts w:cs="Calibri"/>
                <w:color w:val="000000"/>
                <w:sz w:val="20"/>
                <w:szCs w:val="20"/>
              </w:rPr>
            </w:pPr>
            <w:r w:rsidRPr="00DA6948">
              <w:rPr>
                <w:rFonts w:cs="Calibri"/>
                <w:color w:val="000000"/>
                <w:sz w:val="20"/>
                <w:szCs w:val="20"/>
              </w:rPr>
              <w:t>Other</w:t>
            </w:r>
          </w:p>
        </w:tc>
        <w:tc>
          <w:tcPr>
            <w:tcW w:w="906" w:type="dxa"/>
            <w:tcBorders>
              <w:top w:val="nil"/>
              <w:left w:val="nil"/>
              <w:bottom w:val="single" w:sz="4" w:space="0" w:color="auto"/>
              <w:right w:val="single" w:sz="4" w:space="0" w:color="auto"/>
            </w:tcBorders>
            <w:shd w:val="clear" w:color="auto" w:fill="auto"/>
            <w:noWrap/>
            <w:vAlign w:val="bottom"/>
            <w:hideMark/>
          </w:tcPr>
          <w:p w14:paraId="5B3BA2D4" w14:textId="77777777" w:rsidR="00DA6948" w:rsidRPr="00DA6948" w:rsidRDefault="00DA6948" w:rsidP="00DA6948">
            <w:pPr>
              <w:jc w:val="right"/>
              <w:rPr>
                <w:rFonts w:cs="Calibri"/>
                <w:color w:val="000000"/>
                <w:sz w:val="20"/>
                <w:szCs w:val="20"/>
              </w:rPr>
            </w:pPr>
            <w:r w:rsidRPr="00DA6948">
              <w:rPr>
                <w:rFonts w:cs="Calibri"/>
                <w:color w:val="000000"/>
                <w:sz w:val="20"/>
                <w:szCs w:val="20"/>
              </w:rPr>
              <w:t>4,010</w:t>
            </w:r>
          </w:p>
        </w:tc>
        <w:tc>
          <w:tcPr>
            <w:tcW w:w="1067" w:type="dxa"/>
            <w:tcBorders>
              <w:top w:val="nil"/>
              <w:left w:val="nil"/>
              <w:bottom w:val="single" w:sz="4" w:space="0" w:color="auto"/>
              <w:right w:val="single" w:sz="4" w:space="0" w:color="auto"/>
            </w:tcBorders>
            <w:shd w:val="clear" w:color="auto" w:fill="auto"/>
            <w:noWrap/>
            <w:vAlign w:val="bottom"/>
            <w:hideMark/>
          </w:tcPr>
          <w:p w14:paraId="19E29721" w14:textId="77777777" w:rsidR="00DA6948" w:rsidRPr="00DA6948" w:rsidRDefault="00DA6948" w:rsidP="00DA6948">
            <w:pPr>
              <w:jc w:val="right"/>
              <w:rPr>
                <w:rFonts w:cs="Calibri"/>
                <w:color w:val="000000"/>
                <w:sz w:val="20"/>
                <w:szCs w:val="20"/>
              </w:rPr>
            </w:pPr>
            <w:r w:rsidRPr="00DA6948">
              <w:rPr>
                <w:rFonts w:cs="Calibri"/>
                <w:color w:val="000000"/>
                <w:sz w:val="20"/>
                <w:szCs w:val="20"/>
              </w:rPr>
              <w:t>2.05</w:t>
            </w:r>
          </w:p>
        </w:tc>
        <w:tc>
          <w:tcPr>
            <w:tcW w:w="1067" w:type="dxa"/>
            <w:tcBorders>
              <w:top w:val="nil"/>
              <w:left w:val="nil"/>
              <w:bottom w:val="single" w:sz="4" w:space="0" w:color="auto"/>
              <w:right w:val="single" w:sz="4" w:space="0" w:color="auto"/>
            </w:tcBorders>
            <w:shd w:val="clear" w:color="auto" w:fill="auto"/>
            <w:noWrap/>
            <w:vAlign w:val="bottom"/>
            <w:hideMark/>
          </w:tcPr>
          <w:p w14:paraId="24CC86FC" w14:textId="77777777" w:rsidR="00DA6948" w:rsidRPr="00DA6948" w:rsidRDefault="00DA6948" w:rsidP="00DA6948">
            <w:pPr>
              <w:jc w:val="right"/>
              <w:rPr>
                <w:rFonts w:cs="Calibri"/>
                <w:color w:val="000000"/>
                <w:sz w:val="20"/>
                <w:szCs w:val="20"/>
              </w:rPr>
            </w:pPr>
            <w:r w:rsidRPr="00DA6948">
              <w:rPr>
                <w:rFonts w:cs="Calibri"/>
                <w:color w:val="000000"/>
                <w:sz w:val="20"/>
                <w:szCs w:val="20"/>
              </w:rPr>
              <w:t>0.47</w:t>
            </w:r>
          </w:p>
        </w:tc>
        <w:tc>
          <w:tcPr>
            <w:tcW w:w="792" w:type="dxa"/>
            <w:tcBorders>
              <w:top w:val="nil"/>
              <w:left w:val="nil"/>
              <w:bottom w:val="single" w:sz="4" w:space="0" w:color="auto"/>
              <w:right w:val="single" w:sz="4" w:space="0" w:color="auto"/>
            </w:tcBorders>
            <w:shd w:val="clear" w:color="auto" w:fill="auto"/>
            <w:noWrap/>
            <w:vAlign w:val="bottom"/>
            <w:hideMark/>
          </w:tcPr>
          <w:p w14:paraId="55633BA6" w14:textId="77777777" w:rsidR="00DA6948" w:rsidRPr="00DA6948" w:rsidRDefault="00DA6948" w:rsidP="00DA6948">
            <w:pPr>
              <w:jc w:val="right"/>
              <w:rPr>
                <w:rFonts w:cs="Calibri"/>
                <w:color w:val="000000"/>
                <w:sz w:val="20"/>
                <w:szCs w:val="20"/>
              </w:rPr>
            </w:pPr>
            <w:r w:rsidRPr="00DA6948">
              <w:rPr>
                <w:rFonts w:cs="Calibri"/>
                <w:color w:val="000000"/>
                <w:sz w:val="20"/>
                <w:szCs w:val="20"/>
              </w:rPr>
              <w:t>23.0%</w:t>
            </w:r>
          </w:p>
        </w:tc>
        <w:tc>
          <w:tcPr>
            <w:tcW w:w="1063" w:type="dxa"/>
            <w:tcBorders>
              <w:top w:val="nil"/>
              <w:left w:val="nil"/>
              <w:bottom w:val="single" w:sz="4" w:space="0" w:color="auto"/>
              <w:right w:val="single" w:sz="4" w:space="0" w:color="auto"/>
            </w:tcBorders>
            <w:shd w:val="clear" w:color="auto" w:fill="auto"/>
            <w:noWrap/>
            <w:vAlign w:val="bottom"/>
            <w:hideMark/>
          </w:tcPr>
          <w:p w14:paraId="5AF441CB" w14:textId="77777777" w:rsidR="00DA6948" w:rsidRPr="00DA6948" w:rsidRDefault="00DA6948" w:rsidP="00DA6948">
            <w:pPr>
              <w:jc w:val="right"/>
              <w:rPr>
                <w:rFonts w:cs="Calibri"/>
                <w:color w:val="000000"/>
                <w:sz w:val="20"/>
                <w:szCs w:val="20"/>
              </w:rPr>
            </w:pPr>
            <w:r w:rsidRPr="00DA6948">
              <w:rPr>
                <w:rFonts w:cs="Calibri"/>
                <w:color w:val="000000"/>
                <w:sz w:val="20"/>
                <w:szCs w:val="20"/>
              </w:rPr>
              <w:t>1.9</w:t>
            </w:r>
          </w:p>
        </w:tc>
        <w:tc>
          <w:tcPr>
            <w:tcW w:w="880" w:type="dxa"/>
            <w:tcBorders>
              <w:top w:val="nil"/>
              <w:left w:val="nil"/>
              <w:bottom w:val="single" w:sz="4" w:space="0" w:color="auto"/>
              <w:right w:val="single" w:sz="4" w:space="0" w:color="auto"/>
            </w:tcBorders>
            <w:shd w:val="clear" w:color="auto" w:fill="auto"/>
            <w:noWrap/>
            <w:vAlign w:val="bottom"/>
            <w:hideMark/>
          </w:tcPr>
          <w:p w14:paraId="678CF790" w14:textId="77777777" w:rsidR="00DA6948" w:rsidRPr="00DA6948" w:rsidRDefault="00DA6948" w:rsidP="00DA6948">
            <w:pPr>
              <w:jc w:val="right"/>
              <w:rPr>
                <w:rFonts w:cs="Calibri"/>
                <w:color w:val="000000"/>
                <w:sz w:val="20"/>
                <w:szCs w:val="20"/>
              </w:rPr>
            </w:pPr>
            <w:r w:rsidRPr="00DA6948">
              <w:rPr>
                <w:rFonts w:cs="Calibri"/>
                <w:color w:val="000000"/>
                <w:sz w:val="20"/>
                <w:szCs w:val="20"/>
              </w:rPr>
              <w:t>89.7</w:t>
            </w:r>
          </w:p>
        </w:tc>
      </w:tr>
      <w:tr w:rsidR="00DA6948" w:rsidRPr="00DA6948" w14:paraId="37064649"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3FA90409"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520C914E" w14:textId="77777777" w:rsidR="00DA6948" w:rsidRPr="00DA6948" w:rsidRDefault="00DA6948" w:rsidP="00DA6948">
            <w:pPr>
              <w:rPr>
                <w:rFonts w:cs="Calibri"/>
                <w:color w:val="000000"/>
                <w:sz w:val="20"/>
                <w:szCs w:val="20"/>
              </w:rPr>
            </w:pPr>
            <w:r w:rsidRPr="00DA6948">
              <w:rPr>
                <w:rFonts w:cs="Calibri"/>
                <w:color w:val="000000"/>
                <w:sz w:val="20"/>
                <w:szCs w:val="20"/>
              </w:rPr>
              <w:t>Sierra</w:t>
            </w:r>
          </w:p>
        </w:tc>
        <w:tc>
          <w:tcPr>
            <w:tcW w:w="906" w:type="dxa"/>
            <w:tcBorders>
              <w:top w:val="nil"/>
              <w:left w:val="nil"/>
              <w:bottom w:val="single" w:sz="4" w:space="0" w:color="auto"/>
              <w:right w:val="single" w:sz="4" w:space="0" w:color="auto"/>
            </w:tcBorders>
            <w:shd w:val="clear" w:color="auto" w:fill="auto"/>
            <w:noWrap/>
            <w:vAlign w:val="bottom"/>
            <w:hideMark/>
          </w:tcPr>
          <w:p w14:paraId="472F347A" w14:textId="77777777" w:rsidR="00DA6948" w:rsidRPr="00DA6948" w:rsidRDefault="00DA6948" w:rsidP="00DA6948">
            <w:pPr>
              <w:jc w:val="right"/>
              <w:rPr>
                <w:rFonts w:cs="Calibri"/>
                <w:color w:val="000000"/>
                <w:sz w:val="20"/>
                <w:szCs w:val="20"/>
              </w:rPr>
            </w:pPr>
            <w:r w:rsidRPr="00DA6948">
              <w:rPr>
                <w:rFonts w:cs="Calibri"/>
                <w:color w:val="000000"/>
                <w:sz w:val="20"/>
                <w:szCs w:val="20"/>
              </w:rPr>
              <w:t>2,018</w:t>
            </w:r>
          </w:p>
        </w:tc>
        <w:tc>
          <w:tcPr>
            <w:tcW w:w="1067" w:type="dxa"/>
            <w:tcBorders>
              <w:top w:val="nil"/>
              <w:left w:val="nil"/>
              <w:bottom w:val="single" w:sz="4" w:space="0" w:color="auto"/>
              <w:right w:val="single" w:sz="4" w:space="0" w:color="auto"/>
            </w:tcBorders>
            <w:shd w:val="clear" w:color="auto" w:fill="auto"/>
            <w:noWrap/>
            <w:vAlign w:val="bottom"/>
            <w:hideMark/>
          </w:tcPr>
          <w:p w14:paraId="78FD0FAC" w14:textId="77777777" w:rsidR="00DA6948" w:rsidRPr="00DA6948" w:rsidRDefault="00DA6948" w:rsidP="00DA6948">
            <w:pPr>
              <w:jc w:val="right"/>
              <w:rPr>
                <w:rFonts w:cs="Calibri"/>
                <w:color w:val="000000"/>
                <w:sz w:val="20"/>
                <w:szCs w:val="20"/>
              </w:rPr>
            </w:pPr>
            <w:r w:rsidRPr="00DA6948">
              <w:rPr>
                <w:rFonts w:cs="Calibri"/>
                <w:color w:val="000000"/>
                <w:sz w:val="20"/>
                <w:szCs w:val="20"/>
              </w:rPr>
              <w:t>2.07</w:t>
            </w:r>
          </w:p>
        </w:tc>
        <w:tc>
          <w:tcPr>
            <w:tcW w:w="1067" w:type="dxa"/>
            <w:tcBorders>
              <w:top w:val="nil"/>
              <w:left w:val="nil"/>
              <w:bottom w:val="single" w:sz="4" w:space="0" w:color="auto"/>
              <w:right w:val="single" w:sz="4" w:space="0" w:color="auto"/>
            </w:tcBorders>
            <w:shd w:val="clear" w:color="auto" w:fill="auto"/>
            <w:noWrap/>
            <w:vAlign w:val="bottom"/>
            <w:hideMark/>
          </w:tcPr>
          <w:p w14:paraId="1F4F3425" w14:textId="77777777" w:rsidR="00DA6948" w:rsidRPr="00DA6948" w:rsidRDefault="00DA6948" w:rsidP="00DA6948">
            <w:pPr>
              <w:jc w:val="right"/>
              <w:rPr>
                <w:rFonts w:cs="Calibri"/>
                <w:color w:val="000000"/>
                <w:sz w:val="20"/>
                <w:szCs w:val="20"/>
              </w:rPr>
            </w:pPr>
            <w:r w:rsidRPr="00DA6948">
              <w:rPr>
                <w:rFonts w:cs="Calibri"/>
                <w:color w:val="000000"/>
                <w:sz w:val="20"/>
                <w:szCs w:val="20"/>
              </w:rPr>
              <w:t>0.42</w:t>
            </w:r>
          </w:p>
        </w:tc>
        <w:tc>
          <w:tcPr>
            <w:tcW w:w="792" w:type="dxa"/>
            <w:tcBorders>
              <w:top w:val="nil"/>
              <w:left w:val="nil"/>
              <w:bottom w:val="single" w:sz="4" w:space="0" w:color="auto"/>
              <w:right w:val="single" w:sz="4" w:space="0" w:color="auto"/>
            </w:tcBorders>
            <w:shd w:val="clear" w:color="auto" w:fill="auto"/>
            <w:noWrap/>
            <w:vAlign w:val="bottom"/>
            <w:hideMark/>
          </w:tcPr>
          <w:p w14:paraId="3C903041" w14:textId="77777777" w:rsidR="00DA6948" w:rsidRPr="00DA6948" w:rsidRDefault="00DA6948" w:rsidP="00DA6948">
            <w:pPr>
              <w:jc w:val="right"/>
              <w:rPr>
                <w:rFonts w:cs="Calibri"/>
                <w:color w:val="000000"/>
                <w:sz w:val="20"/>
                <w:szCs w:val="20"/>
              </w:rPr>
            </w:pPr>
            <w:r w:rsidRPr="00DA6948">
              <w:rPr>
                <w:rFonts w:cs="Calibri"/>
                <w:color w:val="000000"/>
                <w:sz w:val="20"/>
                <w:szCs w:val="20"/>
              </w:rPr>
              <w:t>20.1%</w:t>
            </w:r>
          </w:p>
        </w:tc>
        <w:tc>
          <w:tcPr>
            <w:tcW w:w="1063" w:type="dxa"/>
            <w:tcBorders>
              <w:top w:val="nil"/>
              <w:left w:val="nil"/>
              <w:bottom w:val="single" w:sz="4" w:space="0" w:color="auto"/>
              <w:right w:val="single" w:sz="4" w:space="0" w:color="auto"/>
            </w:tcBorders>
            <w:shd w:val="clear" w:color="auto" w:fill="auto"/>
            <w:noWrap/>
            <w:vAlign w:val="bottom"/>
            <w:hideMark/>
          </w:tcPr>
          <w:p w14:paraId="02980C07" w14:textId="77777777" w:rsidR="00DA6948" w:rsidRPr="00DA6948" w:rsidRDefault="00DA6948" w:rsidP="00DA6948">
            <w:pPr>
              <w:jc w:val="right"/>
              <w:rPr>
                <w:rFonts w:cs="Calibri"/>
                <w:color w:val="000000"/>
                <w:sz w:val="20"/>
                <w:szCs w:val="20"/>
              </w:rPr>
            </w:pPr>
            <w:r w:rsidRPr="00DA6948">
              <w:rPr>
                <w:rFonts w:cs="Calibri"/>
                <w:color w:val="000000"/>
                <w:sz w:val="20"/>
                <w:szCs w:val="20"/>
              </w:rPr>
              <w:t>0.8</w:t>
            </w:r>
          </w:p>
        </w:tc>
        <w:tc>
          <w:tcPr>
            <w:tcW w:w="880" w:type="dxa"/>
            <w:tcBorders>
              <w:top w:val="nil"/>
              <w:left w:val="nil"/>
              <w:bottom w:val="single" w:sz="4" w:space="0" w:color="auto"/>
              <w:right w:val="single" w:sz="4" w:space="0" w:color="auto"/>
            </w:tcBorders>
            <w:shd w:val="clear" w:color="auto" w:fill="auto"/>
            <w:noWrap/>
            <w:vAlign w:val="bottom"/>
            <w:hideMark/>
          </w:tcPr>
          <w:p w14:paraId="1E1216ED" w14:textId="77777777" w:rsidR="00DA6948" w:rsidRPr="00DA6948" w:rsidRDefault="00DA6948" w:rsidP="00DA6948">
            <w:pPr>
              <w:jc w:val="right"/>
              <w:rPr>
                <w:rFonts w:cs="Calibri"/>
                <w:color w:val="000000"/>
                <w:sz w:val="20"/>
                <w:szCs w:val="20"/>
              </w:rPr>
            </w:pPr>
            <w:r w:rsidRPr="00DA6948">
              <w:rPr>
                <w:rFonts w:cs="Calibri"/>
                <w:color w:val="000000"/>
                <w:sz w:val="20"/>
                <w:szCs w:val="20"/>
              </w:rPr>
              <w:t>96.5</w:t>
            </w:r>
          </w:p>
        </w:tc>
      </w:tr>
      <w:tr w:rsidR="00DA6948" w:rsidRPr="00DA6948" w14:paraId="6D064EC5"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06C3343E"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09B7DA36" w14:textId="77777777" w:rsidR="00DA6948" w:rsidRPr="00DA6948" w:rsidRDefault="00DA6948" w:rsidP="00DA6948">
            <w:pPr>
              <w:rPr>
                <w:rFonts w:cs="Calibri"/>
                <w:color w:val="000000"/>
                <w:sz w:val="20"/>
                <w:szCs w:val="20"/>
              </w:rPr>
            </w:pPr>
            <w:r w:rsidRPr="00DA6948">
              <w:rPr>
                <w:rFonts w:cs="Calibri"/>
                <w:color w:val="000000"/>
                <w:sz w:val="20"/>
                <w:szCs w:val="20"/>
              </w:rPr>
              <w:t>Stockton</w:t>
            </w:r>
          </w:p>
        </w:tc>
        <w:tc>
          <w:tcPr>
            <w:tcW w:w="906" w:type="dxa"/>
            <w:tcBorders>
              <w:top w:val="nil"/>
              <w:left w:val="nil"/>
              <w:bottom w:val="single" w:sz="4" w:space="0" w:color="auto"/>
              <w:right w:val="single" w:sz="4" w:space="0" w:color="auto"/>
            </w:tcBorders>
            <w:shd w:val="clear" w:color="auto" w:fill="auto"/>
            <w:noWrap/>
            <w:vAlign w:val="bottom"/>
            <w:hideMark/>
          </w:tcPr>
          <w:p w14:paraId="6D3AF91F" w14:textId="77777777" w:rsidR="00DA6948" w:rsidRPr="00DA6948" w:rsidRDefault="00DA6948" w:rsidP="00DA6948">
            <w:pPr>
              <w:jc w:val="right"/>
              <w:rPr>
                <w:rFonts w:cs="Calibri"/>
                <w:color w:val="000000"/>
                <w:sz w:val="20"/>
                <w:szCs w:val="20"/>
              </w:rPr>
            </w:pPr>
            <w:r w:rsidRPr="00DA6948">
              <w:rPr>
                <w:rFonts w:cs="Calibri"/>
                <w:color w:val="000000"/>
                <w:sz w:val="20"/>
                <w:szCs w:val="20"/>
              </w:rPr>
              <w:t>1,823</w:t>
            </w:r>
          </w:p>
        </w:tc>
        <w:tc>
          <w:tcPr>
            <w:tcW w:w="1067" w:type="dxa"/>
            <w:tcBorders>
              <w:top w:val="nil"/>
              <w:left w:val="nil"/>
              <w:bottom w:val="single" w:sz="4" w:space="0" w:color="auto"/>
              <w:right w:val="single" w:sz="4" w:space="0" w:color="auto"/>
            </w:tcBorders>
            <w:shd w:val="clear" w:color="auto" w:fill="auto"/>
            <w:noWrap/>
            <w:vAlign w:val="bottom"/>
            <w:hideMark/>
          </w:tcPr>
          <w:p w14:paraId="0A73FA40" w14:textId="77777777" w:rsidR="00DA6948" w:rsidRPr="00DA6948" w:rsidRDefault="00DA6948" w:rsidP="00DA6948">
            <w:pPr>
              <w:jc w:val="right"/>
              <w:rPr>
                <w:rFonts w:cs="Calibri"/>
                <w:color w:val="000000"/>
                <w:sz w:val="20"/>
                <w:szCs w:val="20"/>
              </w:rPr>
            </w:pPr>
            <w:r w:rsidRPr="00DA6948">
              <w:rPr>
                <w:rFonts w:cs="Calibri"/>
                <w:color w:val="000000"/>
                <w:sz w:val="20"/>
                <w:szCs w:val="20"/>
              </w:rPr>
              <w:t>2.38</w:t>
            </w:r>
          </w:p>
        </w:tc>
        <w:tc>
          <w:tcPr>
            <w:tcW w:w="1067" w:type="dxa"/>
            <w:tcBorders>
              <w:top w:val="nil"/>
              <w:left w:val="nil"/>
              <w:bottom w:val="single" w:sz="4" w:space="0" w:color="auto"/>
              <w:right w:val="single" w:sz="4" w:space="0" w:color="auto"/>
            </w:tcBorders>
            <w:shd w:val="clear" w:color="auto" w:fill="auto"/>
            <w:noWrap/>
            <w:vAlign w:val="bottom"/>
            <w:hideMark/>
          </w:tcPr>
          <w:p w14:paraId="1E541097" w14:textId="77777777" w:rsidR="00DA6948" w:rsidRPr="00DA6948" w:rsidRDefault="00DA6948" w:rsidP="00DA6948">
            <w:pPr>
              <w:jc w:val="right"/>
              <w:rPr>
                <w:rFonts w:cs="Calibri"/>
                <w:color w:val="000000"/>
                <w:sz w:val="20"/>
                <w:szCs w:val="20"/>
              </w:rPr>
            </w:pPr>
            <w:r w:rsidRPr="00DA6948">
              <w:rPr>
                <w:rFonts w:cs="Calibri"/>
                <w:color w:val="000000"/>
                <w:sz w:val="20"/>
                <w:szCs w:val="20"/>
              </w:rPr>
              <w:t>0.48</w:t>
            </w:r>
          </w:p>
        </w:tc>
        <w:tc>
          <w:tcPr>
            <w:tcW w:w="792" w:type="dxa"/>
            <w:tcBorders>
              <w:top w:val="nil"/>
              <w:left w:val="nil"/>
              <w:bottom w:val="single" w:sz="4" w:space="0" w:color="auto"/>
              <w:right w:val="single" w:sz="4" w:space="0" w:color="auto"/>
            </w:tcBorders>
            <w:shd w:val="clear" w:color="auto" w:fill="auto"/>
            <w:noWrap/>
            <w:vAlign w:val="bottom"/>
            <w:hideMark/>
          </w:tcPr>
          <w:p w14:paraId="1A0D3232" w14:textId="77777777" w:rsidR="00DA6948" w:rsidRPr="00DA6948" w:rsidRDefault="00DA6948" w:rsidP="00DA6948">
            <w:pPr>
              <w:jc w:val="right"/>
              <w:rPr>
                <w:rFonts w:cs="Calibri"/>
                <w:color w:val="000000"/>
                <w:sz w:val="20"/>
                <w:szCs w:val="20"/>
              </w:rPr>
            </w:pPr>
            <w:r w:rsidRPr="00DA6948">
              <w:rPr>
                <w:rFonts w:cs="Calibri"/>
                <w:color w:val="000000"/>
                <w:sz w:val="20"/>
                <w:szCs w:val="20"/>
              </w:rPr>
              <w:t>20.3%</w:t>
            </w:r>
          </w:p>
        </w:tc>
        <w:tc>
          <w:tcPr>
            <w:tcW w:w="1063" w:type="dxa"/>
            <w:tcBorders>
              <w:top w:val="nil"/>
              <w:left w:val="nil"/>
              <w:bottom w:val="single" w:sz="4" w:space="0" w:color="auto"/>
              <w:right w:val="single" w:sz="4" w:space="0" w:color="auto"/>
            </w:tcBorders>
            <w:shd w:val="clear" w:color="auto" w:fill="auto"/>
            <w:noWrap/>
            <w:vAlign w:val="bottom"/>
            <w:hideMark/>
          </w:tcPr>
          <w:p w14:paraId="074B6AA1" w14:textId="77777777" w:rsidR="00DA6948" w:rsidRPr="00DA6948" w:rsidRDefault="00DA6948" w:rsidP="00DA6948">
            <w:pPr>
              <w:jc w:val="right"/>
              <w:rPr>
                <w:rFonts w:cs="Calibri"/>
                <w:color w:val="000000"/>
                <w:sz w:val="20"/>
                <w:szCs w:val="20"/>
              </w:rPr>
            </w:pPr>
            <w:r w:rsidRPr="00DA6948">
              <w:rPr>
                <w:rFonts w:cs="Calibri"/>
                <w:color w:val="000000"/>
                <w:sz w:val="20"/>
                <w:szCs w:val="20"/>
              </w:rPr>
              <w:t>0.9</w:t>
            </w:r>
          </w:p>
        </w:tc>
        <w:tc>
          <w:tcPr>
            <w:tcW w:w="880" w:type="dxa"/>
            <w:tcBorders>
              <w:top w:val="nil"/>
              <w:left w:val="nil"/>
              <w:bottom w:val="single" w:sz="4" w:space="0" w:color="auto"/>
              <w:right w:val="single" w:sz="4" w:space="0" w:color="auto"/>
            </w:tcBorders>
            <w:shd w:val="clear" w:color="auto" w:fill="auto"/>
            <w:noWrap/>
            <w:vAlign w:val="bottom"/>
            <w:hideMark/>
          </w:tcPr>
          <w:p w14:paraId="73465A62" w14:textId="77777777" w:rsidR="00DA6948" w:rsidRPr="00DA6948" w:rsidRDefault="00DA6948" w:rsidP="00DA6948">
            <w:pPr>
              <w:jc w:val="right"/>
              <w:rPr>
                <w:rFonts w:cs="Calibri"/>
                <w:color w:val="000000"/>
                <w:sz w:val="20"/>
                <w:szCs w:val="20"/>
              </w:rPr>
            </w:pPr>
            <w:r w:rsidRPr="00DA6948">
              <w:rPr>
                <w:rFonts w:cs="Calibri"/>
                <w:color w:val="000000"/>
                <w:sz w:val="20"/>
                <w:szCs w:val="20"/>
              </w:rPr>
              <w:t>93.9</w:t>
            </w:r>
          </w:p>
        </w:tc>
      </w:tr>
      <w:tr w:rsidR="00DA6948" w:rsidRPr="00DA6948" w14:paraId="2E7114D0" w14:textId="77777777" w:rsidTr="00DA6948">
        <w:trPr>
          <w:trHeight w:val="300"/>
          <w:jc w:val="center"/>
        </w:trPr>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08CE6F" w14:textId="5B903004" w:rsidR="00DA6948" w:rsidRPr="00DA6948" w:rsidRDefault="00546AFB" w:rsidP="00DA6948">
            <w:pPr>
              <w:jc w:val="center"/>
              <w:rPr>
                <w:rFonts w:cs="Calibri"/>
                <w:color w:val="000000"/>
                <w:sz w:val="20"/>
                <w:szCs w:val="20"/>
              </w:rPr>
            </w:pPr>
            <w:r>
              <w:rPr>
                <w:rFonts w:cs="Calibri"/>
                <w:color w:val="000000"/>
                <w:sz w:val="20"/>
                <w:szCs w:val="20"/>
              </w:rPr>
              <w:t>SmartAC™</w:t>
            </w:r>
            <w:r w:rsidR="00DA6948" w:rsidRPr="00DA6948">
              <w:rPr>
                <w:rFonts w:cs="Calibri"/>
                <w:color w:val="000000"/>
                <w:sz w:val="20"/>
                <w:szCs w:val="20"/>
              </w:rPr>
              <w:t xml:space="preserve"> Only</w:t>
            </w:r>
          </w:p>
        </w:tc>
        <w:tc>
          <w:tcPr>
            <w:tcW w:w="1620" w:type="dxa"/>
            <w:tcBorders>
              <w:top w:val="nil"/>
              <w:left w:val="nil"/>
              <w:bottom w:val="single" w:sz="4" w:space="0" w:color="auto"/>
              <w:right w:val="single" w:sz="4" w:space="0" w:color="auto"/>
            </w:tcBorders>
            <w:shd w:val="clear" w:color="auto" w:fill="auto"/>
            <w:noWrap/>
            <w:vAlign w:val="bottom"/>
            <w:hideMark/>
          </w:tcPr>
          <w:p w14:paraId="3AE43D55" w14:textId="77777777" w:rsidR="00DA6948" w:rsidRPr="00DA6948" w:rsidRDefault="00DA6948" w:rsidP="00DA6948">
            <w:pPr>
              <w:rPr>
                <w:rFonts w:cs="Calibri"/>
                <w:color w:val="000000"/>
                <w:sz w:val="20"/>
                <w:szCs w:val="20"/>
              </w:rPr>
            </w:pPr>
            <w:r w:rsidRPr="00DA6948">
              <w:rPr>
                <w:rFonts w:cs="Calibri"/>
                <w:color w:val="000000"/>
                <w:sz w:val="20"/>
                <w:szCs w:val="20"/>
              </w:rPr>
              <w:t>Greater Bay Area</w:t>
            </w:r>
          </w:p>
        </w:tc>
        <w:tc>
          <w:tcPr>
            <w:tcW w:w="906" w:type="dxa"/>
            <w:tcBorders>
              <w:top w:val="nil"/>
              <w:left w:val="nil"/>
              <w:bottom w:val="single" w:sz="4" w:space="0" w:color="auto"/>
              <w:right w:val="single" w:sz="4" w:space="0" w:color="auto"/>
            </w:tcBorders>
            <w:shd w:val="clear" w:color="auto" w:fill="auto"/>
            <w:noWrap/>
            <w:vAlign w:val="bottom"/>
            <w:hideMark/>
          </w:tcPr>
          <w:p w14:paraId="6111CAE1" w14:textId="77777777" w:rsidR="00DA6948" w:rsidRPr="00DA6948" w:rsidRDefault="00DA6948" w:rsidP="00DA6948">
            <w:pPr>
              <w:jc w:val="right"/>
              <w:rPr>
                <w:rFonts w:cs="Calibri"/>
                <w:color w:val="000000"/>
                <w:sz w:val="20"/>
                <w:szCs w:val="20"/>
              </w:rPr>
            </w:pPr>
            <w:r w:rsidRPr="00DA6948">
              <w:rPr>
                <w:rFonts w:cs="Calibri"/>
                <w:color w:val="000000"/>
                <w:sz w:val="20"/>
                <w:szCs w:val="20"/>
              </w:rPr>
              <w:t>29,583</w:t>
            </w:r>
          </w:p>
        </w:tc>
        <w:tc>
          <w:tcPr>
            <w:tcW w:w="1067" w:type="dxa"/>
            <w:tcBorders>
              <w:top w:val="nil"/>
              <w:left w:val="nil"/>
              <w:bottom w:val="single" w:sz="4" w:space="0" w:color="auto"/>
              <w:right w:val="single" w:sz="4" w:space="0" w:color="auto"/>
            </w:tcBorders>
            <w:shd w:val="clear" w:color="auto" w:fill="auto"/>
            <w:noWrap/>
            <w:vAlign w:val="bottom"/>
            <w:hideMark/>
          </w:tcPr>
          <w:p w14:paraId="02A11440" w14:textId="77777777" w:rsidR="00DA6948" w:rsidRPr="00DA6948" w:rsidRDefault="00DA6948" w:rsidP="00DA6948">
            <w:pPr>
              <w:jc w:val="right"/>
              <w:rPr>
                <w:rFonts w:cs="Calibri"/>
                <w:color w:val="000000"/>
                <w:sz w:val="20"/>
                <w:szCs w:val="20"/>
              </w:rPr>
            </w:pPr>
            <w:r w:rsidRPr="00DA6948">
              <w:rPr>
                <w:rFonts w:cs="Calibri"/>
                <w:color w:val="000000"/>
                <w:sz w:val="20"/>
                <w:szCs w:val="20"/>
              </w:rPr>
              <w:t>1.70</w:t>
            </w:r>
          </w:p>
        </w:tc>
        <w:tc>
          <w:tcPr>
            <w:tcW w:w="1067" w:type="dxa"/>
            <w:tcBorders>
              <w:top w:val="nil"/>
              <w:left w:val="nil"/>
              <w:bottom w:val="single" w:sz="4" w:space="0" w:color="auto"/>
              <w:right w:val="single" w:sz="4" w:space="0" w:color="auto"/>
            </w:tcBorders>
            <w:shd w:val="clear" w:color="auto" w:fill="auto"/>
            <w:noWrap/>
            <w:vAlign w:val="bottom"/>
            <w:hideMark/>
          </w:tcPr>
          <w:p w14:paraId="78928E0C" w14:textId="77777777" w:rsidR="00DA6948" w:rsidRPr="00DA6948" w:rsidRDefault="00DA6948" w:rsidP="00DA6948">
            <w:pPr>
              <w:jc w:val="right"/>
              <w:rPr>
                <w:rFonts w:cs="Calibri"/>
                <w:color w:val="000000"/>
                <w:sz w:val="20"/>
                <w:szCs w:val="20"/>
              </w:rPr>
            </w:pPr>
            <w:r w:rsidRPr="00DA6948">
              <w:rPr>
                <w:rFonts w:cs="Calibri"/>
                <w:color w:val="000000"/>
                <w:sz w:val="20"/>
                <w:szCs w:val="20"/>
              </w:rPr>
              <w:t>0.51</w:t>
            </w:r>
          </w:p>
        </w:tc>
        <w:tc>
          <w:tcPr>
            <w:tcW w:w="792" w:type="dxa"/>
            <w:tcBorders>
              <w:top w:val="nil"/>
              <w:left w:val="nil"/>
              <w:bottom w:val="single" w:sz="4" w:space="0" w:color="auto"/>
              <w:right w:val="single" w:sz="4" w:space="0" w:color="auto"/>
            </w:tcBorders>
            <w:shd w:val="clear" w:color="auto" w:fill="auto"/>
            <w:noWrap/>
            <w:vAlign w:val="bottom"/>
            <w:hideMark/>
          </w:tcPr>
          <w:p w14:paraId="29606869" w14:textId="77777777" w:rsidR="00DA6948" w:rsidRPr="00DA6948" w:rsidRDefault="00DA6948" w:rsidP="00DA6948">
            <w:pPr>
              <w:jc w:val="right"/>
              <w:rPr>
                <w:rFonts w:cs="Calibri"/>
                <w:color w:val="000000"/>
                <w:sz w:val="20"/>
                <w:szCs w:val="20"/>
              </w:rPr>
            </w:pPr>
            <w:r w:rsidRPr="00DA6948">
              <w:rPr>
                <w:rFonts w:cs="Calibri"/>
                <w:color w:val="000000"/>
                <w:sz w:val="20"/>
                <w:szCs w:val="20"/>
              </w:rPr>
              <w:t>30.0%</w:t>
            </w:r>
          </w:p>
        </w:tc>
        <w:tc>
          <w:tcPr>
            <w:tcW w:w="1063" w:type="dxa"/>
            <w:tcBorders>
              <w:top w:val="nil"/>
              <w:left w:val="nil"/>
              <w:bottom w:val="single" w:sz="4" w:space="0" w:color="auto"/>
              <w:right w:val="single" w:sz="4" w:space="0" w:color="auto"/>
            </w:tcBorders>
            <w:shd w:val="clear" w:color="auto" w:fill="auto"/>
            <w:noWrap/>
            <w:vAlign w:val="bottom"/>
            <w:hideMark/>
          </w:tcPr>
          <w:p w14:paraId="72924CE6" w14:textId="77777777" w:rsidR="00DA6948" w:rsidRPr="00DA6948" w:rsidRDefault="00DA6948" w:rsidP="00DA6948">
            <w:pPr>
              <w:jc w:val="right"/>
              <w:rPr>
                <w:rFonts w:cs="Calibri"/>
                <w:color w:val="000000"/>
                <w:sz w:val="20"/>
                <w:szCs w:val="20"/>
              </w:rPr>
            </w:pPr>
            <w:r w:rsidRPr="00DA6948">
              <w:rPr>
                <w:rFonts w:cs="Calibri"/>
                <w:color w:val="000000"/>
                <w:sz w:val="20"/>
                <w:szCs w:val="20"/>
              </w:rPr>
              <w:t>15.1</w:t>
            </w:r>
          </w:p>
        </w:tc>
        <w:tc>
          <w:tcPr>
            <w:tcW w:w="880" w:type="dxa"/>
            <w:tcBorders>
              <w:top w:val="nil"/>
              <w:left w:val="nil"/>
              <w:bottom w:val="single" w:sz="4" w:space="0" w:color="auto"/>
              <w:right w:val="single" w:sz="4" w:space="0" w:color="auto"/>
            </w:tcBorders>
            <w:shd w:val="clear" w:color="auto" w:fill="auto"/>
            <w:noWrap/>
            <w:vAlign w:val="bottom"/>
            <w:hideMark/>
          </w:tcPr>
          <w:p w14:paraId="719CFBB4" w14:textId="77777777" w:rsidR="00DA6948" w:rsidRPr="00DA6948" w:rsidRDefault="00DA6948" w:rsidP="00DA6948">
            <w:pPr>
              <w:jc w:val="right"/>
              <w:rPr>
                <w:rFonts w:cs="Calibri"/>
                <w:color w:val="000000"/>
                <w:sz w:val="20"/>
                <w:szCs w:val="20"/>
              </w:rPr>
            </w:pPr>
            <w:r w:rsidRPr="00DA6948">
              <w:rPr>
                <w:rFonts w:cs="Calibri"/>
                <w:color w:val="000000"/>
                <w:sz w:val="20"/>
                <w:szCs w:val="20"/>
              </w:rPr>
              <w:t>96.4</w:t>
            </w:r>
          </w:p>
        </w:tc>
      </w:tr>
      <w:tr w:rsidR="00DA6948" w:rsidRPr="00DA6948" w14:paraId="3525E77B"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4338431C"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607350F4" w14:textId="77777777" w:rsidR="00DA6948" w:rsidRPr="00DA6948" w:rsidRDefault="00DA6948" w:rsidP="00DA6948">
            <w:pPr>
              <w:rPr>
                <w:rFonts w:cs="Calibri"/>
                <w:color w:val="000000"/>
                <w:sz w:val="20"/>
                <w:szCs w:val="20"/>
              </w:rPr>
            </w:pPr>
            <w:r w:rsidRPr="00DA6948">
              <w:rPr>
                <w:rFonts w:cs="Calibri"/>
                <w:color w:val="000000"/>
                <w:sz w:val="20"/>
                <w:szCs w:val="20"/>
              </w:rPr>
              <w:t>Greater Fresno</w:t>
            </w:r>
          </w:p>
        </w:tc>
        <w:tc>
          <w:tcPr>
            <w:tcW w:w="906" w:type="dxa"/>
            <w:tcBorders>
              <w:top w:val="nil"/>
              <w:left w:val="nil"/>
              <w:bottom w:val="single" w:sz="4" w:space="0" w:color="auto"/>
              <w:right w:val="single" w:sz="4" w:space="0" w:color="auto"/>
            </w:tcBorders>
            <w:shd w:val="clear" w:color="auto" w:fill="auto"/>
            <w:noWrap/>
            <w:vAlign w:val="bottom"/>
            <w:hideMark/>
          </w:tcPr>
          <w:p w14:paraId="42F57AEE" w14:textId="77777777" w:rsidR="00DA6948" w:rsidRPr="00DA6948" w:rsidRDefault="00DA6948" w:rsidP="00DA6948">
            <w:pPr>
              <w:jc w:val="right"/>
              <w:rPr>
                <w:rFonts w:cs="Calibri"/>
                <w:color w:val="000000"/>
                <w:sz w:val="20"/>
                <w:szCs w:val="20"/>
              </w:rPr>
            </w:pPr>
            <w:r w:rsidRPr="00DA6948">
              <w:rPr>
                <w:rFonts w:cs="Calibri"/>
                <w:color w:val="000000"/>
                <w:sz w:val="20"/>
                <w:szCs w:val="20"/>
              </w:rPr>
              <w:t>15,455</w:t>
            </w:r>
          </w:p>
        </w:tc>
        <w:tc>
          <w:tcPr>
            <w:tcW w:w="1067" w:type="dxa"/>
            <w:tcBorders>
              <w:top w:val="nil"/>
              <w:left w:val="nil"/>
              <w:bottom w:val="single" w:sz="4" w:space="0" w:color="auto"/>
              <w:right w:val="single" w:sz="4" w:space="0" w:color="auto"/>
            </w:tcBorders>
            <w:shd w:val="clear" w:color="auto" w:fill="auto"/>
            <w:noWrap/>
            <w:vAlign w:val="bottom"/>
            <w:hideMark/>
          </w:tcPr>
          <w:p w14:paraId="5E79D194" w14:textId="77777777" w:rsidR="00DA6948" w:rsidRPr="00DA6948" w:rsidRDefault="00DA6948" w:rsidP="00DA6948">
            <w:pPr>
              <w:jc w:val="right"/>
              <w:rPr>
                <w:rFonts w:cs="Calibri"/>
                <w:color w:val="000000"/>
                <w:sz w:val="20"/>
                <w:szCs w:val="20"/>
              </w:rPr>
            </w:pPr>
            <w:r w:rsidRPr="00DA6948">
              <w:rPr>
                <w:rFonts w:cs="Calibri"/>
                <w:color w:val="000000"/>
                <w:sz w:val="20"/>
                <w:szCs w:val="20"/>
              </w:rPr>
              <w:t>2.68</w:t>
            </w:r>
          </w:p>
        </w:tc>
        <w:tc>
          <w:tcPr>
            <w:tcW w:w="1067" w:type="dxa"/>
            <w:tcBorders>
              <w:top w:val="nil"/>
              <w:left w:val="nil"/>
              <w:bottom w:val="single" w:sz="4" w:space="0" w:color="auto"/>
              <w:right w:val="single" w:sz="4" w:space="0" w:color="auto"/>
            </w:tcBorders>
            <w:shd w:val="clear" w:color="auto" w:fill="auto"/>
            <w:noWrap/>
            <w:vAlign w:val="bottom"/>
            <w:hideMark/>
          </w:tcPr>
          <w:p w14:paraId="026A01CC" w14:textId="77777777" w:rsidR="00DA6948" w:rsidRPr="00DA6948" w:rsidRDefault="00DA6948" w:rsidP="00DA6948">
            <w:pPr>
              <w:jc w:val="right"/>
              <w:rPr>
                <w:rFonts w:cs="Calibri"/>
                <w:color w:val="000000"/>
                <w:sz w:val="20"/>
                <w:szCs w:val="20"/>
              </w:rPr>
            </w:pPr>
            <w:r w:rsidRPr="00DA6948">
              <w:rPr>
                <w:rFonts w:cs="Calibri"/>
                <w:color w:val="000000"/>
                <w:sz w:val="20"/>
                <w:szCs w:val="20"/>
              </w:rPr>
              <w:t>0.51</w:t>
            </w:r>
          </w:p>
        </w:tc>
        <w:tc>
          <w:tcPr>
            <w:tcW w:w="792" w:type="dxa"/>
            <w:tcBorders>
              <w:top w:val="nil"/>
              <w:left w:val="nil"/>
              <w:bottom w:val="single" w:sz="4" w:space="0" w:color="auto"/>
              <w:right w:val="single" w:sz="4" w:space="0" w:color="auto"/>
            </w:tcBorders>
            <w:shd w:val="clear" w:color="auto" w:fill="auto"/>
            <w:noWrap/>
            <w:vAlign w:val="bottom"/>
            <w:hideMark/>
          </w:tcPr>
          <w:p w14:paraId="37D39938" w14:textId="77777777" w:rsidR="00DA6948" w:rsidRPr="00DA6948" w:rsidRDefault="00DA6948" w:rsidP="00DA6948">
            <w:pPr>
              <w:jc w:val="right"/>
              <w:rPr>
                <w:rFonts w:cs="Calibri"/>
                <w:color w:val="000000"/>
                <w:sz w:val="20"/>
                <w:szCs w:val="20"/>
              </w:rPr>
            </w:pPr>
            <w:r w:rsidRPr="00DA6948">
              <w:rPr>
                <w:rFonts w:cs="Calibri"/>
                <w:color w:val="000000"/>
                <w:sz w:val="20"/>
                <w:szCs w:val="20"/>
              </w:rPr>
              <w:t>19.0%</w:t>
            </w:r>
          </w:p>
        </w:tc>
        <w:tc>
          <w:tcPr>
            <w:tcW w:w="1063" w:type="dxa"/>
            <w:tcBorders>
              <w:top w:val="nil"/>
              <w:left w:val="nil"/>
              <w:bottom w:val="single" w:sz="4" w:space="0" w:color="auto"/>
              <w:right w:val="single" w:sz="4" w:space="0" w:color="auto"/>
            </w:tcBorders>
            <w:shd w:val="clear" w:color="auto" w:fill="auto"/>
            <w:noWrap/>
            <w:vAlign w:val="bottom"/>
            <w:hideMark/>
          </w:tcPr>
          <w:p w14:paraId="4BA9D655" w14:textId="77777777" w:rsidR="00DA6948" w:rsidRPr="00DA6948" w:rsidRDefault="00DA6948" w:rsidP="00DA6948">
            <w:pPr>
              <w:jc w:val="right"/>
              <w:rPr>
                <w:rFonts w:cs="Calibri"/>
                <w:color w:val="000000"/>
                <w:sz w:val="20"/>
                <w:szCs w:val="20"/>
              </w:rPr>
            </w:pPr>
            <w:r w:rsidRPr="00DA6948">
              <w:rPr>
                <w:rFonts w:cs="Calibri"/>
                <w:color w:val="000000"/>
                <w:sz w:val="20"/>
                <w:szCs w:val="20"/>
              </w:rPr>
              <w:t>7.9</w:t>
            </w:r>
          </w:p>
        </w:tc>
        <w:tc>
          <w:tcPr>
            <w:tcW w:w="880" w:type="dxa"/>
            <w:tcBorders>
              <w:top w:val="nil"/>
              <w:left w:val="nil"/>
              <w:bottom w:val="single" w:sz="4" w:space="0" w:color="auto"/>
              <w:right w:val="single" w:sz="4" w:space="0" w:color="auto"/>
            </w:tcBorders>
            <w:shd w:val="clear" w:color="auto" w:fill="auto"/>
            <w:noWrap/>
            <w:vAlign w:val="bottom"/>
            <w:hideMark/>
          </w:tcPr>
          <w:p w14:paraId="4D905551" w14:textId="77777777" w:rsidR="00DA6948" w:rsidRPr="00DA6948" w:rsidRDefault="00DA6948" w:rsidP="00DA6948">
            <w:pPr>
              <w:jc w:val="right"/>
              <w:rPr>
                <w:rFonts w:cs="Calibri"/>
                <w:color w:val="000000"/>
                <w:sz w:val="20"/>
                <w:szCs w:val="20"/>
              </w:rPr>
            </w:pPr>
            <w:r w:rsidRPr="00DA6948">
              <w:rPr>
                <w:rFonts w:cs="Calibri"/>
                <w:color w:val="000000"/>
                <w:sz w:val="20"/>
                <w:szCs w:val="20"/>
              </w:rPr>
              <w:t>88.4</w:t>
            </w:r>
          </w:p>
        </w:tc>
      </w:tr>
      <w:tr w:rsidR="00DA6948" w:rsidRPr="00DA6948" w14:paraId="25ECDCBF"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0A2E3879"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2A3924D1" w14:textId="77777777" w:rsidR="00DA6948" w:rsidRPr="00DA6948" w:rsidRDefault="00DA6948" w:rsidP="00DA6948">
            <w:pPr>
              <w:rPr>
                <w:rFonts w:cs="Calibri"/>
                <w:color w:val="000000"/>
                <w:sz w:val="20"/>
                <w:szCs w:val="20"/>
              </w:rPr>
            </w:pPr>
            <w:r w:rsidRPr="00DA6948">
              <w:rPr>
                <w:rFonts w:cs="Calibri"/>
                <w:color w:val="000000"/>
                <w:sz w:val="20"/>
                <w:szCs w:val="20"/>
              </w:rPr>
              <w:t>Humboldt</w:t>
            </w:r>
          </w:p>
        </w:tc>
        <w:tc>
          <w:tcPr>
            <w:tcW w:w="906" w:type="dxa"/>
            <w:tcBorders>
              <w:top w:val="nil"/>
              <w:left w:val="nil"/>
              <w:bottom w:val="single" w:sz="4" w:space="0" w:color="auto"/>
              <w:right w:val="single" w:sz="4" w:space="0" w:color="auto"/>
            </w:tcBorders>
            <w:shd w:val="clear" w:color="auto" w:fill="auto"/>
            <w:noWrap/>
            <w:vAlign w:val="bottom"/>
            <w:hideMark/>
          </w:tcPr>
          <w:p w14:paraId="6D463BDE" w14:textId="77777777" w:rsidR="00DA6948" w:rsidRPr="00DA6948" w:rsidRDefault="00DA6948" w:rsidP="00DA6948">
            <w:pPr>
              <w:jc w:val="right"/>
              <w:rPr>
                <w:rFonts w:cs="Calibri"/>
                <w:color w:val="000000"/>
                <w:sz w:val="20"/>
                <w:szCs w:val="20"/>
              </w:rPr>
            </w:pPr>
            <w:r w:rsidRPr="00DA6948">
              <w:rPr>
                <w:rFonts w:cs="Calibri"/>
                <w:color w:val="000000"/>
                <w:sz w:val="20"/>
                <w:szCs w:val="20"/>
              </w:rPr>
              <w:t>2</w:t>
            </w:r>
          </w:p>
        </w:tc>
        <w:tc>
          <w:tcPr>
            <w:tcW w:w="1067" w:type="dxa"/>
            <w:tcBorders>
              <w:top w:val="nil"/>
              <w:left w:val="nil"/>
              <w:bottom w:val="single" w:sz="4" w:space="0" w:color="auto"/>
              <w:right w:val="single" w:sz="4" w:space="0" w:color="auto"/>
            </w:tcBorders>
            <w:shd w:val="clear" w:color="auto" w:fill="auto"/>
            <w:noWrap/>
            <w:vAlign w:val="bottom"/>
            <w:hideMark/>
          </w:tcPr>
          <w:p w14:paraId="3A739A9A" w14:textId="77777777" w:rsidR="00DA6948" w:rsidRPr="00DA6948" w:rsidRDefault="00DA6948" w:rsidP="00DA6948">
            <w:pPr>
              <w:jc w:val="right"/>
              <w:rPr>
                <w:rFonts w:cs="Calibri"/>
                <w:color w:val="000000"/>
                <w:sz w:val="20"/>
                <w:szCs w:val="20"/>
              </w:rPr>
            </w:pPr>
            <w:r w:rsidRPr="00DA6948">
              <w:rPr>
                <w:rFonts w:cs="Calibri"/>
                <w:color w:val="000000"/>
                <w:sz w:val="20"/>
                <w:szCs w:val="20"/>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7FFECF99" w14:textId="77777777" w:rsidR="00DA6948" w:rsidRPr="00DA6948" w:rsidRDefault="00DA6948" w:rsidP="00DA6948">
            <w:pPr>
              <w:jc w:val="right"/>
              <w:rPr>
                <w:rFonts w:cs="Calibri"/>
                <w:color w:val="000000"/>
                <w:sz w:val="20"/>
                <w:szCs w:val="20"/>
              </w:rPr>
            </w:pPr>
            <w:r w:rsidRPr="00DA6948">
              <w:rPr>
                <w:rFonts w:cs="Calibri"/>
                <w:color w:val="000000"/>
                <w:sz w:val="20"/>
                <w:szCs w:val="20"/>
              </w:rPr>
              <w:t>0.50</w:t>
            </w:r>
          </w:p>
        </w:tc>
        <w:tc>
          <w:tcPr>
            <w:tcW w:w="792" w:type="dxa"/>
            <w:tcBorders>
              <w:top w:val="nil"/>
              <w:left w:val="nil"/>
              <w:bottom w:val="single" w:sz="4" w:space="0" w:color="auto"/>
              <w:right w:val="single" w:sz="4" w:space="0" w:color="auto"/>
            </w:tcBorders>
            <w:shd w:val="clear" w:color="auto" w:fill="auto"/>
            <w:noWrap/>
            <w:vAlign w:val="bottom"/>
            <w:hideMark/>
          </w:tcPr>
          <w:p w14:paraId="6D6F0FA0" w14:textId="77777777" w:rsidR="00DA6948" w:rsidRPr="00DA6948" w:rsidRDefault="00DA6948" w:rsidP="00DA6948">
            <w:pPr>
              <w:jc w:val="right"/>
              <w:rPr>
                <w:rFonts w:cs="Calibri"/>
                <w:color w:val="000000"/>
                <w:sz w:val="20"/>
                <w:szCs w:val="20"/>
              </w:rPr>
            </w:pPr>
            <w:r w:rsidRPr="00DA6948">
              <w:rPr>
                <w:rFonts w:cs="Calibri"/>
                <w:color w:val="000000"/>
                <w:sz w:val="20"/>
                <w:szCs w:val="20"/>
              </w:rPr>
              <w:t>30.9%</w:t>
            </w:r>
          </w:p>
        </w:tc>
        <w:tc>
          <w:tcPr>
            <w:tcW w:w="1063" w:type="dxa"/>
            <w:tcBorders>
              <w:top w:val="nil"/>
              <w:left w:val="nil"/>
              <w:bottom w:val="single" w:sz="4" w:space="0" w:color="auto"/>
              <w:right w:val="single" w:sz="4" w:space="0" w:color="auto"/>
            </w:tcBorders>
            <w:shd w:val="clear" w:color="auto" w:fill="auto"/>
            <w:noWrap/>
            <w:vAlign w:val="bottom"/>
            <w:hideMark/>
          </w:tcPr>
          <w:p w14:paraId="58B74E75" w14:textId="77777777" w:rsidR="00DA6948" w:rsidRPr="00DA6948" w:rsidRDefault="00DA6948" w:rsidP="00DA6948">
            <w:pPr>
              <w:jc w:val="right"/>
              <w:rPr>
                <w:rFonts w:cs="Calibri"/>
                <w:color w:val="000000"/>
                <w:sz w:val="20"/>
                <w:szCs w:val="20"/>
              </w:rPr>
            </w:pPr>
            <w:r w:rsidRPr="00DA6948">
              <w:rPr>
                <w:rFonts w:cs="Calibri"/>
                <w:color w:val="000000"/>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14:paraId="0B49B68C" w14:textId="77777777" w:rsidR="00DA6948" w:rsidRPr="00DA6948" w:rsidRDefault="00DA6948" w:rsidP="00DA6948">
            <w:pPr>
              <w:jc w:val="right"/>
              <w:rPr>
                <w:rFonts w:cs="Calibri"/>
                <w:color w:val="000000"/>
                <w:sz w:val="20"/>
                <w:szCs w:val="20"/>
              </w:rPr>
            </w:pPr>
            <w:r w:rsidRPr="00DA6948">
              <w:rPr>
                <w:rFonts w:cs="Calibri"/>
                <w:color w:val="000000"/>
                <w:sz w:val="20"/>
                <w:szCs w:val="20"/>
              </w:rPr>
              <w:t>101.2</w:t>
            </w:r>
          </w:p>
        </w:tc>
      </w:tr>
      <w:tr w:rsidR="00DA6948" w:rsidRPr="00DA6948" w14:paraId="274B16C9"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0ADD5498"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68031073" w14:textId="77777777" w:rsidR="00DA6948" w:rsidRPr="00DA6948" w:rsidRDefault="00DA6948" w:rsidP="00DA6948">
            <w:pPr>
              <w:rPr>
                <w:rFonts w:cs="Calibri"/>
                <w:color w:val="000000"/>
                <w:sz w:val="20"/>
                <w:szCs w:val="20"/>
              </w:rPr>
            </w:pPr>
            <w:r w:rsidRPr="00DA6948">
              <w:rPr>
                <w:rFonts w:cs="Calibri"/>
                <w:color w:val="000000"/>
                <w:sz w:val="20"/>
                <w:szCs w:val="20"/>
              </w:rPr>
              <w:t>Kern</w:t>
            </w:r>
          </w:p>
        </w:tc>
        <w:tc>
          <w:tcPr>
            <w:tcW w:w="906" w:type="dxa"/>
            <w:tcBorders>
              <w:top w:val="nil"/>
              <w:left w:val="nil"/>
              <w:bottom w:val="single" w:sz="4" w:space="0" w:color="auto"/>
              <w:right w:val="single" w:sz="4" w:space="0" w:color="auto"/>
            </w:tcBorders>
            <w:shd w:val="clear" w:color="auto" w:fill="auto"/>
            <w:noWrap/>
            <w:vAlign w:val="bottom"/>
            <w:hideMark/>
          </w:tcPr>
          <w:p w14:paraId="589B05AF" w14:textId="77777777" w:rsidR="00DA6948" w:rsidRPr="00DA6948" w:rsidRDefault="00DA6948" w:rsidP="00DA6948">
            <w:pPr>
              <w:jc w:val="right"/>
              <w:rPr>
                <w:rFonts w:cs="Calibri"/>
                <w:color w:val="000000"/>
                <w:sz w:val="20"/>
                <w:szCs w:val="20"/>
              </w:rPr>
            </w:pPr>
            <w:r w:rsidRPr="00DA6948">
              <w:rPr>
                <w:rFonts w:cs="Calibri"/>
                <w:color w:val="000000"/>
                <w:sz w:val="20"/>
                <w:szCs w:val="20"/>
              </w:rPr>
              <w:t>4,525</w:t>
            </w:r>
          </w:p>
        </w:tc>
        <w:tc>
          <w:tcPr>
            <w:tcW w:w="1067" w:type="dxa"/>
            <w:tcBorders>
              <w:top w:val="nil"/>
              <w:left w:val="nil"/>
              <w:bottom w:val="single" w:sz="4" w:space="0" w:color="auto"/>
              <w:right w:val="single" w:sz="4" w:space="0" w:color="auto"/>
            </w:tcBorders>
            <w:shd w:val="clear" w:color="auto" w:fill="auto"/>
            <w:noWrap/>
            <w:vAlign w:val="bottom"/>
            <w:hideMark/>
          </w:tcPr>
          <w:p w14:paraId="4E35F8B8" w14:textId="77777777" w:rsidR="00DA6948" w:rsidRPr="00DA6948" w:rsidRDefault="00DA6948" w:rsidP="00DA6948">
            <w:pPr>
              <w:jc w:val="right"/>
              <w:rPr>
                <w:rFonts w:cs="Calibri"/>
                <w:color w:val="000000"/>
                <w:sz w:val="20"/>
                <w:szCs w:val="20"/>
              </w:rPr>
            </w:pPr>
            <w:r w:rsidRPr="00DA6948">
              <w:rPr>
                <w:rFonts w:cs="Calibri"/>
                <w:color w:val="000000"/>
                <w:sz w:val="20"/>
                <w:szCs w:val="20"/>
              </w:rPr>
              <w:t>2.74</w:t>
            </w:r>
          </w:p>
        </w:tc>
        <w:tc>
          <w:tcPr>
            <w:tcW w:w="1067" w:type="dxa"/>
            <w:tcBorders>
              <w:top w:val="nil"/>
              <w:left w:val="nil"/>
              <w:bottom w:val="single" w:sz="4" w:space="0" w:color="auto"/>
              <w:right w:val="single" w:sz="4" w:space="0" w:color="auto"/>
            </w:tcBorders>
            <w:shd w:val="clear" w:color="auto" w:fill="auto"/>
            <w:noWrap/>
            <w:vAlign w:val="bottom"/>
            <w:hideMark/>
          </w:tcPr>
          <w:p w14:paraId="07938523" w14:textId="77777777" w:rsidR="00DA6948" w:rsidRPr="00DA6948" w:rsidRDefault="00DA6948" w:rsidP="00DA6948">
            <w:pPr>
              <w:jc w:val="right"/>
              <w:rPr>
                <w:rFonts w:cs="Calibri"/>
                <w:color w:val="000000"/>
                <w:sz w:val="20"/>
                <w:szCs w:val="20"/>
              </w:rPr>
            </w:pPr>
            <w:r w:rsidRPr="00DA6948">
              <w:rPr>
                <w:rFonts w:cs="Calibri"/>
                <w:color w:val="000000"/>
                <w:sz w:val="20"/>
                <w:szCs w:val="20"/>
              </w:rPr>
              <w:t>0.04</w:t>
            </w:r>
          </w:p>
        </w:tc>
        <w:tc>
          <w:tcPr>
            <w:tcW w:w="792" w:type="dxa"/>
            <w:tcBorders>
              <w:top w:val="nil"/>
              <w:left w:val="nil"/>
              <w:bottom w:val="single" w:sz="4" w:space="0" w:color="auto"/>
              <w:right w:val="single" w:sz="4" w:space="0" w:color="auto"/>
            </w:tcBorders>
            <w:shd w:val="clear" w:color="auto" w:fill="auto"/>
            <w:noWrap/>
            <w:vAlign w:val="bottom"/>
            <w:hideMark/>
          </w:tcPr>
          <w:p w14:paraId="41673E78" w14:textId="77777777" w:rsidR="00DA6948" w:rsidRPr="00DA6948" w:rsidRDefault="00DA6948" w:rsidP="00DA6948">
            <w:pPr>
              <w:jc w:val="right"/>
              <w:rPr>
                <w:rFonts w:cs="Calibri"/>
                <w:color w:val="000000"/>
                <w:sz w:val="20"/>
                <w:szCs w:val="20"/>
              </w:rPr>
            </w:pPr>
            <w:r w:rsidRPr="00DA6948">
              <w:rPr>
                <w:rFonts w:cs="Calibri"/>
                <w:color w:val="000000"/>
                <w:sz w:val="20"/>
                <w:szCs w:val="20"/>
              </w:rPr>
              <w:t>1.3%</w:t>
            </w:r>
          </w:p>
        </w:tc>
        <w:tc>
          <w:tcPr>
            <w:tcW w:w="1063" w:type="dxa"/>
            <w:tcBorders>
              <w:top w:val="nil"/>
              <w:left w:val="nil"/>
              <w:bottom w:val="single" w:sz="4" w:space="0" w:color="auto"/>
              <w:right w:val="single" w:sz="4" w:space="0" w:color="auto"/>
            </w:tcBorders>
            <w:shd w:val="clear" w:color="auto" w:fill="auto"/>
            <w:noWrap/>
            <w:vAlign w:val="bottom"/>
            <w:hideMark/>
          </w:tcPr>
          <w:p w14:paraId="30D4689F" w14:textId="77777777" w:rsidR="00DA6948" w:rsidRPr="00DA6948" w:rsidRDefault="00DA6948" w:rsidP="00DA6948">
            <w:pPr>
              <w:jc w:val="right"/>
              <w:rPr>
                <w:rFonts w:cs="Calibri"/>
                <w:color w:val="000000"/>
                <w:sz w:val="20"/>
                <w:szCs w:val="20"/>
              </w:rPr>
            </w:pPr>
            <w:r w:rsidRPr="00DA6948">
              <w:rPr>
                <w:rFonts w:cs="Calibri"/>
                <w:color w:val="000000"/>
                <w:sz w:val="20"/>
                <w:szCs w:val="20"/>
              </w:rPr>
              <w:t>0.2</w:t>
            </w:r>
          </w:p>
        </w:tc>
        <w:tc>
          <w:tcPr>
            <w:tcW w:w="880" w:type="dxa"/>
            <w:tcBorders>
              <w:top w:val="nil"/>
              <w:left w:val="nil"/>
              <w:bottom w:val="single" w:sz="4" w:space="0" w:color="auto"/>
              <w:right w:val="single" w:sz="4" w:space="0" w:color="auto"/>
            </w:tcBorders>
            <w:shd w:val="clear" w:color="auto" w:fill="auto"/>
            <w:noWrap/>
            <w:vAlign w:val="bottom"/>
            <w:hideMark/>
          </w:tcPr>
          <w:p w14:paraId="5FBE6C3C" w14:textId="77777777" w:rsidR="00DA6948" w:rsidRPr="00DA6948" w:rsidRDefault="00DA6948" w:rsidP="00DA6948">
            <w:pPr>
              <w:jc w:val="right"/>
              <w:rPr>
                <w:rFonts w:cs="Calibri"/>
                <w:color w:val="000000"/>
                <w:sz w:val="20"/>
                <w:szCs w:val="20"/>
              </w:rPr>
            </w:pPr>
            <w:r w:rsidRPr="00DA6948">
              <w:rPr>
                <w:rFonts w:cs="Calibri"/>
                <w:color w:val="000000"/>
                <w:sz w:val="20"/>
                <w:szCs w:val="20"/>
              </w:rPr>
              <w:t>92.2</w:t>
            </w:r>
          </w:p>
        </w:tc>
      </w:tr>
      <w:tr w:rsidR="00DA6948" w:rsidRPr="00DA6948" w14:paraId="1F06A947"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06B5E075"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0A70AE44" w14:textId="77777777" w:rsidR="00DA6948" w:rsidRPr="00DA6948" w:rsidRDefault="00DA6948" w:rsidP="00DA6948">
            <w:pPr>
              <w:rPr>
                <w:rFonts w:cs="Calibri"/>
                <w:color w:val="000000"/>
                <w:sz w:val="20"/>
                <w:szCs w:val="20"/>
              </w:rPr>
            </w:pPr>
            <w:r w:rsidRPr="00DA6948">
              <w:rPr>
                <w:rFonts w:cs="Calibri"/>
                <w:color w:val="000000"/>
                <w:sz w:val="20"/>
                <w:szCs w:val="20"/>
              </w:rPr>
              <w:t>Northern Coast</w:t>
            </w:r>
          </w:p>
        </w:tc>
        <w:tc>
          <w:tcPr>
            <w:tcW w:w="906" w:type="dxa"/>
            <w:tcBorders>
              <w:top w:val="nil"/>
              <w:left w:val="nil"/>
              <w:bottom w:val="single" w:sz="4" w:space="0" w:color="auto"/>
              <w:right w:val="single" w:sz="4" w:space="0" w:color="auto"/>
            </w:tcBorders>
            <w:shd w:val="clear" w:color="auto" w:fill="auto"/>
            <w:noWrap/>
            <w:vAlign w:val="bottom"/>
            <w:hideMark/>
          </w:tcPr>
          <w:p w14:paraId="1FDA1E4D" w14:textId="77777777" w:rsidR="00DA6948" w:rsidRPr="00DA6948" w:rsidRDefault="00DA6948" w:rsidP="00DA6948">
            <w:pPr>
              <w:jc w:val="right"/>
              <w:rPr>
                <w:rFonts w:cs="Calibri"/>
                <w:color w:val="000000"/>
                <w:sz w:val="20"/>
                <w:szCs w:val="20"/>
              </w:rPr>
            </w:pPr>
            <w:r w:rsidRPr="00DA6948">
              <w:rPr>
                <w:rFonts w:cs="Calibri"/>
                <w:color w:val="000000"/>
                <w:sz w:val="20"/>
                <w:szCs w:val="20"/>
              </w:rPr>
              <w:t>3,810</w:t>
            </w:r>
          </w:p>
        </w:tc>
        <w:tc>
          <w:tcPr>
            <w:tcW w:w="1067" w:type="dxa"/>
            <w:tcBorders>
              <w:top w:val="nil"/>
              <w:left w:val="nil"/>
              <w:bottom w:val="single" w:sz="4" w:space="0" w:color="auto"/>
              <w:right w:val="single" w:sz="4" w:space="0" w:color="auto"/>
            </w:tcBorders>
            <w:shd w:val="clear" w:color="auto" w:fill="auto"/>
            <w:noWrap/>
            <w:vAlign w:val="bottom"/>
            <w:hideMark/>
          </w:tcPr>
          <w:p w14:paraId="0DC94146" w14:textId="77777777" w:rsidR="00DA6948" w:rsidRPr="00DA6948" w:rsidRDefault="00DA6948" w:rsidP="00DA6948">
            <w:pPr>
              <w:jc w:val="right"/>
              <w:rPr>
                <w:rFonts w:cs="Calibri"/>
                <w:color w:val="000000"/>
                <w:sz w:val="20"/>
                <w:szCs w:val="20"/>
              </w:rPr>
            </w:pPr>
            <w:r w:rsidRPr="00DA6948">
              <w:rPr>
                <w:rFonts w:cs="Calibri"/>
                <w:color w:val="000000"/>
                <w:sz w:val="20"/>
                <w:szCs w:val="20"/>
              </w:rPr>
              <w:t>1.48</w:t>
            </w:r>
          </w:p>
        </w:tc>
        <w:tc>
          <w:tcPr>
            <w:tcW w:w="1067" w:type="dxa"/>
            <w:tcBorders>
              <w:top w:val="nil"/>
              <w:left w:val="nil"/>
              <w:bottom w:val="single" w:sz="4" w:space="0" w:color="auto"/>
              <w:right w:val="single" w:sz="4" w:space="0" w:color="auto"/>
            </w:tcBorders>
            <w:shd w:val="clear" w:color="auto" w:fill="auto"/>
            <w:noWrap/>
            <w:vAlign w:val="bottom"/>
            <w:hideMark/>
          </w:tcPr>
          <w:p w14:paraId="7CD9D0F9" w14:textId="77777777" w:rsidR="00DA6948" w:rsidRPr="00DA6948" w:rsidRDefault="00DA6948" w:rsidP="00DA6948">
            <w:pPr>
              <w:jc w:val="right"/>
              <w:rPr>
                <w:rFonts w:cs="Calibri"/>
                <w:color w:val="000000"/>
                <w:sz w:val="20"/>
                <w:szCs w:val="20"/>
              </w:rPr>
            </w:pPr>
            <w:r w:rsidRPr="00DA6948">
              <w:rPr>
                <w:rFonts w:cs="Calibri"/>
                <w:color w:val="000000"/>
                <w:sz w:val="20"/>
                <w:szCs w:val="20"/>
              </w:rPr>
              <w:t>0.40</w:t>
            </w:r>
          </w:p>
        </w:tc>
        <w:tc>
          <w:tcPr>
            <w:tcW w:w="792" w:type="dxa"/>
            <w:tcBorders>
              <w:top w:val="nil"/>
              <w:left w:val="nil"/>
              <w:bottom w:val="single" w:sz="4" w:space="0" w:color="auto"/>
              <w:right w:val="single" w:sz="4" w:space="0" w:color="auto"/>
            </w:tcBorders>
            <w:shd w:val="clear" w:color="auto" w:fill="auto"/>
            <w:noWrap/>
            <w:vAlign w:val="bottom"/>
            <w:hideMark/>
          </w:tcPr>
          <w:p w14:paraId="4B32E9A6" w14:textId="77777777" w:rsidR="00DA6948" w:rsidRPr="00DA6948" w:rsidRDefault="00DA6948" w:rsidP="00DA6948">
            <w:pPr>
              <w:jc w:val="right"/>
              <w:rPr>
                <w:rFonts w:cs="Calibri"/>
                <w:color w:val="000000"/>
                <w:sz w:val="20"/>
                <w:szCs w:val="20"/>
              </w:rPr>
            </w:pPr>
            <w:r w:rsidRPr="00DA6948">
              <w:rPr>
                <w:rFonts w:cs="Calibri"/>
                <w:color w:val="000000"/>
                <w:sz w:val="20"/>
                <w:szCs w:val="20"/>
              </w:rPr>
              <w:t>26.9%</w:t>
            </w:r>
          </w:p>
        </w:tc>
        <w:tc>
          <w:tcPr>
            <w:tcW w:w="1063" w:type="dxa"/>
            <w:tcBorders>
              <w:top w:val="nil"/>
              <w:left w:val="nil"/>
              <w:bottom w:val="single" w:sz="4" w:space="0" w:color="auto"/>
              <w:right w:val="single" w:sz="4" w:space="0" w:color="auto"/>
            </w:tcBorders>
            <w:shd w:val="clear" w:color="auto" w:fill="auto"/>
            <w:noWrap/>
            <w:vAlign w:val="bottom"/>
            <w:hideMark/>
          </w:tcPr>
          <w:p w14:paraId="7B3A759E" w14:textId="77777777" w:rsidR="00DA6948" w:rsidRPr="00DA6948" w:rsidRDefault="00DA6948" w:rsidP="00DA6948">
            <w:pPr>
              <w:jc w:val="right"/>
              <w:rPr>
                <w:rFonts w:cs="Calibri"/>
                <w:color w:val="000000"/>
                <w:sz w:val="20"/>
                <w:szCs w:val="20"/>
              </w:rPr>
            </w:pPr>
            <w:r w:rsidRPr="00DA6948">
              <w:rPr>
                <w:rFonts w:cs="Calibri"/>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0CBF3952" w14:textId="77777777" w:rsidR="00DA6948" w:rsidRPr="00DA6948" w:rsidRDefault="00DA6948" w:rsidP="00DA6948">
            <w:pPr>
              <w:jc w:val="right"/>
              <w:rPr>
                <w:rFonts w:cs="Calibri"/>
                <w:color w:val="000000"/>
                <w:sz w:val="20"/>
                <w:szCs w:val="20"/>
              </w:rPr>
            </w:pPr>
            <w:r w:rsidRPr="00DA6948">
              <w:rPr>
                <w:rFonts w:cs="Calibri"/>
                <w:color w:val="000000"/>
                <w:sz w:val="20"/>
                <w:szCs w:val="20"/>
              </w:rPr>
              <w:t>100.9</w:t>
            </w:r>
          </w:p>
        </w:tc>
      </w:tr>
      <w:tr w:rsidR="00DA6948" w:rsidRPr="00DA6948" w14:paraId="6D6650B8"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5D98BBE5"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476D1562" w14:textId="77777777" w:rsidR="00DA6948" w:rsidRPr="00DA6948" w:rsidRDefault="00DA6948" w:rsidP="00DA6948">
            <w:pPr>
              <w:rPr>
                <w:rFonts w:cs="Calibri"/>
                <w:color w:val="000000"/>
                <w:sz w:val="20"/>
                <w:szCs w:val="20"/>
              </w:rPr>
            </w:pPr>
            <w:r w:rsidRPr="00DA6948">
              <w:rPr>
                <w:rFonts w:cs="Calibri"/>
                <w:color w:val="000000"/>
                <w:sz w:val="20"/>
                <w:szCs w:val="20"/>
              </w:rPr>
              <w:t>Other</w:t>
            </w:r>
          </w:p>
        </w:tc>
        <w:tc>
          <w:tcPr>
            <w:tcW w:w="906" w:type="dxa"/>
            <w:tcBorders>
              <w:top w:val="nil"/>
              <w:left w:val="nil"/>
              <w:bottom w:val="single" w:sz="4" w:space="0" w:color="auto"/>
              <w:right w:val="single" w:sz="4" w:space="0" w:color="auto"/>
            </w:tcBorders>
            <w:shd w:val="clear" w:color="auto" w:fill="auto"/>
            <w:noWrap/>
            <w:vAlign w:val="bottom"/>
            <w:hideMark/>
          </w:tcPr>
          <w:p w14:paraId="3EDA3E99" w14:textId="77777777" w:rsidR="00DA6948" w:rsidRPr="00DA6948" w:rsidRDefault="00DA6948" w:rsidP="00DA6948">
            <w:pPr>
              <w:jc w:val="right"/>
              <w:rPr>
                <w:rFonts w:cs="Calibri"/>
                <w:color w:val="000000"/>
                <w:sz w:val="20"/>
                <w:szCs w:val="20"/>
              </w:rPr>
            </w:pPr>
            <w:r w:rsidRPr="00DA6948">
              <w:rPr>
                <w:rFonts w:cs="Calibri"/>
                <w:color w:val="000000"/>
                <w:sz w:val="20"/>
                <w:szCs w:val="20"/>
              </w:rPr>
              <w:t>14,209</w:t>
            </w:r>
          </w:p>
        </w:tc>
        <w:tc>
          <w:tcPr>
            <w:tcW w:w="1067" w:type="dxa"/>
            <w:tcBorders>
              <w:top w:val="nil"/>
              <w:left w:val="nil"/>
              <w:bottom w:val="single" w:sz="4" w:space="0" w:color="auto"/>
              <w:right w:val="single" w:sz="4" w:space="0" w:color="auto"/>
            </w:tcBorders>
            <w:shd w:val="clear" w:color="auto" w:fill="auto"/>
            <w:noWrap/>
            <w:vAlign w:val="bottom"/>
            <w:hideMark/>
          </w:tcPr>
          <w:p w14:paraId="55A03FEF" w14:textId="77777777" w:rsidR="00DA6948" w:rsidRPr="00DA6948" w:rsidRDefault="00DA6948" w:rsidP="00DA6948">
            <w:pPr>
              <w:jc w:val="right"/>
              <w:rPr>
                <w:rFonts w:cs="Calibri"/>
                <w:color w:val="000000"/>
                <w:sz w:val="20"/>
                <w:szCs w:val="20"/>
              </w:rPr>
            </w:pPr>
            <w:r w:rsidRPr="00DA6948">
              <w:rPr>
                <w:rFonts w:cs="Calibri"/>
                <w:color w:val="000000"/>
                <w:sz w:val="20"/>
                <w:szCs w:val="20"/>
              </w:rPr>
              <w:t>2.23</w:t>
            </w:r>
          </w:p>
        </w:tc>
        <w:tc>
          <w:tcPr>
            <w:tcW w:w="1067" w:type="dxa"/>
            <w:tcBorders>
              <w:top w:val="nil"/>
              <w:left w:val="nil"/>
              <w:bottom w:val="single" w:sz="4" w:space="0" w:color="auto"/>
              <w:right w:val="single" w:sz="4" w:space="0" w:color="auto"/>
            </w:tcBorders>
            <w:shd w:val="clear" w:color="auto" w:fill="auto"/>
            <w:noWrap/>
            <w:vAlign w:val="bottom"/>
            <w:hideMark/>
          </w:tcPr>
          <w:p w14:paraId="7FC1912E" w14:textId="77777777" w:rsidR="00DA6948" w:rsidRPr="00DA6948" w:rsidRDefault="00DA6948" w:rsidP="00DA6948">
            <w:pPr>
              <w:jc w:val="right"/>
              <w:rPr>
                <w:rFonts w:cs="Calibri"/>
                <w:color w:val="000000"/>
                <w:sz w:val="20"/>
                <w:szCs w:val="20"/>
              </w:rPr>
            </w:pPr>
            <w:r w:rsidRPr="00DA6948">
              <w:rPr>
                <w:rFonts w:cs="Calibri"/>
                <w:color w:val="000000"/>
                <w:sz w:val="20"/>
                <w:szCs w:val="20"/>
              </w:rPr>
              <w:t>0.56</w:t>
            </w:r>
          </w:p>
        </w:tc>
        <w:tc>
          <w:tcPr>
            <w:tcW w:w="792" w:type="dxa"/>
            <w:tcBorders>
              <w:top w:val="nil"/>
              <w:left w:val="nil"/>
              <w:bottom w:val="single" w:sz="4" w:space="0" w:color="auto"/>
              <w:right w:val="single" w:sz="4" w:space="0" w:color="auto"/>
            </w:tcBorders>
            <w:shd w:val="clear" w:color="auto" w:fill="auto"/>
            <w:noWrap/>
            <w:vAlign w:val="bottom"/>
            <w:hideMark/>
          </w:tcPr>
          <w:p w14:paraId="3FEB9E5A" w14:textId="77777777" w:rsidR="00DA6948" w:rsidRPr="00DA6948" w:rsidRDefault="00DA6948" w:rsidP="00DA6948">
            <w:pPr>
              <w:jc w:val="right"/>
              <w:rPr>
                <w:rFonts w:cs="Calibri"/>
                <w:color w:val="000000"/>
                <w:sz w:val="20"/>
                <w:szCs w:val="20"/>
              </w:rPr>
            </w:pPr>
            <w:r w:rsidRPr="00DA6948">
              <w:rPr>
                <w:rFonts w:cs="Calibri"/>
                <w:color w:val="000000"/>
                <w:sz w:val="20"/>
                <w:szCs w:val="20"/>
              </w:rPr>
              <w:t>25.3%</w:t>
            </w:r>
          </w:p>
        </w:tc>
        <w:tc>
          <w:tcPr>
            <w:tcW w:w="1063" w:type="dxa"/>
            <w:tcBorders>
              <w:top w:val="nil"/>
              <w:left w:val="nil"/>
              <w:bottom w:val="single" w:sz="4" w:space="0" w:color="auto"/>
              <w:right w:val="single" w:sz="4" w:space="0" w:color="auto"/>
            </w:tcBorders>
            <w:shd w:val="clear" w:color="auto" w:fill="auto"/>
            <w:noWrap/>
            <w:vAlign w:val="bottom"/>
            <w:hideMark/>
          </w:tcPr>
          <w:p w14:paraId="4D26BA49" w14:textId="77777777" w:rsidR="00DA6948" w:rsidRPr="00DA6948" w:rsidRDefault="00DA6948" w:rsidP="00DA6948">
            <w:pPr>
              <w:jc w:val="right"/>
              <w:rPr>
                <w:rFonts w:cs="Calibri"/>
                <w:color w:val="000000"/>
                <w:sz w:val="20"/>
                <w:szCs w:val="20"/>
              </w:rPr>
            </w:pPr>
            <w:r w:rsidRPr="00DA6948">
              <w:rPr>
                <w:rFonts w:cs="Calibri"/>
                <w:color w:val="000000"/>
                <w:sz w:val="20"/>
                <w:szCs w:val="20"/>
              </w:rPr>
              <w:t>8.0</w:t>
            </w:r>
          </w:p>
        </w:tc>
        <w:tc>
          <w:tcPr>
            <w:tcW w:w="880" w:type="dxa"/>
            <w:tcBorders>
              <w:top w:val="nil"/>
              <w:left w:val="nil"/>
              <w:bottom w:val="single" w:sz="4" w:space="0" w:color="auto"/>
              <w:right w:val="single" w:sz="4" w:space="0" w:color="auto"/>
            </w:tcBorders>
            <w:shd w:val="clear" w:color="auto" w:fill="auto"/>
            <w:noWrap/>
            <w:vAlign w:val="bottom"/>
            <w:hideMark/>
          </w:tcPr>
          <w:p w14:paraId="61C56952" w14:textId="77777777" w:rsidR="00DA6948" w:rsidRPr="00DA6948" w:rsidRDefault="00DA6948" w:rsidP="00DA6948">
            <w:pPr>
              <w:jc w:val="right"/>
              <w:rPr>
                <w:rFonts w:cs="Calibri"/>
                <w:color w:val="000000"/>
                <w:sz w:val="20"/>
                <w:szCs w:val="20"/>
              </w:rPr>
            </w:pPr>
            <w:r w:rsidRPr="00DA6948">
              <w:rPr>
                <w:rFonts w:cs="Calibri"/>
                <w:color w:val="000000"/>
                <w:sz w:val="20"/>
                <w:szCs w:val="20"/>
              </w:rPr>
              <w:t>85.8</w:t>
            </w:r>
          </w:p>
        </w:tc>
      </w:tr>
      <w:tr w:rsidR="00DA6948" w:rsidRPr="00DA6948" w14:paraId="7BB9C038"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09338C32"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19961CA1" w14:textId="77777777" w:rsidR="00DA6948" w:rsidRPr="00DA6948" w:rsidRDefault="00DA6948" w:rsidP="00DA6948">
            <w:pPr>
              <w:rPr>
                <w:rFonts w:cs="Calibri"/>
                <w:color w:val="000000"/>
                <w:sz w:val="20"/>
                <w:szCs w:val="20"/>
              </w:rPr>
            </w:pPr>
            <w:r w:rsidRPr="00DA6948">
              <w:rPr>
                <w:rFonts w:cs="Calibri"/>
                <w:color w:val="000000"/>
                <w:sz w:val="20"/>
                <w:szCs w:val="20"/>
              </w:rPr>
              <w:t>Sierra</w:t>
            </w:r>
          </w:p>
        </w:tc>
        <w:tc>
          <w:tcPr>
            <w:tcW w:w="906" w:type="dxa"/>
            <w:tcBorders>
              <w:top w:val="nil"/>
              <w:left w:val="nil"/>
              <w:bottom w:val="single" w:sz="4" w:space="0" w:color="auto"/>
              <w:right w:val="single" w:sz="4" w:space="0" w:color="auto"/>
            </w:tcBorders>
            <w:shd w:val="clear" w:color="auto" w:fill="auto"/>
            <w:noWrap/>
            <w:vAlign w:val="bottom"/>
            <w:hideMark/>
          </w:tcPr>
          <w:p w14:paraId="2ED50463" w14:textId="77777777" w:rsidR="00DA6948" w:rsidRPr="00DA6948" w:rsidRDefault="00DA6948" w:rsidP="00DA6948">
            <w:pPr>
              <w:jc w:val="right"/>
              <w:rPr>
                <w:rFonts w:cs="Calibri"/>
                <w:color w:val="000000"/>
                <w:sz w:val="20"/>
                <w:szCs w:val="20"/>
              </w:rPr>
            </w:pPr>
            <w:r w:rsidRPr="00DA6948">
              <w:rPr>
                <w:rFonts w:cs="Calibri"/>
                <w:color w:val="000000"/>
                <w:sz w:val="20"/>
                <w:szCs w:val="20"/>
              </w:rPr>
              <w:t>14,734</w:t>
            </w:r>
          </w:p>
        </w:tc>
        <w:tc>
          <w:tcPr>
            <w:tcW w:w="1067" w:type="dxa"/>
            <w:tcBorders>
              <w:top w:val="nil"/>
              <w:left w:val="nil"/>
              <w:bottom w:val="single" w:sz="4" w:space="0" w:color="auto"/>
              <w:right w:val="single" w:sz="4" w:space="0" w:color="auto"/>
            </w:tcBorders>
            <w:shd w:val="clear" w:color="auto" w:fill="auto"/>
            <w:noWrap/>
            <w:vAlign w:val="bottom"/>
            <w:hideMark/>
          </w:tcPr>
          <w:p w14:paraId="3D1610C6" w14:textId="77777777" w:rsidR="00DA6948" w:rsidRPr="00DA6948" w:rsidRDefault="00DA6948" w:rsidP="00DA6948">
            <w:pPr>
              <w:jc w:val="right"/>
              <w:rPr>
                <w:rFonts w:cs="Calibri"/>
                <w:color w:val="000000"/>
                <w:sz w:val="20"/>
                <w:szCs w:val="20"/>
              </w:rPr>
            </w:pPr>
            <w:r w:rsidRPr="00DA6948">
              <w:rPr>
                <w:rFonts w:cs="Calibri"/>
                <w:color w:val="000000"/>
                <w:sz w:val="20"/>
                <w:szCs w:val="20"/>
              </w:rPr>
              <w:t>2.21</w:t>
            </w:r>
          </w:p>
        </w:tc>
        <w:tc>
          <w:tcPr>
            <w:tcW w:w="1067" w:type="dxa"/>
            <w:tcBorders>
              <w:top w:val="nil"/>
              <w:left w:val="nil"/>
              <w:bottom w:val="single" w:sz="4" w:space="0" w:color="auto"/>
              <w:right w:val="single" w:sz="4" w:space="0" w:color="auto"/>
            </w:tcBorders>
            <w:shd w:val="clear" w:color="auto" w:fill="auto"/>
            <w:noWrap/>
            <w:vAlign w:val="bottom"/>
            <w:hideMark/>
          </w:tcPr>
          <w:p w14:paraId="128E485C" w14:textId="77777777" w:rsidR="00DA6948" w:rsidRPr="00DA6948" w:rsidRDefault="00DA6948" w:rsidP="00DA6948">
            <w:pPr>
              <w:jc w:val="right"/>
              <w:rPr>
                <w:rFonts w:cs="Calibri"/>
                <w:color w:val="000000"/>
                <w:sz w:val="20"/>
                <w:szCs w:val="20"/>
              </w:rPr>
            </w:pPr>
            <w:r w:rsidRPr="00DA6948">
              <w:rPr>
                <w:rFonts w:cs="Calibri"/>
                <w:color w:val="000000"/>
                <w:sz w:val="20"/>
                <w:szCs w:val="20"/>
              </w:rPr>
              <w:t>0.53</w:t>
            </w:r>
          </w:p>
        </w:tc>
        <w:tc>
          <w:tcPr>
            <w:tcW w:w="792" w:type="dxa"/>
            <w:tcBorders>
              <w:top w:val="nil"/>
              <w:left w:val="nil"/>
              <w:bottom w:val="single" w:sz="4" w:space="0" w:color="auto"/>
              <w:right w:val="single" w:sz="4" w:space="0" w:color="auto"/>
            </w:tcBorders>
            <w:shd w:val="clear" w:color="auto" w:fill="auto"/>
            <w:noWrap/>
            <w:vAlign w:val="bottom"/>
            <w:hideMark/>
          </w:tcPr>
          <w:p w14:paraId="777AAF62" w14:textId="77777777" w:rsidR="00DA6948" w:rsidRPr="00DA6948" w:rsidRDefault="00DA6948" w:rsidP="00DA6948">
            <w:pPr>
              <w:jc w:val="right"/>
              <w:rPr>
                <w:rFonts w:cs="Calibri"/>
                <w:color w:val="000000"/>
                <w:sz w:val="20"/>
                <w:szCs w:val="20"/>
              </w:rPr>
            </w:pPr>
            <w:r w:rsidRPr="00DA6948">
              <w:rPr>
                <w:rFonts w:cs="Calibri"/>
                <w:color w:val="000000"/>
                <w:sz w:val="20"/>
                <w:szCs w:val="20"/>
              </w:rPr>
              <w:t>23.7%</w:t>
            </w:r>
          </w:p>
        </w:tc>
        <w:tc>
          <w:tcPr>
            <w:tcW w:w="1063" w:type="dxa"/>
            <w:tcBorders>
              <w:top w:val="nil"/>
              <w:left w:val="nil"/>
              <w:bottom w:val="single" w:sz="4" w:space="0" w:color="auto"/>
              <w:right w:val="single" w:sz="4" w:space="0" w:color="auto"/>
            </w:tcBorders>
            <w:shd w:val="clear" w:color="auto" w:fill="auto"/>
            <w:noWrap/>
            <w:vAlign w:val="bottom"/>
            <w:hideMark/>
          </w:tcPr>
          <w:p w14:paraId="38A74B1F" w14:textId="77777777" w:rsidR="00DA6948" w:rsidRPr="00DA6948" w:rsidRDefault="00DA6948" w:rsidP="00DA6948">
            <w:pPr>
              <w:jc w:val="right"/>
              <w:rPr>
                <w:rFonts w:cs="Calibri"/>
                <w:color w:val="000000"/>
                <w:sz w:val="20"/>
                <w:szCs w:val="20"/>
              </w:rPr>
            </w:pPr>
            <w:r w:rsidRPr="00DA6948">
              <w:rPr>
                <w:rFonts w:cs="Calibri"/>
                <w:color w:val="000000"/>
                <w:sz w:val="20"/>
                <w:szCs w:val="20"/>
              </w:rPr>
              <w:t>7.7</w:t>
            </w:r>
          </w:p>
        </w:tc>
        <w:tc>
          <w:tcPr>
            <w:tcW w:w="880" w:type="dxa"/>
            <w:tcBorders>
              <w:top w:val="nil"/>
              <w:left w:val="nil"/>
              <w:bottom w:val="single" w:sz="4" w:space="0" w:color="auto"/>
              <w:right w:val="single" w:sz="4" w:space="0" w:color="auto"/>
            </w:tcBorders>
            <w:shd w:val="clear" w:color="auto" w:fill="auto"/>
            <w:noWrap/>
            <w:vAlign w:val="bottom"/>
            <w:hideMark/>
          </w:tcPr>
          <w:p w14:paraId="04F9BC4E" w14:textId="77777777" w:rsidR="00DA6948" w:rsidRPr="00DA6948" w:rsidRDefault="00DA6948" w:rsidP="00DA6948">
            <w:pPr>
              <w:jc w:val="right"/>
              <w:rPr>
                <w:rFonts w:cs="Calibri"/>
                <w:color w:val="000000"/>
                <w:sz w:val="20"/>
                <w:szCs w:val="20"/>
              </w:rPr>
            </w:pPr>
            <w:r w:rsidRPr="00DA6948">
              <w:rPr>
                <w:rFonts w:cs="Calibri"/>
                <w:color w:val="000000"/>
                <w:sz w:val="20"/>
                <w:szCs w:val="20"/>
              </w:rPr>
              <w:t>97.0</w:t>
            </w:r>
          </w:p>
        </w:tc>
      </w:tr>
      <w:tr w:rsidR="00DA6948" w:rsidRPr="00DA6948" w14:paraId="0A344648" w14:textId="77777777" w:rsidTr="00DA6948">
        <w:trPr>
          <w:trHeight w:val="300"/>
          <w:jc w:val="center"/>
        </w:trPr>
        <w:tc>
          <w:tcPr>
            <w:tcW w:w="1350" w:type="dxa"/>
            <w:vMerge/>
            <w:tcBorders>
              <w:top w:val="nil"/>
              <w:left w:val="single" w:sz="4" w:space="0" w:color="auto"/>
              <w:bottom w:val="single" w:sz="4" w:space="0" w:color="auto"/>
              <w:right w:val="single" w:sz="4" w:space="0" w:color="auto"/>
            </w:tcBorders>
            <w:vAlign w:val="center"/>
            <w:hideMark/>
          </w:tcPr>
          <w:p w14:paraId="201013EA" w14:textId="77777777" w:rsidR="00DA6948" w:rsidRPr="00DA6948" w:rsidRDefault="00DA6948" w:rsidP="00DA6948">
            <w:pPr>
              <w:rPr>
                <w:rFonts w:cs="Calibri"/>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bottom"/>
            <w:hideMark/>
          </w:tcPr>
          <w:p w14:paraId="23D8BD52" w14:textId="77777777" w:rsidR="00DA6948" w:rsidRPr="00DA6948" w:rsidRDefault="00DA6948" w:rsidP="00DA6948">
            <w:pPr>
              <w:rPr>
                <w:rFonts w:cs="Calibri"/>
                <w:color w:val="000000"/>
                <w:sz w:val="20"/>
                <w:szCs w:val="20"/>
              </w:rPr>
            </w:pPr>
            <w:r w:rsidRPr="00DA6948">
              <w:rPr>
                <w:rFonts w:cs="Calibri"/>
                <w:color w:val="000000"/>
                <w:sz w:val="20"/>
                <w:szCs w:val="20"/>
              </w:rPr>
              <w:t>Stockton</w:t>
            </w:r>
          </w:p>
        </w:tc>
        <w:tc>
          <w:tcPr>
            <w:tcW w:w="906" w:type="dxa"/>
            <w:tcBorders>
              <w:top w:val="nil"/>
              <w:left w:val="nil"/>
              <w:bottom w:val="single" w:sz="4" w:space="0" w:color="auto"/>
              <w:right w:val="single" w:sz="4" w:space="0" w:color="auto"/>
            </w:tcBorders>
            <w:shd w:val="clear" w:color="auto" w:fill="auto"/>
            <w:noWrap/>
            <w:vAlign w:val="bottom"/>
            <w:hideMark/>
          </w:tcPr>
          <w:p w14:paraId="4CE3A6F0" w14:textId="77777777" w:rsidR="00DA6948" w:rsidRPr="00DA6948" w:rsidRDefault="00DA6948" w:rsidP="00DA6948">
            <w:pPr>
              <w:jc w:val="right"/>
              <w:rPr>
                <w:rFonts w:cs="Calibri"/>
                <w:color w:val="000000"/>
                <w:sz w:val="20"/>
                <w:szCs w:val="20"/>
              </w:rPr>
            </w:pPr>
            <w:r w:rsidRPr="00DA6948">
              <w:rPr>
                <w:rFonts w:cs="Calibri"/>
                <w:color w:val="000000"/>
                <w:sz w:val="20"/>
                <w:szCs w:val="20"/>
              </w:rPr>
              <w:t>6,327</w:t>
            </w:r>
          </w:p>
        </w:tc>
        <w:tc>
          <w:tcPr>
            <w:tcW w:w="1067" w:type="dxa"/>
            <w:tcBorders>
              <w:top w:val="nil"/>
              <w:left w:val="nil"/>
              <w:bottom w:val="single" w:sz="4" w:space="0" w:color="auto"/>
              <w:right w:val="single" w:sz="4" w:space="0" w:color="auto"/>
            </w:tcBorders>
            <w:shd w:val="clear" w:color="auto" w:fill="auto"/>
            <w:noWrap/>
            <w:vAlign w:val="bottom"/>
            <w:hideMark/>
          </w:tcPr>
          <w:p w14:paraId="54882F36" w14:textId="77777777" w:rsidR="00DA6948" w:rsidRPr="00DA6948" w:rsidRDefault="00DA6948" w:rsidP="00DA6948">
            <w:pPr>
              <w:jc w:val="right"/>
              <w:rPr>
                <w:rFonts w:cs="Calibri"/>
                <w:color w:val="000000"/>
                <w:sz w:val="20"/>
                <w:szCs w:val="20"/>
              </w:rPr>
            </w:pPr>
            <w:r w:rsidRPr="00DA6948">
              <w:rPr>
                <w:rFonts w:cs="Calibri"/>
                <w:color w:val="000000"/>
                <w:sz w:val="20"/>
                <w:szCs w:val="20"/>
              </w:rPr>
              <w:t>2.55</w:t>
            </w:r>
          </w:p>
        </w:tc>
        <w:tc>
          <w:tcPr>
            <w:tcW w:w="1067" w:type="dxa"/>
            <w:tcBorders>
              <w:top w:val="nil"/>
              <w:left w:val="nil"/>
              <w:bottom w:val="single" w:sz="4" w:space="0" w:color="auto"/>
              <w:right w:val="single" w:sz="4" w:space="0" w:color="auto"/>
            </w:tcBorders>
            <w:shd w:val="clear" w:color="auto" w:fill="auto"/>
            <w:noWrap/>
            <w:vAlign w:val="bottom"/>
            <w:hideMark/>
          </w:tcPr>
          <w:p w14:paraId="07880549" w14:textId="77777777" w:rsidR="00DA6948" w:rsidRPr="00DA6948" w:rsidRDefault="00DA6948" w:rsidP="00DA6948">
            <w:pPr>
              <w:jc w:val="right"/>
              <w:rPr>
                <w:rFonts w:cs="Calibri"/>
                <w:color w:val="000000"/>
                <w:sz w:val="20"/>
                <w:szCs w:val="20"/>
              </w:rPr>
            </w:pPr>
            <w:r w:rsidRPr="00DA6948">
              <w:rPr>
                <w:rFonts w:cs="Calibri"/>
                <w:color w:val="000000"/>
                <w:sz w:val="20"/>
                <w:szCs w:val="20"/>
              </w:rPr>
              <w:t>0.57</w:t>
            </w:r>
          </w:p>
        </w:tc>
        <w:tc>
          <w:tcPr>
            <w:tcW w:w="792" w:type="dxa"/>
            <w:tcBorders>
              <w:top w:val="nil"/>
              <w:left w:val="nil"/>
              <w:bottom w:val="single" w:sz="4" w:space="0" w:color="auto"/>
              <w:right w:val="single" w:sz="4" w:space="0" w:color="auto"/>
            </w:tcBorders>
            <w:shd w:val="clear" w:color="auto" w:fill="auto"/>
            <w:noWrap/>
            <w:vAlign w:val="bottom"/>
            <w:hideMark/>
          </w:tcPr>
          <w:p w14:paraId="083F6CC2" w14:textId="77777777" w:rsidR="00DA6948" w:rsidRPr="00DA6948" w:rsidRDefault="00DA6948" w:rsidP="00DA6948">
            <w:pPr>
              <w:jc w:val="right"/>
              <w:rPr>
                <w:rFonts w:cs="Calibri"/>
                <w:color w:val="000000"/>
                <w:sz w:val="20"/>
                <w:szCs w:val="20"/>
              </w:rPr>
            </w:pPr>
            <w:r w:rsidRPr="00DA6948">
              <w:rPr>
                <w:rFonts w:cs="Calibri"/>
                <w:color w:val="000000"/>
                <w:sz w:val="20"/>
                <w:szCs w:val="20"/>
              </w:rPr>
              <w:t>22.3%</w:t>
            </w:r>
          </w:p>
        </w:tc>
        <w:tc>
          <w:tcPr>
            <w:tcW w:w="1063" w:type="dxa"/>
            <w:tcBorders>
              <w:top w:val="nil"/>
              <w:left w:val="nil"/>
              <w:bottom w:val="single" w:sz="4" w:space="0" w:color="auto"/>
              <w:right w:val="single" w:sz="4" w:space="0" w:color="auto"/>
            </w:tcBorders>
            <w:shd w:val="clear" w:color="auto" w:fill="auto"/>
            <w:noWrap/>
            <w:vAlign w:val="bottom"/>
            <w:hideMark/>
          </w:tcPr>
          <w:p w14:paraId="043BFA8A" w14:textId="77777777" w:rsidR="00DA6948" w:rsidRPr="00DA6948" w:rsidRDefault="00DA6948" w:rsidP="00DA6948">
            <w:pPr>
              <w:jc w:val="right"/>
              <w:rPr>
                <w:rFonts w:cs="Calibri"/>
                <w:color w:val="000000"/>
                <w:sz w:val="20"/>
                <w:szCs w:val="20"/>
              </w:rPr>
            </w:pPr>
            <w:r w:rsidRPr="00DA6948">
              <w:rPr>
                <w:rFonts w:cs="Calibri"/>
                <w:color w:val="000000"/>
                <w:sz w:val="20"/>
                <w:szCs w:val="20"/>
              </w:rPr>
              <w:t>3.6</w:t>
            </w:r>
          </w:p>
        </w:tc>
        <w:tc>
          <w:tcPr>
            <w:tcW w:w="880" w:type="dxa"/>
            <w:tcBorders>
              <w:top w:val="nil"/>
              <w:left w:val="nil"/>
              <w:bottom w:val="single" w:sz="4" w:space="0" w:color="auto"/>
              <w:right w:val="single" w:sz="4" w:space="0" w:color="auto"/>
            </w:tcBorders>
            <w:shd w:val="clear" w:color="auto" w:fill="auto"/>
            <w:noWrap/>
            <w:vAlign w:val="bottom"/>
            <w:hideMark/>
          </w:tcPr>
          <w:p w14:paraId="0C072C1F" w14:textId="77777777" w:rsidR="00DA6948" w:rsidRPr="00DA6948" w:rsidRDefault="00DA6948" w:rsidP="00DA6948">
            <w:pPr>
              <w:jc w:val="right"/>
              <w:rPr>
                <w:rFonts w:cs="Calibri"/>
                <w:color w:val="000000"/>
                <w:sz w:val="20"/>
                <w:szCs w:val="20"/>
              </w:rPr>
            </w:pPr>
            <w:r w:rsidRPr="00DA6948">
              <w:rPr>
                <w:rFonts w:cs="Calibri"/>
                <w:color w:val="000000"/>
                <w:sz w:val="20"/>
                <w:szCs w:val="20"/>
              </w:rPr>
              <w:t>95.2</w:t>
            </w:r>
          </w:p>
        </w:tc>
      </w:tr>
    </w:tbl>
    <w:p w14:paraId="02C09285" w14:textId="57B9EBD4" w:rsidR="00187991" w:rsidRDefault="00187991" w:rsidP="003A20DB">
      <w:pPr>
        <w:spacing w:after="120"/>
        <w:rPr>
          <w:szCs w:val="32"/>
        </w:rPr>
      </w:pPr>
    </w:p>
    <w:p w14:paraId="43EEEF03" w14:textId="20C0538A" w:rsidR="00EE4C42" w:rsidRDefault="00AB7F62" w:rsidP="0068160D">
      <w:pPr>
        <w:spacing w:after="120"/>
        <w:rPr>
          <w:szCs w:val="32"/>
        </w:rPr>
      </w:pPr>
      <w:r w:rsidRPr="0068160D">
        <w:rPr>
          <w:szCs w:val="32"/>
        </w:rPr>
        <w:fldChar w:fldCharType="begin"/>
      </w:r>
      <w:r w:rsidRPr="0068160D">
        <w:rPr>
          <w:szCs w:val="32"/>
        </w:rPr>
        <w:instrText xml:space="preserve"> REF _Ref1405371 \h </w:instrText>
      </w:r>
      <w:r w:rsidR="0068160D">
        <w:rPr>
          <w:szCs w:val="32"/>
        </w:rPr>
        <w:instrText xml:space="preserve"> \* MERGEFORMAT </w:instrText>
      </w:r>
      <w:r w:rsidRPr="0068160D">
        <w:rPr>
          <w:szCs w:val="32"/>
        </w:rPr>
      </w:r>
      <w:r w:rsidRPr="0068160D">
        <w:rPr>
          <w:szCs w:val="32"/>
        </w:rPr>
        <w:fldChar w:fldCharType="separate"/>
      </w:r>
      <w:r w:rsidR="00445DF3">
        <w:t xml:space="preserve">Figure </w:t>
      </w:r>
      <w:r w:rsidR="00445DF3">
        <w:rPr>
          <w:noProof/>
        </w:rPr>
        <w:t>4</w:t>
      </w:r>
      <w:r w:rsidR="00445DF3">
        <w:rPr>
          <w:noProof/>
        </w:rPr>
        <w:noBreakHyphen/>
        <w:t>4</w:t>
      </w:r>
      <w:r w:rsidRPr="0068160D">
        <w:rPr>
          <w:szCs w:val="32"/>
        </w:rPr>
        <w:fldChar w:fldCharType="end"/>
      </w:r>
      <w:r w:rsidRPr="0068160D">
        <w:rPr>
          <w:szCs w:val="32"/>
        </w:rPr>
        <w:t xml:space="preserve"> </w:t>
      </w:r>
      <w:r w:rsidR="00D8044E" w:rsidRPr="0068160D">
        <w:rPr>
          <w:szCs w:val="32"/>
        </w:rPr>
        <w:t>illustrate</w:t>
      </w:r>
      <w:r w:rsidR="00703D32" w:rsidRPr="0068160D">
        <w:rPr>
          <w:szCs w:val="32"/>
        </w:rPr>
        <w:t>s the seasonality</w:t>
      </w:r>
      <w:r w:rsidR="007A330E">
        <w:rPr>
          <w:szCs w:val="32"/>
        </w:rPr>
        <w:t xml:space="preserve"> and variation by weather scenario</w:t>
      </w:r>
      <w:r w:rsidR="00703D32" w:rsidRPr="0068160D">
        <w:rPr>
          <w:szCs w:val="32"/>
        </w:rPr>
        <w:t xml:space="preserve"> in the forecasted</w:t>
      </w:r>
      <w:r w:rsidR="00703D32" w:rsidRPr="0068160D">
        <w:rPr>
          <w:i/>
          <w:szCs w:val="32"/>
        </w:rPr>
        <w:t xml:space="preserve"> </w:t>
      </w:r>
      <w:r w:rsidR="00D8044E" w:rsidRPr="0068160D">
        <w:rPr>
          <w:szCs w:val="32"/>
        </w:rPr>
        <w:t>load</w:t>
      </w:r>
      <w:r w:rsidR="00703D32" w:rsidRPr="0068160D">
        <w:rPr>
          <w:szCs w:val="32"/>
        </w:rPr>
        <w:t xml:space="preserve"> impacts</w:t>
      </w:r>
      <w:r w:rsidR="0068160D" w:rsidRPr="0068160D">
        <w:rPr>
          <w:szCs w:val="32"/>
        </w:rPr>
        <w:t xml:space="preserve"> </w:t>
      </w:r>
      <w:r w:rsidR="00D8044E" w:rsidRPr="0068160D">
        <w:rPr>
          <w:szCs w:val="32"/>
        </w:rPr>
        <w:t>by comparing aggregate load impacts</w:t>
      </w:r>
      <w:r w:rsidR="0068160D" w:rsidRPr="0068160D">
        <w:rPr>
          <w:szCs w:val="32"/>
        </w:rPr>
        <w:t xml:space="preserve"> </w:t>
      </w:r>
      <w:r w:rsidR="00D8044E" w:rsidRPr="0068160D">
        <w:rPr>
          <w:szCs w:val="32"/>
        </w:rPr>
        <w:t xml:space="preserve">for the average hour in the </w:t>
      </w:r>
      <w:r w:rsidR="009A5DB0" w:rsidRPr="0068160D">
        <w:rPr>
          <w:szCs w:val="32"/>
        </w:rPr>
        <w:t>R</w:t>
      </w:r>
      <w:r w:rsidR="00D8044E" w:rsidRPr="0068160D">
        <w:rPr>
          <w:szCs w:val="32"/>
        </w:rPr>
        <w:t>esource</w:t>
      </w:r>
      <w:r w:rsidR="009A5DB0" w:rsidRPr="0068160D">
        <w:rPr>
          <w:szCs w:val="32"/>
        </w:rPr>
        <w:t xml:space="preserve"> A</w:t>
      </w:r>
      <w:r w:rsidR="00D8044E" w:rsidRPr="0068160D">
        <w:rPr>
          <w:szCs w:val="32"/>
        </w:rPr>
        <w:t xml:space="preserve">dequacy </w:t>
      </w:r>
      <w:r w:rsidR="009A5DB0" w:rsidRPr="0068160D">
        <w:rPr>
          <w:szCs w:val="32"/>
        </w:rPr>
        <w:t xml:space="preserve">(RA) </w:t>
      </w:r>
      <w:r w:rsidR="00D8044E" w:rsidRPr="0068160D">
        <w:rPr>
          <w:szCs w:val="32"/>
        </w:rPr>
        <w:t>window in</w:t>
      </w:r>
      <w:r w:rsidR="00265EE5">
        <w:rPr>
          <w:szCs w:val="32"/>
        </w:rPr>
        <w:t xml:space="preserve"> any year from 2019-202</w:t>
      </w:r>
      <w:r w:rsidR="00BD774C">
        <w:rPr>
          <w:szCs w:val="32"/>
        </w:rPr>
        <w:t>9</w:t>
      </w:r>
      <w:r w:rsidR="00D8044E" w:rsidRPr="0068160D">
        <w:rPr>
          <w:szCs w:val="32"/>
        </w:rPr>
        <w:t xml:space="preserve"> across months</w:t>
      </w:r>
      <w:r w:rsidR="0068160D" w:rsidRPr="0068160D">
        <w:rPr>
          <w:szCs w:val="32"/>
        </w:rPr>
        <w:t xml:space="preserve"> and weather scenarios</w:t>
      </w:r>
      <w:r w:rsidR="00D8044E" w:rsidRPr="0068160D">
        <w:rPr>
          <w:szCs w:val="32"/>
        </w:rPr>
        <w:t>.</w:t>
      </w:r>
      <w:r w:rsidR="009A5DB0" w:rsidRPr="0068160D">
        <w:rPr>
          <w:szCs w:val="32"/>
        </w:rPr>
        <w:t xml:space="preserve"> </w:t>
      </w:r>
      <w:r w:rsidR="00D8044E" w:rsidRPr="0068160D">
        <w:rPr>
          <w:szCs w:val="32"/>
        </w:rPr>
        <w:t xml:space="preserve">The load impact </w:t>
      </w:r>
      <w:r w:rsidR="00281C71" w:rsidRPr="0068160D">
        <w:rPr>
          <w:szCs w:val="32"/>
        </w:rPr>
        <w:t xml:space="preserve">is highest in </w:t>
      </w:r>
      <w:r w:rsidR="0068160D" w:rsidRPr="0068160D">
        <w:rPr>
          <w:szCs w:val="32"/>
        </w:rPr>
        <w:t>July</w:t>
      </w:r>
      <w:r w:rsidR="00650DA9" w:rsidRPr="0068160D">
        <w:rPr>
          <w:szCs w:val="32"/>
        </w:rPr>
        <w:t xml:space="preserve"> </w:t>
      </w:r>
      <w:r w:rsidR="0068160D" w:rsidRPr="0068160D">
        <w:rPr>
          <w:szCs w:val="32"/>
        </w:rPr>
        <w:t xml:space="preserve">in three out of the four weather scenarios, with a maximum load impact of </w:t>
      </w:r>
      <w:r w:rsidR="00321210">
        <w:rPr>
          <w:szCs w:val="32"/>
        </w:rPr>
        <w:t>65</w:t>
      </w:r>
      <w:r w:rsidR="0068160D" w:rsidRPr="0068160D">
        <w:rPr>
          <w:szCs w:val="32"/>
        </w:rPr>
        <w:t xml:space="preserve"> MWh/hour from the PG&amp;E 1-in-10 scenario. For the CAISO 1-in-2 scenario, the load impacts are highest in June (</w:t>
      </w:r>
      <w:r w:rsidR="00C32EC8">
        <w:rPr>
          <w:szCs w:val="32"/>
        </w:rPr>
        <w:t>5</w:t>
      </w:r>
      <w:r w:rsidR="00321210">
        <w:rPr>
          <w:szCs w:val="32"/>
        </w:rPr>
        <w:t>1</w:t>
      </w:r>
      <w:r w:rsidR="0068160D" w:rsidRPr="0068160D">
        <w:rPr>
          <w:szCs w:val="32"/>
        </w:rPr>
        <w:t xml:space="preserve"> MWh/hour). The loads impacts are always the lowest in October, with a minimum of </w:t>
      </w:r>
      <w:r w:rsidR="00321210">
        <w:rPr>
          <w:szCs w:val="32"/>
        </w:rPr>
        <w:t>18</w:t>
      </w:r>
      <w:r w:rsidR="0068160D" w:rsidRPr="0068160D">
        <w:rPr>
          <w:szCs w:val="32"/>
        </w:rPr>
        <w:t xml:space="preserve"> MWh/hour from the PG&amp;E 1-in-2 scenario.</w:t>
      </w:r>
    </w:p>
    <w:p w14:paraId="17E73D2B" w14:textId="77777777" w:rsidR="00C734D6" w:rsidRDefault="00C734D6" w:rsidP="0068160D">
      <w:pPr>
        <w:spacing w:after="120"/>
        <w:rPr>
          <w:szCs w:val="32"/>
        </w:rPr>
      </w:pPr>
    </w:p>
    <w:p w14:paraId="4CB45C99" w14:textId="4094D75D" w:rsidR="006E41E3" w:rsidRDefault="006E41E3" w:rsidP="006E41E3">
      <w:pPr>
        <w:pStyle w:val="FigureCaption"/>
      </w:pPr>
      <w:bookmarkStart w:id="136" w:name="_Ref1405371"/>
      <w:bookmarkStart w:id="137" w:name="_Toc4578203"/>
      <w:r>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4</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4</w:t>
      </w:r>
      <w:r w:rsidR="00002E97">
        <w:rPr>
          <w:noProof/>
        </w:rPr>
        <w:fldChar w:fldCharType="end"/>
      </w:r>
      <w:bookmarkEnd w:id="136"/>
      <w:r>
        <w:t xml:space="preserve">: </w:t>
      </w:r>
      <w:r w:rsidR="003C5C2B" w:rsidRPr="003E379F">
        <w:t xml:space="preserve">Aggregate </w:t>
      </w:r>
      <w:r w:rsidR="003C5C2B">
        <w:t>Load Impacts over RA Window by Month and Weather Scenario</w:t>
      </w:r>
      <w:bookmarkEnd w:id="137"/>
    </w:p>
    <w:p w14:paraId="23647E26" w14:textId="61A8EBDF" w:rsidR="00F1782E" w:rsidRDefault="00F1782E" w:rsidP="00CC0084">
      <w:pPr>
        <w:spacing w:after="120"/>
        <w:jc w:val="center"/>
        <w:rPr>
          <w:szCs w:val="32"/>
        </w:rPr>
      </w:pPr>
      <w:r>
        <w:rPr>
          <w:noProof/>
        </w:rPr>
        <w:drawing>
          <wp:inline distT="0" distB="0" distL="0" distR="0" wp14:anchorId="286DAA99" wp14:editId="4AB46A33">
            <wp:extent cx="5486400" cy="3985895"/>
            <wp:effectExtent l="0" t="0" r="0" b="0"/>
            <wp:docPr id="21" name="Chart 21">
              <a:extLst xmlns:a="http://schemas.openxmlformats.org/drawingml/2006/main">
                <a:ext uri="{FF2B5EF4-FFF2-40B4-BE49-F238E27FC236}">
                  <a16:creationId xmlns:a16="http://schemas.microsoft.com/office/drawing/2014/main" id="{73A794A7-5C56-45E2-99E1-FAAE1493A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97639B" w14:textId="77777777" w:rsidR="007A330E" w:rsidRDefault="007A330E" w:rsidP="00CC0084">
      <w:pPr>
        <w:spacing w:after="120"/>
        <w:rPr>
          <w:szCs w:val="32"/>
        </w:rPr>
      </w:pPr>
    </w:p>
    <w:p w14:paraId="63476C6A" w14:textId="464DEE97" w:rsidR="007522CB" w:rsidRDefault="00CC0084" w:rsidP="00CC0084">
      <w:pPr>
        <w:spacing w:after="120"/>
        <w:rPr>
          <w:szCs w:val="32"/>
        </w:rPr>
      </w:pPr>
      <w:r>
        <w:rPr>
          <w:szCs w:val="32"/>
        </w:rPr>
        <w:fldChar w:fldCharType="begin"/>
      </w:r>
      <w:r>
        <w:rPr>
          <w:szCs w:val="32"/>
        </w:rPr>
        <w:instrText xml:space="preserve"> REF _Ref1406149 \h </w:instrText>
      </w:r>
      <w:r>
        <w:rPr>
          <w:szCs w:val="32"/>
        </w:rPr>
      </w:r>
      <w:r>
        <w:rPr>
          <w:szCs w:val="32"/>
        </w:rPr>
        <w:fldChar w:fldCharType="separate"/>
      </w:r>
      <w:r w:rsidR="00445DF3">
        <w:t xml:space="preserve">Figure </w:t>
      </w:r>
      <w:r w:rsidR="00445DF3">
        <w:rPr>
          <w:noProof/>
        </w:rPr>
        <w:t>4</w:t>
      </w:r>
      <w:r w:rsidR="00445DF3">
        <w:noBreakHyphen/>
      </w:r>
      <w:r w:rsidR="00445DF3">
        <w:rPr>
          <w:noProof/>
        </w:rPr>
        <w:t>5</w:t>
      </w:r>
      <w:r>
        <w:rPr>
          <w:szCs w:val="32"/>
        </w:rPr>
        <w:fldChar w:fldCharType="end"/>
      </w:r>
      <w:r>
        <w:rPr>
          <w:szCs w:val="32"/>
        </w:rPr>
        <w:t xml:space="preserve"> compares the LCA shares of average RA window load impacts, reference loads, and enrollments on the typical event day </w:t>
      </w:r>
      <w:r w:rsidR="00C750D5">
        <w:rPr>
          <w:szCs w:val="32"/>
        </w:rPr>
        <w:t xml:space="preserve">during </w:t>
      </w:r>
      <w:r w:rsidR="00265EE5">
        <w:rPr>
          <w:szCs w:val="32"/>
        </w:rPr>
        <w:t>any year from 2019</w:t>
      </w:r>
      <w:r w:rsidR="009107EA">
        <w:rPr>
          <w:szCs w:val="32"/>
        </w:rPr>
        <w:t xml:space="preserve"> to </w:t>
      </w:r>
      <w:r w:rsidR="00265EE5">
        <w:rPr>
          <w:szCs w:val="32"/>
        </w:rPr>
        <w:t>202</w:t>
      </w:r>
      <w:r w:rsidR="00C750D5">
        <w:rPr>
          <w:szCs w:val="32"/>
        </w:rPr>
        <w:t>9</w:t>
      </w:r>
      <w:r>
        <w:rPr>
          <w:szCs w:val="32"/>
        </w:rPr>
        <w:t xml:space="preserve"> for the PG&amp;E 1-in-2 scenario. </w:t>
      </w:r>
      <w:r w:rsidR="007522CB">
        <w:rPr>
          <w:szCs w:val="32"/>
        </w:rPr>
        <w:t xml:space="preserve">The load impacts for the </w:t>
      </w:r>
      <w:r w:rsidR="00546AFB">
        <w:rPr>
          <w:szCs w:val="32"/>
        </w:rPr>
        <w:t>SmartAC™</w:t>
      </w:r>
      <w:r w:rsidR="007522CB">
        <w:rPr>
          <w:szCs w:val="32"/>
        </w:rPr>
        <w:t xml:space="preserve"> program </w:t>
      </w:r>
      <w:r w:rsidR="00F245AF">
        <w:rPr>
          <w:szCs w:val="32"/>
        </w:rPr>
        <w:t xml:space="preserve">are highest in the Greater Bay Area with 32 percent of aggregate load impacts, 31 percent of enrolled customers, and 24 percent of reference loads. The top four LCA’s, including the Greater Bay Area, Greater Fresno, Other LCAs, and Sierra, contribute 83 percent of the aggregate load reductions for </w:t>
      </w:r>
      <w:r w:rsidR="00546AFB">
        <w:rPr>
          <w:szCs w:val="32"/>
        </w:rPr>
        <w:t>SmartAC™</w:t>
      </w:r>
      <w:r w:rsidR="00F245AF">
        <w:rPr>
          <w:szCs w:val="32"/>
        </w:rPr>
        <w:t>. T</w:t>
      </w:r>
      <w:r w:rsidR="007522CB">
        <w:rPr>
          <w:szCs w:val="32"/>
        </w:rPr>
        <w:t>he Greater Bay Area</w:t>
      </w:r>
      <w:r w:rsidR="00F245AF">
        <w:rPr>
          <w:szCs w:val="32"/>
        </w:rPr>
        <w:t>,</w:t>
      </w:r>
      <w:r w:rsidR="007522CB">
        <w:rPr>
          <w:szCs w:val="32"/>
        </w:rPr>
        <w:t xml:space="preserve"> Greater Fresno</w:t>
      </w:r>
      <w:r w:rsidR="00F245AF">
        <w:rPr>
          <w:szCs w:val="32"/>
        </w:rPr>
        <w:t>, Other LCAs, Sierra, and Stockton all</w:t>
      </w:r>
      <w:r w:rsidR="007522CB">
        <w:rPr>
          <w:szCs w:val="32"/>
        </w:rPr>
        <w:t xml:space="preserve"> have </w:t>
      </w:r>
      <w:r w:rsidR="00F245AF">
        <w:rPr>
          <w:szCs w:val="32"/>
        </w:rPr>
        <w:t>higher</w:t>
      </w:r>
      <w:r w:rsidR="007522CB">
        <w:rPr>
          <w:szCs w:val="32"/>
        </w:rPr>
        <w:t xml:space="preserve"> shares of load impacts than enrollments, suggesting that they are relatively </w:t>
      </w:r>
      <w:r w:rsidR="00F245AF">
        <w:rPr>
          <w:szCs w:val="32"/>
        </w:rPr>
        <w:t xml:space="preserve">more </w:t>
      </w:r>
      <w:r w:rsidR="007522CB">
        <w:rPr>
          <w:szCs w:val="32"/>
        </w:rPr>
        <w:t xml:space="preserve">responsive on a per-customer basis. </w:t>
      </w:r>
      <w:r w:rsidR="00F245AF">
        <w:rPr>
          <w:szCs w:val="32"/>
        </w:rPr>
        <w:t xml:space="preserve">The remaining </w:t>
      </w:r>
      <w:r w:rsidR="007522CB">
        <w:rPr>
          <w:szCs w:val="32"/>
        </w:rPr>
        <w:t xml:space="preserve">LCAs </w:t>
      </w:r>
      <w:r w:rsidR="00F245AF">
        <w:rPr>
          <w:szCs w:val="32"/>
        </w:rPr>
        <w:t>have a lower share of load impacts than enrollments or reference loads</w:t>
      </w:r>
      <w:r w:rsidR="007D17EE">
        <w:rPr>
          <w:szCs w:val="32"/>
        </w:rPr>
        <w:t>, with the contrast being especially strong for Kern due to dispatch issues</w:t>
      </w:r>
      <w:r w:rsidR="00F245AF">
        <w:rPr>
          <w:szCs w:val="32"/>
        </w:rPr>
        <w:t xml:space="preserve">. </w:t>
      </w:r>
    </w:p>
    <w:p w14:paraId="7F91E2D4" w14:textId="77777777" w:rsidR="007522CB" w:rsidRDefault="007522CB" w:rsidP="00CC0084">
      <w:pPr>
        <w:spacing w:after="120"/>
        <w:rPr>
          <w:szCs w:val="32"/>
        </w:rPr>
      </w:pPr>
    </w:p>
    <w:p w14:paraId="488541F8" w14:textId="77777777" w:rsidR="00C734D6" w:rsidRDefault="00C734D6" w:rsidP="00CC0084">
      <w:pPr>
        <w:spacing w:after="120"/>
        <w:rPr>
          <w:szCs w:val="32"/>
        </w:rPr>
      </w:pPr>
    </w:p>
    <w:p w14:paraId="0E80251D" w14:textId="11DD7E22" w:rsidR="007D6B1D" w:rsidRDefault="007D6B1D" w:rsidP="007D6B1D">
      <w:pPr>
        <w:pStyle w:val="FigureCaption"/>
      </w:pPr>
      <w:bookmarkStart w:id="138" w:name="_Ref1406149"/>
      <w:bookmarkStart w:id="139" w:name="_Toc4578204"/>
      <w:r>
        <w:t xml:space="preserve">Figure </w:t>
      </w:r>
      <w:r w:rsidR="00002E97">
        <w:rPr>
          <w:noProof/>
        </w:rPr>
        <w:fldChar w:fldCharType="begin"/>
      </w:r>
      <w:r w:rsidR="00002E97">
        <w:rPr>
          <w:noProof/>
        </w:rPr>
        <w:instrText xml:space="preserve"> STYLEREF 1 \s </w:instrText>
      </w:r>
      <w:r w:rsidR="00002E97">
        <w:rPr>
          <w:noProof/>
        </w:rPr>
        <w:fldChar w:fldCharType="separate"/>
      </w:r>
      <w:r w:rsidR="00445DF3">
        <w:rPr>
          <w:noProof/>
        </w:rPr>
        <w:t>4</w:t>
      </w:r>
      <w:r w:rsidR="00002E97">
        <w:rPr>
          <w:noProof/>
        </w:rPr>
        <w:fldChar w:fldCharType="end"/>
      </w:r>
      <w:r w:rsidR="007F08B2">
        <w:noBreakHyphen/>
      </w:r>
      <w:r w:rsidR="00002E97">
        <w:rPr>
          <w:noProof/>
        </w:rPr>
        <w:fldChar w:fldCharType="begin"/>
      </w:r>
      <w:r w:rsidR="00002E97">
        <w:rPr>
          <w:noProof/>
        </w:rPr>
        <w:instrText xml:space="preserve"> SEQ Figure \* ARABIC \s 1 </w:instrText>
      </w:r>
      <w:r w:rsidR="00002E97">
        <w:rPr>
          <w:noProof/>
        </w:rPr>
        <w:fldChar w:fldCharType="separate"/>
      </w:r>
      <w:r w:rsidR="00445DF3">
        <w:rPr>
          <w:noProof/>
        </w:rPr>
        <w:t>5</w:t>
      </w:r>
      <w:r w:rsidR="00002E97">
        <w:rPr>
          <w:noProof/>
        </w:rPr>
        <w:fldChar w:fldCharType="end"/>
      </w:r>
      <w:bookmarkEnd w:id="138"/>
      <w:r>
        <w:t>: RA Window Load Impacts</w:t>
      </w:r>
      <w:r w:rsidR="00DF7EDE">
        <w:t xml:space="preserve"> for </w:t>
      </w:r>
      <w:r w:rsidR="00DF7EDE" w:rsidRPr="00125284">
        <w:rPr>
          <w:i/>
        </w:rPr>
        <w:t xml:space="preserve">PG&amp;E 1-in-2 </w:t>
      </w:r>
      <w:r w:rsidR="00DF7EDE">
        <w:t>Typical Event Day</w:t>
      </w:r>
      <w:r>
        <w:t xml:space="preserve"> by LCA</w:t>
      </w:r>
      <w:bookmarkEnd w:id="139"/>
    </w:p>
    <w:p w14:paraId="1658FDC9" w14:textId="55198440" w:rsidR="00F1782E" w:rsidRDefault="00F1782E" w:rsidP="00CC0084">
      <w:pPr>
        <w:spacing w:after="120"/>
        <w:jc w:val="center"/>
        <w:rPr>
          <w:szCs w:val="32"/>
        </w:rPr>
      </w:pPr>
      <w:r>
        <w:rPr>
          <w:noProof/>
        </w:rPr>
        <w:drawing>
          <wp:inline distT="0" distB="0" distL="0" distR="0" wp14:anchorId="4EF37B1E" wp14:editId="75D04DD4">
            <wp:extent cx="5486400" cy="3985895"/>
            <wp:effectExtent l="0" t="0" r="0" b="0"/>
            <wp:docPr id="23" name="Chart 23">
              <a:extLst xmlns:a="http://schemas.openxmlformats.org/drawingml/2006/main">
                <a:ext uri="{FF2B5EF4-FFF2-40B4-BE49-F238E27FC236}">
                  <a16:creationId xmlns:a16="http://schemas.microsoft.com/office/drawing/2014/main" id="{3FF08906-CC3F-4BD7-BDD4-7EE4E6BAA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BE1A28" w14:textId="24D9D2F6" w:rsidR="00C40573" w:rsidRDefault="00C40573" w:rsidP="00F06467"/>
    <w:p w14:paraId="6D5ED08E" w14:textId="2DFA9426" w:rsidR="003A20DB" w:rsidRDefault="003A20DB" w:rsidP="0047304C">
      <w:pPr>
        <w:pStyle w:val="Heading1"/>
        <w:spacing w:before="0" w:afterLines="120" w:after="288"/>
      </w:pPr>
      <w:bookmarkStart w:id="140" w:name="_Toc4578162"/>
      <w:r>
        <w:t>Load Impact Reconciliations</w:t>
      </w:r>
      <w:bookmarkEnd w:id="140"/>
    </w:p>
    <w:p w14:paraId="6A261BE6" w14:textId="1BF4929F" w:rsidR="008D4A3E" w:rsidRDefault="008D4A3E" w:rsidP="00B76ECD">
      <w:pPr>
        <w:spacing w:after="120"/>
      </w:pPr>
      <w:bookmarkStart w:id="141" w:name="_Hlk507078347"/>
      <w:bookmarkStart w:id="142" w:name="_Ref506974906"/>
      <w:r>
        <w:t xml:space="preserve">In a continuing effort to clarify the relationships between </w:t>
      </w:r>
      <w:r>
        <w:rPr>
          <w:i/>
        </w:rPr>
        <w:t>ex-post</w:t>
      </w:r>
      <w:r>
        <w:t xml:space="preserve"> and </w:t>
      </w:r>
      <w:r>
        <w:rPr>
          <w:i/>
        </w:rPr>
        <w:t>ex-ante</w:t>
      </w:r>
      <w:r>
        <w:t xml:space="preserve"> results, this section compares several sets of estimated load impacts for</w:t>
      </w:r>
      <w:r w:rsidR="0028120D">
        <w:t xml:space="preserve"> </w:t>
      </w:r>
      <w:r w:rsidR="00546AFB">
        <w:t>SmartAC™</w:t>
      </w:r>
      <w:r>
        <w:t>, including the following:</w:t>
      </w:r>
    </w:p>
    <w:p w14:paraId="53092A35" w14:textId="77777777" w:rsidR="008D4A3E" w:rsidRDefault="008D4A3E" w:rsidP="00B76ECD">
      <w:pPr>
        <w:numPr>
          <w:ilvl w:val="0"/>
          <w:numId w:val="1"/>
        </w:numPr>
        <w:spacing w:after="120"/>
      </w:pPr>
      <w:r>
        <w:rPr>
          <w:i/>
        </w:rPr>
        <w:t>Ex-post</w:t>
      </w:r>
      <w:r>
        <w:t xml:space="preserve"> load impacts from the current and previous studies;</w:t>
      </w:r>
    </w:p>
    <w:p w14:paraId="21A5236C" w14:textId="77777777" w:rsidR="008D4A3E" w:rsidRDefault="008D4A3E" w:rsidP="00B76ECD">
      <w:pPr>
        <w:numPr>
          <w:ilvl w:val="0"/>
          <w:numId w:val="1"/>
        </w:numPr>
        <w:spacing w:after="120"/>
      </w:pPr>
      <w:r>
        <w:rPr>
          <w:i/>
        </w:rPr>
        <w:t>Ex-ante</w:t>
      </w:r>
      <w:r>
        <w:t xml:space="preserve"> load impacts from the current and previous studies; </w:t>
      </w:r>
    </w:p>
    <w:p w14:paraId="574CBCDA" w14:textId="77777777" w:rsidR="008D4A3E" w:rsidRDefault="008D4A3E" w:rsidP="00B76ECD">
      <w:pPr>
        <w:numPr>
          <w:ilvl w:val="0"/>
          <w:numId w:val="1"/>
        </w:numPr>
        <w:spacing w:after="120"/>
      </w:pPr>
      <w:r>
        <w:t xml:space="preserve">Current </w:t>
      </w:r>
      <w:r>
        <w:rPr>
          <w:i/>
        </w:rPr>
        <w:t>ex-post</w:t>
      </w:r>
      <w:r>
        <w:t xml:space="preserve"> and previous </w:t>
      </w:r>
      <w:r>
        <w:rPr>
          <w:i/>
        </w:rPr>
        <w:t>ex-ante</w:t>
      </w:r>
      <w:r>
        <w:t xml:space="preserve"> load impacts; and </w:t>
      </w:r>
    </w:p>
    <w:p w14:paraId="35F5D023" w14:textId="77777777" w:rsidR="008D4A3E" w:rsidRDefault="008D4A3E" w:rsidP="00B76ECD">
      <w:pPr>
        <w:numPr>
          <w:ilvl w:val="0"/>
          <w:numId w:val="1"/>
        </w:numPr>
        <w:spacing w:after="120"/>
      </w:pPr>
      <w:r>
        <w:t xml:space="preserve">Current </w:t>
      </w:r>
      <w:r w:rsidRPr="00095BA1">
        <w:rPr>
          <w:i/>
        </w:rPr>
        <w:t>ex-post</w:t>
      </w:r>
      <w:r>
        <w:t xml:space="preserve"> and </w:t>
      </w:r>
      <w:r w:rsidRPr="00095BA1">
        <w:rPr>
          <w:i/>
        </w:rPr>
        <w:t>ex-ante</w:t>
      </w:r>
      <w:r>
        <w:t xml:space="preserve"> load impacts.</w:t>
      </w:r>
    </w:p>
    <w:p w14:paraId="26935B41" w14:textId="7AB3CDDB" w:rsidR="008D4A3E" w:rsidRPr="00E67E92" w:rsidRDefault="008D4A3E" w:rsidP="00B76ECD">
      <w:pPr>
        <w:spacing w:after="120"/>
      </w:pPr>
      <w:r>
        <w:t xml:space="preserve">The term “current” refers to the present study, which includes </w:t>
      </w:r>
      <w:r w:rsidRPr="00A102B2">
        <w:rPr>
          <w:i/>
        </w:rPr>
        <w:t>ex-post</w:t>
      </w:r>
      <w:r>
        <w:t xml:space="preserve"> and </w:t>
      </w:r>
      <w:r w:rsidRPr="00A102B2">
        <w:rPr>
          <w:i/>
        </w:rPr>
        <w:t>ex-ante</w:t>
      </w:r>
      <w:r>
        <w:t xml:space="preserve"> results for PY201</w:t>
      </w:r>
      <w:r w:rsidR="0028120D">
        <w:t>8</w:t>
      </w:r>
      <w:r>
        <w:t>. The term “previous” refers to findings in reports for PY201</w:t>
      </w:r>
      <w:r w:rsidR="0028120D">
        <w:t>7</w:t>
      </w:r>
      <w:r>
        <w:t>. In the final comparison above, we illustrate the linkage between the PY201</w:t>
      </w:r>
      <w:r w:rsidR="0028120D">
        <w:t>8</w:t>
      </w:r>
      <w:r>
        <w:t xml:space="preserve"> </w:t>
      </w:r>
      <w:r>
        <w:rPr>
          <w:i/>
        </w:rPr>
        <w:t>ex-post</w:t>
      </w:r>
      <w:r>
        <w:t xml:space="preserve"> load impacts and the</w:t>
      </w:r>
      <w:r w:rsidR="00E76A8E">
        <w:t xml:space="preserve"> “current”</w:t>
      </w:r>
      <w:r>
        <w:t xml:space="preserve"> </w:t>
      </w:r>
      <w:r>
        <w:rPr>
          <w:i/>
        </w:rPr>
        <w:t>ex-ante</w:t>
      </w:r>
      <w:r>
        <w:t xml:space="preserve"> forecast for 201</w:t>
      </w:r>
      <w:r w:rsidR="00E76A8E">
        <w:t>9</w:t>
      </w:r>
      <w:r>
        <w:t>.</w:t>
      </w:r>
    </w:p>
    <w:p w14:paraId="7E209657" w14:textId="7D10ABD1" w:rsidR="008D4A3E" w:rsidRDefault="001F5B92" w:rsidP="0047304C">
      <w:pPr>
        <w:pStyle w:val="Heading2"/>
        <w:spacing w:before="0" w:after="120"/>
      </w:pPr>
      <w:bookmarkStart w:id="143" w:name="_Toc383597952"/>
      <w:bookmarkStart w:id="144" w:name="_Toc413421725"/>
      <w:bookmarkStart w:id="145" w:name="_Toc477781288"/>
      <w:bookmarkStart w:id="146" w:name="_Toc4578163"/>
      <w:r>
        <w:t>Previous vs. Current Ex-Post</w:t>
      </w:r>
      <w:bookmarkEnd w:id="146"/>
    </w:p>
    <w:bookmarkEnd w:id="143"/>
    <w:bookmarkEnd w:id="144"/>
    <w:bookmarkEnd w:id="145"/>
    <w:p w14:paraId="148EEEFE" w14:textId="4F258102" w:rsidR="002F3ADE" w:rsidRDefault="00AF5620" w:rsidP="00B76ECD">
      <w:pPr>
        <w:spacing w:after="120"/>
      </w:pPr>
      <w:r>
        <w:t xml:space="preserve">In this section we compare </w:t>
      </w:r>
      <w:r w:rsidRPr="003D0347">
        <w:rPr>
          <w:i/>
        </w:rPr>
        <w:t>ex-post</w:t>
      </w:r>
      <w:r>
        <w:t xml:space="preserve"> load impacts from the current and previous studies. We focus on comparing results only for sub-LAP events</w:t>
      </w:r>
      <w:r w:rsidR="00D82F97">
        <w:t xml:space="preserve"> (</w:t>
      </w:r>
      <w:r w:rsidR="00D82F97" w:rsidRPr="003D0347">
        <w:rPr>
          <w:i/>
        </w:rPr>
        <w:t>i.e.</w:t>
      </w:r>
      <w:r w:rsidR="00D82F97">
        <w:t>, excluding serial number events in PY2017)</w:t>
      </w:r>
      <w:r w:rsidR="00164B09">
        <w:t xml:space="preserve">, since there were no serial number events called in 2018. </w:t>
      </w:r>
    </w:p>
    <w:p w14:paraId="0803D391" w14:textId="48FFC284" w:rsidR="002F3ADE" w:rsidRDefault="008D4A3E" w:rsidP="00B76ECD">
      <w:pPr>
        <w:spacing w:after="120"/>
      </w:pPr>
      <w:r>
        <w:fldChar w:fldCharType="begin"/>
      </w:r>
      <w:r>
        <w:instrText xml:space="preserve"> REF _Ref507076858 \h </w:instrText>
      </w:r>
      <w:r>
        <w:fldChar w:fldCharType="separate"/>
      </w:r>
      <w:r w:rsidR="00445DF3">
        <w:t xml:space="preserve">Table </w:t>
      </w:r>
      <w:r w:rsidR="00445DF3">
        <w:rPr>
          <w:noProof/>
        </w:rPr>
        <w:t>5</w:t>
      </w:r>
      <w:r w:rsidR="00445DF3">
        <w:noBreakHyphen/>
      </w:r>
      <w:r w:rsidR="00445DF3">
        <w:rPr>
          <w:noProof/>
        </w:rPr>
        <w:t>1</w:t>
      </w:r>
      <w:r>
        <w:fldChar w:fldCharType="end"/>
      </w:r>
      <w:r>
        <w:t xml:space="preserve"> shows the average </w:t>
      </w:r>
      <w:r w:rsidR="00A149C8">
        <w:t>HE</w:t>
      </w:r>
      <w:r w:rsidR="007F1C38">
        <w:t xml:space="preserve"> </w:t>
      </w:r>
      <w:r w:rsidR="00A149C8">
        <w:t xml:space="preserve">18 (5 to 6 p.m.) </w:t>
      </w:r>
      <w:r>
        <w:t>reference loads</w:t>
      </w:r>
      <w:r w:rsidR="00A149C8">
        <w:t xml:space="preserve">, </w:t>
      </w:r>
      <w:r>
        <w:t>load impacts</w:t>
      </w:r>
      <w:r w:rsidR="00A149C8">
        <w:t>, and temperature</w:t>
      </w:r>
      <w:r w:rsidR="00D82F97">
        <w:t>s</w:t>
      </w:r>
      <w:r>
        <w:t xml:space="preserve"> </w:t>
      </w:r>
      <w:r w:rsidR="00A149C8">
        <w:t>across sub-LAP events that include HE</w:t>
      </w:r>
      <w:r w:rsidR="007F1C38">
        <w:t xml:space="preserve"> </w:t>
      </w:r>
      <w:r w:rsidR="00A149C8">
        <w:t xml:space="preserve">18 </w:t>
      </w:r>
      <w:r>
        <w:t xml:space="preserve">during the current and previous program years. </w:t>
      </w:r>
      <w:r w:rsidR="00D82F97">
        <w:t xml:space="preserve">No sub-LAP events were called in </w:t>
      </w:r>
      <w:r w:rsidR="00986515">
        <w:t>either</w:t>
      </w:r>
      <w:r w:rsidR="003D0347">
        <w:t xml:space="preserve"> </w:t>
      </w:r>
      <w:r w:rsidR="00D82F97">
        <w:t xml:space="preserve">year for the following sub-LAPS: </w:t>
      </w:r>
      <w:r w:rsidR="00A149C8">
        <w:t>PGCC, PGEB, PGFG, PGHB, PGNB, PGP2, PGSB, PGSF, and PGST. For PGF1, PGSI, and PGZP the load impacts and temperatures were comparable, while the reference loads were higher in 2017. For PGNC load impacts were higher in 2018</w:t>
      </w:r>
      <w:r w:rsidR="00D82F97">
        <w:t xml:space="preserve"> despite lower </w:t>
      </w:r>
      <w:r w:rsidR="004B1F84">
        <w:t xml:space="preserve">reference loads </w:t>
      </w:r>
      <w:r w:rsidR="00D82F97">
        <w:t xml:space="preserve">and comparable </w:t>
      </w:r>
      <w:r w:rsidR="004B1F84">
        <w:t xml:space="preserve">temperatures. PGNP is the only sub-LAP where load impacts </w:t>
      </w:r>
      <w:r w:rsidR="00D82F97">
        <w:t xml:space="preserve">are notably lower </w:t>
      </w:r>
      <w:r w:rsidR="004B1F84">
        <w:t xml:space="preserve">in 2018 despite comparable temperatures. </w:t>
      </w:r>
      <w:r w:rsidR="00A149C8">
        <w:t xml:space="preserve">For PGKN the load impacts are widely different due to issues dispatching this sub-LAP during 2018. </w:t>
      </w:r>
      <w:r w:rsidR="00715586">
        <w:t>Considering that dispatch issues are expected to persist in this sub-LAP, w</w:t>
      </w:r>
      <w:r w:rsidR="00F2535B">
        <w:t xml:space="preserve">e </w:t>
      </w:r>
      <w:r w:rsidR="00715586">
        <w:t xml:space="preserve">apply the </w:t>
      </w:r>
      <w:r w:rsidR="00F2535B">
        <w:t xml:space="preserve">ratio of the </w:t>
      </w:r>
      <w:r w:rsidR="00715586">
        <w:t xml:space="preserve">PY2018 load impact to the PY2017 load impact (0.05) to adjust the </w:t>
      </w:r>
      <w:r w:rsidR="00715586" w:rsidRPr="00715586">
        <w:rPr>
          <w:i/>
        </w:rPr>
        <w:t xml:space="preserve">ex-ante </w:t>
      </w:r>
      <w:r w:rsidR="00715586">
        <w:t>load impacts in PY2018.</w:t>
      </w:r>
    </w:p>
    <w:p w14:paraId="4FC3F389" w14:textId="3D6E02D6" w:rsidR="008D4A3E" w:rsidRDefault="00164B09" w:rsidP="00B76ECD">
      <w:pPr>
        <w:spacing w:after="120"/>
      </w:pPr>
      <w:r>
        <w:t xml:space="preserve">The </w:t>
      </w:r>
      <w:r w:rsidR="00D82F97">
        <w:t xml:space="preserve">bottom row of the table compares </w:t>
      </w:r>
      <w:r>
        <w:t>average load impacts across sub-LAPs that had events in both years (excluding PGKN). Overall, more customers were called in 2018</w:t>
      </w:r>
      <w:r w:rsidR="006F533A">
        <w:t xml:space="preserve"> with comparable </w:t>
      </w:r>
      <w:r w:rsidR="002F3ADE">
        <w:t>weather conditions. There was</w:t>
      </w:r>
      <w:r>
        <w:t xml:space="preserve"> a small decrease in per-customer load impacts and a more substantial decrease in per-customer reference loads</w:t>
      </w:r>
      <w:r w:rsidR="008865A4">
        <w:t>.</w:t>
      </w:r>
    </w:p>
    <w:p w14:paraId="2B62A025" w14:textId="77777777" w:rsidR="008D4A3E" w:rsidRDefault="008D4A3E" w:rsidP="008D4A3E"/>
    <w:p w14:paraId="01A668F6" w14:textId="4BEE4C18" w:rsidR="008D4A3E" w:rsidRDefault="008D4A3E" w:rsidP="008D4A3E">
      <w:pPr>
        <w:pStyle w:val="TableCaption"/>
      </w:pPr>
      <w:bookmarkStart w:id="147" w:name="_Ref507076858"/>
      <w:bookmarkStart w:id="148" w:name="_Toc507081209"/>
      <w:bookmarkStart w:id="149" w:name="_Toc4578186"/>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5</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1</w:t>
      </w:r>
      <w:r w:rsidR="005D5F52">
        <w:rPr>
          <w:noProof/>
        </w:rPr>
        <w:fldChar w:fldCharType="end"/>
      </w:r>
      <w:bookmarkEnd w:id="147"/>
      <w:r w:rsidRPr="00376F46">
        <w:t xml:space="preserve">: </w:t>
      </w:r>
      <w:r>
        <w:t xml:space="preserve">Current vs. Previous </w:t>
      </w:r>
      <w:r w:rsidRPr="001634AA">
        <w:rPr>
          <w:i/>
        </w:rPr>
        <w:t>Ex-Post</w:t>
      </w:r>
      <w:r>
        <w:t xml:space="preserve"> Load Impacts for the </w:t>
      </w:r>
      <w:r w:rsidR="00BD4D1B">
        <w:t>HE</w:t>
      </w:r>
      <w:r w:rsidR="007F1C38">
        <w:t xml:space="preserve"> </w:t>
      </w:r>
      <w:r w:rsidR="00BD4D1B">
        <w:t>18</w:t>
      </w:r>
      <w:bookmarkEnd w:id="148"/>
      <w:r w:rsidR="005E738B">
        <w:t xml:space="preserve"> by sub-LAP</w:t>
      </w:r>
      <w:bookmarkEnd w:id="149"/>
    </w:p>
    <w:tbl>
      <w:tblPr>
        <w:tblW w:w="8263" w:type="dxa"/>
        <w:jc w:val="center"/>
        <w:tblLayout w:type="fixed"/>
        <w:tblLook w:val="04A0" w:firstRow="1" w:lastRow="0" w:firstColumn="1" w:lastColumn="0" w:noHBand="0" w:noVBand="1"/>
      </w:tblPr>
      <w:tblGrid>
        <w:gridCol w:w="1063"/>
        <w:gridCol w:w="900"/>
        <w:gridCol w:w="900"/>
        <w:gridCol w:w="900"/>
        <w:gridCol w:w="900"/>
        <w:gridCol w:w="900"/>
        <w:gridCol w:w="900"/>
        <w:gridCol w:w="900"/>
        <w:gridCol w:w="900"/>
      </w:tblGrid>
      <w:tr w:rsidR="00055DCD" w:rsidRPr="00055DCD" w14:paraId="24CF2D39" w14:textId="77777777" w:rsidTr="0060654B">
        <w:trPr>
          <w:trHeight w:val="600"/>
          <w:jc w:val="center"/>
        </w:trPr>
        <w:tc>
          <w:tcPr>
            <w:tcW w:w="1063" w:type="dxa"/>
            <w:vMerge w:val="restart"/>
            <w:tcBorders>
              <w:top w:val="single" w:sz="4" w:space="0" w:color="auto"/>
              <w:left w:val="single" w:sz="4" w:space="0" w:color="auto"/>
              <w:bottom w:val="single" w:sz="4" w:space="0" w:color="000000"/>
              <w:right w:val="single" w:sz="4" w:space="0" w:color="FFFFFF"/>
            </w:tcBorders>
            <w:shd w:val="clear" w:color="000000" w:fill="0C2577"/>
            <w:vAlign w:val="center"/>
            <w:hideMark/>
          </w:tcPr>
          <w:p w14:paraId="32E98668"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sub-LAP</w:t>
            </w:r>
          </w:p>
        </w:tc>
        <w:tc>
          <w:tcPr>
            <w:tcW w:w="1800" w:type="dxa"/>
            <w:gridSpan w:val="2"/>
            <w:tcBorders>
              <w:top w:val="single" w:sz="4" w:space="0" w:color="auto"/>
              <w:left w:val="nil"/>
              <w:bottom w:val="nil"/>
              <w:right w:val="single" w:sz="4" w:space="0" w:color="FFFFFF"/>
            </w:tcBorders>
            <w:shd w:val="clear" w:color="000000" w:fill="0C2577"/>
            <w:vAlign w:val="center"/>
            <w:hideMark/>
          </w:tcPr>
          <w:p w14:paraId="43D61AEC"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Avg. # called</w:t>
            </w:r>
          </w:p>
        </w:tc>
        <w:tc>
          <w:tcPr>
            <w:tcW w:w="1800" w:type="dxa"/>
            <w:gridSpan w:val="2"/>
            <w:tcBorders>
              <w:top w:val="single" w:sz="4" w:space="0" w:color="auto"/>
              <w:left w:val="nil"/>
              <w:bottom w:val="nil"/>
              <w:right w:val="single" w:sz="4" w:space="0" w:color="FFFFFF"/>
            </w:tcBorders>
            <w:shd w:val="clear" w:color="000000" w:fill="0C2577"/>
            <w:vAlign w:val="center"/>
            <w:hideMark/>
          </w:tcPr>
          <w:p w14:paraId="07D3B318"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Reference (kW/cust)</w:t>
            </w:r>
          </w:p>
        </w:tc>
        <w:tc>
          <w:tcPr>
            <w:tcW w:w="1800" w:type="dxa"/>
            <w:gridSpan w:val="2"/>
            <w:tcBorders>
              <w:top w:val="single" w:sz="4" w:space="0" w:color="auto"/>
              <w:left w:val="nil"/>
              <w:bottom w:val="nil"/>
              <w:right w:val="nil"/>
            </w:tcBorders>
            <w:shd w:val="clear" w:color="000000" w:fill="0C2577"/>
            <w:vAlign w:val="center"/>
            <w:hideMark/>
          </w:tcPr>
          <w:p w14:paraId="5F8A4DA6"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Load Impact (kW/cust)</w:t>
            </w:r>
          </w:p>
        </w:tc>
        <w:tc>
          <w:tcPr>
            <w:tcW w:w="1800" w:type="dxa"/>
            <w:gridSpan w:val="2"/>
            <w:tcBorders>
              <w:top w:val="single" w:sz="4" w:space="0" w:color="auto"/>
              <w:left w:val="single" w:sz="4" w:space="0" w:color="FFFFFF"/>
              <w:bottom w:val="nil"/>
              <w:right w:val="single" w:sz="4" w:space="0" w:color="000000"/>
            </w:tcBorders>
            <w:shd w:val="clear" w:color="000000" w:fill="0C2577"/>
            <w:vAlign w:val="center"/>
            <w:hideMark/>
          </w:tcPr>
          <w:p w14:paraId="57D1C068"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Avg Temp (</w:t>
            </w:r>
            <w:r w:rsidRPr="00055DCD">
              <w:rPr>
                <w:rFonts w:cs="Calibri"/>
                <w:color w:val="FFFFFF"/>
                <w:sz w:val="22"/>
                <w:szCs w:val="22"/>
              </w:rPr>
              <w:t>°F)</w:t>
            </w:r>
          </w:p>
        </w:tc>
      </w:tr>
      <w:tr w:rsidR="00C948FE" w:rsidRPr="00055DCD" w14:paraId="28CE9FDB" w14:textId="77777777" w:rsidTr="0060654B">
        <w:trPr>
          <w:trHeight w:val="300"/>
          <w:jc w:val="center"/>
        </w:trPr>
        <w:tc>
          <w:tcPr>
            <w:tcW w:w="1063" w:type="dxa"/>
            <w:vMerge/>
            <w:tcBorders>
              <w:top w:val="single" w:sz="4" w:space="0" w:color="auto"/>
              <w:left w:val="single" w:sz="4" w:space="0" w:color="auto"/>
              <w:bottom w:val="single" w:sz="4" w:space="0" w:color="000000"/>
              <w:right w:val="single" w:sz="4" w:space="0" w:color="FFFFFF"/>
            </w:tcBorders>
            <w:vAlign w:val="center"/>
            <w:hideMark/>
          </w:tcPr>
          <w:p w14:paraId="3B06BC93" w14:textId="77777777" w:rsidR="00055DCD" w:rsidRPr="00055DCD" w:rsidRDefault="00055DCD" w:rsidP="00055DCD">
            <w:pPr>
              <w:rPr>
                <w:rFonts w:cs="Calibri"/>
                <w:b/>
                <w:bCs/>
                <w:color w:val="FFFFFF"/>
                <w:sz w:val="20"/>
                <w:szCs w:val="20"/>
              </w:rPr>
            </w:pPr>
          </w:p>
        </w:tc>
        <w:tc>
          <w:tcPr>
            <w:tcW w:w="900" w:type="dxa"/>
            <w:tcBorders>
              <w:top w:val="single" w:sz="4" w:space="0" w:color="FFFFFF"/>
              <w:left w:val="nil"/>
              <w:bottom w:val="single" w:sz="4" w:space="0" w:color="auto"/>
              <w:right w:val="single" w:sz="4" w:space="0" w:color="FFFFFF"/>
            </w:tcBorders>
            <w:shd w:val="clear" w:color="000000" w:fill="0C2577"/>
            <w:vAlign w:val="center"/>
            <w:hideMark/>
          </w:tcPr>
          <w:p w14:paraId="0C7D1737"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PY2017</w:t>
            </w:r>
          </w:p>
        </w:tc>
        <w:tc>
          <w:tcPr>
            <w:tcW w:w="900" w:type="dxa"/>
            <w:tcBorders>
              <w:top w:val="single" w:sz="4" w:space="0" w:color="FFFFFF"/>
              <w:left w:val="nil"/>
              <w:bottom w:val="single" w:sz="4" w:space="0" w:color="auto"/>
              <w:right w:val="single" w:sz="4" w:space="0" w:color="FFFFFF"/>
            </w:tcBorders>
            <w:shd w:val="clear" w:color="000000" w:fill="0C2577"/>
            <w:vAlign w:val="center"/>
            <w:hideMark/>
          </w:tcPr>
          <w:p w14:paraId="35F05B38"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PY2018</w:t>
            </w:r>
          </w:p>
        </w:tc>
        <w:tc>
          <w:tcPr>
            <w:tcW w:w="900" w:type="dxa"/>
            <w:tcBorders>
              <w:top w:val="single" w:sz="4" w:space="0" w:color="FFFFFF"/>
              <w:left w:val="nil"/>
              <w:bottom w:val="single" w:sz="4" w:space="0" w:color="auto"/>
              <w:right w:val="single" w:sz="4" w:space="0" w:color="FFFFFF"/>
            </w:tcBorders>
            <w:shd w:val="clear" w:color="000000" w:fill="0C2577"/>
            <w:vAlign w:val="center"/>
            <w:hideMark/>
          </w:tcPr>
          <w:p w14:paraId="60E83CB2"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PY2017</w:t>
            </w:r>
          </w:p>
        </w:tc>
        <w:tc>
          <w:tcPr>
            <w:tcW w:w="900" w:type="dxa"/>
            <w:tcBorders>
              <w:top w:val="single" w:sz="4" w:space="0" w:color="FFFFFF"/>
              <w:left w:val="nil"/>
              <w:bottom w:val="single" w:sz="4" w:space="0" w:color="auto"/>
              <w:right w:val="single" w:sz="4" w:space="0" w:color="FFFFFF"/>
            </w:tcBorders>
            <w:shd w:val="clear" w:color="000000" w:fill="0C2577"/>
            <w:vAlign w:val="center"/>
            <w:hideMark/>
          </w:tcPr>
          <w:p w14:paraId="486D7233"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PY2018</w:t>
            </w:r>
          </w:p>
        </w:tc>
        <w:tc>
          <w:tcPr>
            <w:tcW w:w="900" w:type="dxa"/>
            <w:tcBorders>
              <w:top w:val="single" w:sz="4" w:space="0" w:color="FFFFFF"/>
              <w:left w:val="nil"/>
              <w:bottom w:val="single" w:sz="4" w:space="0" w:color="auto"/>
              <w:right w:val="single" w:sz="4" w:space="0" w:color="FFFFFF"/>
            </w:tcBorders>
            <w:shd w:val="clear" w:color="000000" w:fill="0C2577"/>
            <w:vAlign w:val="center"/>
            <w:hideMark/>
          </w:tcPr>
          <w:p w14:paraId="29C2D9D5"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PY2017</w:t>
            </w:r>
          </w:p>
        </w:tc>
        <w:tc>
          <w:tcPr>
            <w:tcW w:w="900" w:type="dxa"/>
            <w:tcBorders>
              <w:top w:val="single" w:sz="4" w:space="0" w:color="FFFFFF"/>
              <w:left w:val="nil"/>
              <w:bottom w:val="single" w:sz="4" w:space="0" w:color="auto"/>
              <w:right w:val="single" w:sz="4" w:space="0" w:color="FFFFFF"/>
            </w:tcBorders>
            <w:shd w:val="clear" w:color="000000" w:fill="0C2577"/>
            <w:vAlign w:val="center"/>
            <w:hideMark/>
          </w:tcPr>
          <w:p w14:paraId="332B88E9"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PY2018</w:t>
            </w:r>
          </w:p>
        </w:tc>
        <w:tc>
          <w:tcPr>
            <w:tcW w:w="900" w:type="dxa"/>
            <w:tcBorders>
              <w:top w:val="single" w:sz="4" w:space="0" w:color="FFFFFF"/>
              <w:left w:val="nil"/>
              <w:bottom w:val="single" w:sz="4" w:space="0" w:color="auto"/>
              <w:right w:val="single" w:sz="4" w:space="0" w:color="FFFFFF"/>
            </w:tcBorders>
            <w:shd w:val="clear" w:color="000000" w:fill="0C2577"/>
            <w:vAlign w:val="center"/>
            <w:hideMark/>
          </w:tcPr>
          <w:p w14:paraId="283025E4"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PY2017</w:t>
            </w:r>
          </w:p>
        </w:tc>
        <w:tc>
          <w:tcPr>
            <w:tcW w:w="900" w:type="dxa"/>
            <w:tcBorders>
              <w:top w:val="single" w:sz="4" w:space="0" w:color="FFFFFF"/>
              <w:left w:val="nil"/>
              <w:bottom w:val="single" w:sz="4" w:space="0" w:color="auto"/>
              <w:right w:val="single" w:sz="4" w:space="0" w:color="FFFFFF"/>
            </w:tcBorders>
            <w:shd w:val="clear" w:color="000000" w:fill="0C2577"/>
            <w:vAlign w:val="center"/>
            <w:hideMark/>
          </w:tcPr>
          <w:p w14:paraId="5A2A6E19" w14:textId="77777777" w:rsidR="00055DCD" w:rsidRPr="00055DCD" w:rsidRDefault="00055DCD" w:rsidP="00055DCD">
            <w:pPr>
              <w:jc w:val="center"/>
              <w:rPr>
                <w:rFonts w:cs="Calibri"/>
                <w:b/>
                <w:bCs/>
                <w:color w:val="FFFFFF"/>
                <w:sz w:val="20"/>
                <w:szCs w:val="20"/>
              </w:rPr>
            </w:pPr>
            <w:r w:rsidRPr="00055DCD">
              <w:rPr>
                <w:rFonts w:cs="Calibri"/>
                <w:b/>
                <w:bCs/>
                <w:color w:val="FFFFFF"/>
                <w:sz w:val="20"/>
                <w:szCs w:val="20"/>
              </w:rPr>
              <w:t>PY2018</w:t>
            </w:r>
          </w:p>
        </w:tc>
      </w:tr>
      <w:tr w:rsidR="00C948FE" w:rsidRPr="00055DCD" w14:paraId="4CA6E133"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19D7682E" w14:textId="77777777" w:rsidR="00055DCD" w:rsidRPr="00055DCD" w:rsidRDefault="00055DCD" w:rsidP="00055DCD">
            <w:pPr>
              <w:rPr>
                <w:rFonts w:cs="Calibri"/>
                <w:color w:val="000000"/>
                <w:sz w:val="22"/>
                <w:szCs w:val="22"/>
              </w:rPr>
            </w:pPr>
            <w:r w:rsidRPr="00055DCD">
              <w:rPr>
                <w:rFonts w:cs="Calibri"/>
                <w:color w:val="000000"/>
                <w:sz w:val="22"/>
                <w:szCs w:val="22"/>
              </w:rPr>
              <w:t>PGEB</w:t>
            </w:r>
          </w:p>
        </w:tc>
        <w:tc>
          <w:tcPr>
            <w:tcW w:w="900" w:type="dxa"/>
            <w:tcBorders>
              <w:top w:val="nil"/>
              <w:left w:val="nil"/>
              <w:bottom w:val="single" w:sz="4" w:space="0" w:color="auto"/>
              <w:right w:val="single" w:sz="4" w:space="0" w:color="auto"/>
            </w:tcBorders>
            <w:shd w:val="clear" w:color="auto" w:fill="auto"/>
            <w:noWrap/>
            <w:vAlign w:val="bottom"/>
            <w:hideMark/>
          </w:tcPr>
          <w:p w14:paraId="77C47B75"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7C13409" w14:textId="77777777" w:rsidR="00055DCD" w:rsidRPr="00055DCD" w:rsidRDefault="00055DCD" w:rsidP="00055DCD">
            <w:pPr>
              <w:jc w:val="right"/>
              <w:rPr>
                <w:rFonts w:cs="Calibri"/>
                <w:color w:val="000000"/>
                <w:sz w:val="22"/>
                <w:szCs w:val="22"/>
              </w:rPr>
            </w:pPr>
            <w:r w:rsidRPr="00055DCD">
              <w:rPr>
                <w:rFonts w:cs="Calibri"/>
                <w:color w:val="000000"/>
                <w:sz w:val="22"/>
                <w:szCs w:val="22"/>
              </w:rPr>
              <w:t>21,069</w:t>
            </w:r>
          </w:p>
        </w:tc>
        <w:tc>
          <w:tcPr>
            <w:tcW w:w="900" w:type="dxa"/>
            <w:tcBorders>
              <w:top w:val="nil"/>
              <w:left w:val="nil"/>
              <w:bottom w:val="single" w:sz="4" w:space="0" w:color="auto"/>
              <w:right w:val="single" w:sz="4" w:space="0" w:color="auto"/>
            </w:tcBorders>
            <w:shd w:val="clear" w:color="auto" w:fill="auto"/>
            <w:noWrap/>
            <w:vAlign w:val="bottom"/>
            <w:hideMark/>
          </w:tcPr>
          <w:p w14:paraId="59F612E9"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50406616" w14:textId="77777777" w:rsidR="00055DCD" w:rsidRPr="00055DCD" w:rsidRDefault="00055DCD" w:rsidP="00055DCD">
            <w:pPr>
              <w:jc w:val="right"/>
              <w:rPr>
                <w:rFonts w:cs="Calibri"/>
                <w:color w:val="000000"/>
                <w:sz w:val="22"/>
                <w:szCs w:val="22"/>
              </w:rPr>
            </w:pPr>
            <w:r w:rsidRPr="00055DCD">
              <w:rPr>
                <w:rFonts w:cs="Calibri"/>
                <w:color w:val="000000"/>
                <w:sz w:val="22"/>
                <w:szCs w:val="22"/>
              </w:rPr>
              <w:t>1.98</w:t>
            </w:r>
          </w:p>
        </w:tc>
        <w:tc>
          <w:tcPr>
            <w:tcW w:w="900" w:type="dxa"/>
            <w:tcBorders>
              <w:top w:val="nil"/>
              <w:left w:val="nil"/>
              <w:bottom w:val="single" w:sz="4" w:space="0" w:color="auto"/>
              <w:right w:val="single" w:sz="4" w:space="0" w:color="auto"/>
            </w:tcBorders>
            <w:shd w:val="clear" w:color="auto" w:fill="auto"/>
            <w:noWrap/>
            <w:vAlign w:val="bottom"/>
            <w:hideMark/>
          </w:tcPr>
          <w:p w14:paraId="519933FB"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D6C03CA" w14:textId="77777777" w:rsidR="00055DCD" w:rsidRPr="00055DCD" w:rsidRDefault="00055DCD" w:rsidP="00055DCD">
            <w:pPr>
              <w:jc w:val="right"/>
              <w:rPr>
                <w:rFonts w:cs="Calibri"/>
                <w:color w:val="000000"/>
                <w:sz w:val="22"/>
                <w:szCs w:val="22"/>
              </w:rPr>
            </w:pPr>
            <w:r w:rsidRPr="00055DCD">
              <w:rPr>
                <w:rFonts w:cs="Calibri"/>
                <w:color w:val="000000"/>
                <w:sz w:val="22"/>
                <w:szCs w:val="22"/>
              </w:rPr>
              <w:t>0.35</w:t>
            </w:r>
          </w:p>
        </w:tc>
        <w:tc>
          <w:tcPr>
            <w:tcW w:w="900" w:type="dxa"/>
            <w:tcBorders>
              <w:top w:val="nil"/>
              <w:left w:val="nil"/>
              <w:bottom w:val="single" w:sz="4" w:space="0" w:color="auto"/>
              <w:right w:val="single" w:sz="4" w:space="0" w:color="auto"/>
            </w:tcBorders>
            <w:shd w:val="clear" w:color="auto" w:fill="auto"/>
            <w:noWrap/>
            <w:vAlign w:val="bottom"/>
            <w:hideMark/>
          </w:tcPr>
          <w:p w14:paraId="33DA53E5"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59D1473D" w14:textId="77777777" w:rsidR="00055DCD" w:rsidRPr="00055DCD" w:rsidRDefault="00055DCD" w:rsidP="00055DCD">
            <w:pPr>
              <w:jc w:val="right"/>
              <w:rPr>
                <w:rFonts w:cs="Calibri"/>
                <w:color w:val="000000"/>
                <w:sz w:val="22"/>
                <w:szCs w:val="22"/>
              </w:rPr>
            </w:pPr>
            <w:r w:rsidRPr="00055DCD">
              <w:rPr>
                <w:rFonts w:cs="Calibri"/>
                <w:color w:val="000000"/>
                <w:sz w:val="22"/>
                <w:szCs w:val="22"/>
              </w:rPr>
              <w:t>92.8</w:t>
            </w:r>
          </w:p>
        </w:tc>
      </w:tr>
      <w:tr w:rsidR="00C948FE" w:rsidRPr="00055DCD" w14:paraId="7C6C8EA2"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391A4CE6" w14:textId="77777777" w:rsidR="00055DCD" w:rsidRPr="00055DCD" w:rsidRDefault="00055DCD" w:rsidP="00055DCD">
            <w:pPr>
              <w:rPr>
                <w:rFonts w:cs="Calibri"/>
                <w:color w:val="000000"/>
                <w:sz w:val="22"/>
                <w:szCs w:val="22"/>
              </w:rPr>
            </w:pPr>
            <w:r w:rsidRPr="00055DCD">
              <w:rPr>
                <w:rFonts w:cs="Calibri"/>
                <w:color w:val="000000"/>
                <w:sz w:val="22"/>
                <w:szCs w:val="22"/>
              </w:rPr>
              <w:t>PGF1</w:t>
            </w:r>
          </w:p>
        </w:tc>
        <w:tc>
          <w:tcPr>
            <w:tcW w:w="900" w:type="dxa"/>
            <w:tcBorders>
              <w:top w:val="nil"/>
              <w:left w:val="nil"/>
              <w:bottom w:val="single" w:sz="4" w:space="0" w:color="auto"/>
              <w:right w:val="single" w:sz="4" w:space="0" w:color="auto"/>
            </w:tcBorders>
            <w:shd w:val="clear" w:color="auto" w:fill="auto"/>
            <w:noWrap/>
            <w:vAlign w:val="bottom"/>
            <w:hideMark/>
          </w:tcPr>
          <w:p w14:paraId="4104F88F" w14:textId="77777777" w:rsidR="00055DCD" w:rsidRPr="00055DCD" w:rsidRDefault="00055DCD" w:rsidP="00055DCD">
            <w:pPr>
              <w:jc w:val="right"/>
              <w:rPr>
                <w:rFonts w:cs="Calibri"/>
                <w:color w:val="000000"/>
                <w:sz w:val="22"/>
                <w:szCs w:val="22"/>
              </w:rPr>
            </w:pPr>
            <w:r w:rsidRPr="00055DCD">
              <w:rPr>
                <w:rFonts w:cs="Calibri"/>
                <w:color w:val="000000"/>
                <w:sz w:val="22"/>
                <w:szCs w:val="22"/>
              </w:rPr>
              <w:t>18,898</w:t>
            </w:r>
          </w:p>
        </w:tc>
        <w:tc>
          <w:tcPr>
            <w:tcW w:w="900" w:type="dxa"/>
            <w:tcBorders>
              <w:top w:val="nil"/>
              <w:left w:val="nil"/>
              <w:bottom w:val="single" w:sz="4" w:space="0" w:color="auto"/>
              <w:right w:val="single" w:sz="4" w:space="0" w:color="auto"/>
            </w:tcBorders>
            <w:shd w:val="clear" w:color="auto" w:fill="auto"/>
            <w:noWrap/>
            <w:vAlign w:val="bottom"/>
            <w:hideMark/>
          </w:tcPr>
          <w:p w14:paraId="76C05A17" w14:textId="77777777" w:rsidR="00055DCD" w:rsidRPr="00055DCD" w:rsidRDefault="00055DCD" w:rsidP="00055DCD">
            <w:pPr>
              <w:jc w:val="right"/>
              <w:rPr>
                <w:rFonts w:cs="Calibri"/>
                <w:color w:val="000000"/>
                <w:sz w:val="22"/>
                <w:szCs w:val="22"/>
              </w:rPr>
            </w:pPr>
            <w:r w:rsidRPr="00055DCD">
              <w:rPr>
                <w:rFonts w:cs="Calibri"/>
                <w:color w:val="000000"/>
                <w:sz w:val="22"/>
                <w:szCs w:val="22"/>
              </w:rPr>
              <w:t>17,370</w:t>
            </w:r>
          </w:p>
        </w:tc>
        <w:tc>
          <w:tcPr>
            <w:tcW w:w="900" w:type="dxa"/>
            <w:tcBorders>
              <w:top w:val="nil"/>
              <w:left w:val="nil"/>
              <w:bottom w:val="single" w:sz="4" w:space="0" w:color="auto"/>
              <w:right w:val="single" w:sz="4" w:space="0" w:color="auto"/>
            </w:tcBorders>
            <w:shd w:val="clear" w:color="auto" w:fill="auto"/>
            <w:noWrap/>
            <w:vAlign w:val="bottom"/>
            <w:hideMark/>
          </w:tcPr>
          <w:p w14:paraId="4C4D23E2" w14:textId="77777777" w:rsidR="00055DCD" w:rsidRPr="00055DCD" w:rsidRDefault="00055DCD" w:rsidP="00055DCD">
            <w:pPr>
              <w:jc w:val="right"/>
              <w:rPr>
                <w:rFonts w:cs="Calibri"/>
                <w:color w:val="000000"/>
                <w:sz w:val="22"/>
                <w:szCs w:val="22"/>
              </w:rPr>
            </w:pPr>
            <w:r w:rsidRPr="00055DCD">
              <w:rPr>
                <w:rFonts w:cs="Calibri"/>
                <w:color w:val="000000"/>
                <w:sz w:val="22"/>
                <w:szCs w:val="22"/>
              </w:rPr>
              <w:t>3.18</w:t>
            </w:r>
          </w:p>
        </w:tc>
        <w:tc>
          <w:tcPr>
            <w:tcW w:w="900" w:type="dxa"/>
            <w:tcBorders>
              <w:top w:val="nil"/>
              <w:left w:val="nil"/>
              <w:bottom w:val="single" w:sz="4" w:space="0" w:color="auto"/>
              <w:right w:val="single" w:sz="4" w:space="0" w:color="auto"/>
            </w:tcBorders>
            <w:shd w:val="clear" w:color="auto" w:fill="auto"/>
            <w:noWrap/>
            <w:vAlign w:val="bottom"/>
            <w:hideMark/>
          </w:tcPr>
          <w:p w14:paraId="466674EF" w14:textId="77777777" w:rsidR="00055DCD" w:rsidRPr="00055DCD" w:rsidRDefault="00055DCD" w:rsidP="00055DCD">
            <w:pPr>
              <w:jc w:val="right"/>
              <w:rPr>
                <w:rFonts w:cs="Calibri"/>
                <w:color w:val="000000"/>
                <w:sz w:val="22"/>
                <w:szCs w:val="22"/>
              </w:rPr>
            </w:pPr>
            <w:r w:rsidRPr="00055DCD">
              <w:rPr>
                <w:rFonts w:cs="Calibri"/>
                <w:color w:val="000000"/>
                <w:sz w:val="22"/>
                <w:szCs w:val="22"/>
              </w:rPr>
              <w:t>2.80</w:t>
            </w:r>
          </w:p>
        </w:tc>
        <w:tc>
          <w:tcPr>
            <w:tcW w:w="900" w:type="dxa"/>
            <w:tcBorders>
              <w:top w:val="nil"/>
              <w:left w:val="nil"/>
              <w:bottom w:val="single" w:sz="4" w:space="0" w:color="auto"/>
              <w:right w:val="single" w:sz="4" w:space="0" w:color="auto"/>
            </w:tcBorders>
            <w:shd w:val="clear" w:color="auto" w:fill="auto"/>
            <w:noWrap/>
            <w:vAlign w:val="bottom"/>
            <w:hideMark/>
          </w:tcPr>
          <w:p w14:paraId="63A0DAE0" w14:textId="77777777" w:rsidR="00055DCD" w:rsidRPr="00055DCD" w:rsidRDefault="00055DCD" w:rsidP="00055DCD">
            <w:pPr>
              <w:jc w:val="right"/>
              <w:rPr>
                <w:rFonts w:cs="Calibri"/>
                <w:color w:val="000000"/>
                <w:sz w:val="22"/>
                <w:szCs w:val="22"/>
              </w:rPr>
            </w:pPr>
            <w:r w:rsidRPr="00055DCD">
              <w:rPr>
                <w:rFonts w:cs="Calibri"/>
                <w:color w:val="000000"/>
                <w:sz w:val="22"/>
                <w:szCs w:val="22"/>
              </w:rPr>
              <w:t>0.36</w:t>
            </w:r>
          </w:p>
        </w:tc>
        <w:tc>
          <w:tcPr>
            <w:tcW w:w="900" w:type="dxa"/>
            <w:tcBorders>
              <w:top w:val="nil"/>
              <w:left w:val="nil"/>
              <w:bottom w:val="single" w:sz="4" w:space="0" w:color="auto"/>
              <w:right w:val="single" w:sz="4" w:space="0" w:color="auto"/>
            </w:tcBorders>
            <w:shd w:val="clear" w:color="auto" w:fill="auto"/>
            <w:noWrap/>
            <w:vAlign w:val="bottom"/>
            <w:hideMark/>
          </w:tcPr>
          <w:p w14:paraId="2CF9AC5A" w14:textId="77777777" w:rsidR="00055DCD" w:rsidRPr="00055DCD" w:rsidRDefault="00055DCD" w:rsidP="00055DCD">
            <w:pPr>
              <w:jc w:val="right"/>
              <w:rPr>
                <w:rFonts w:cs="Calibri"/>
                <w:color w:val="000000"/>
                <w:sz w:val="22"/>
                <w:szCs w:val="22"/>
              </w:rPr>
            </w:pPr>
            <w:r w:rsidRPr="00055DCD">
              <w:rPr>
                <w:rFonts w:cs="Calibri"/>
                <w:color w:val="000000"/>
                <w:sz w:val="22"/>
                <w:szCs w:val="22"/>
              </w:rPr>
              <w:t>0.39</w:t>
            </w:r>
          </w:p>
        </w:tc>
        <w:tc>
          <w:tcPr>
            <w:tcW w:w="900" w:type="dxa"/>
            <w:tcBorders>
              <w:top w:val="nil"/>
              <w:left w:val="nil"/>
              <w:bottom w:val="single" w:sz="4" w:space="0" w:color="auto"/>
              <w:right w:val="single" w:sz="4" w:space="0" w:color="auto"/>
            </w:tcBorders>
            <w:shd w:val="clear" w:color="auto" w:fill="auto"/>
            <w:noWrap/>
            <w:vAlign w:val="bottom"/>
            <w:hideMark/>
          </w:tcPr>
          <w:p w14:paraId="0155BE88" w14:textId="77777777" w:rsidR="00055DCD" w:rsidRPr="00055DCD" w:rsidRDefault="00055DCD" w:rsidP="00055DCD">
            <w:pPr>
              <w:jc w:val="right"/>
              <w:rPr>
                <w:rFonts w:cs="Calibri"/>
                <w:color w:val="000000"/>
                <w:sz w:val="22"/>
                <w:szCs w:val="22"/>
              </w:rPr>
            </w:pPr>
            <w:r w:rsidRPr="00055DCD">
              <w:rPr>
                <w:rFonts w:cs="Calibri"/>
                <w:color w:val="000000"/>
                <w:sz w:val="22"/>
                <w:szCs w:val="22"/>
              </w:rPr>
              <w:t>103.2</w:t>
            </w:r>
          </w:p>
        </w:tc>
        <w:tc>
          <w:tcPr>
            <w:tcW w:w="900" w:type="dxa"/>
            <w:tcBorders>
              <w:top w:val="nil"/>
              <w:left w:val="nil"/>
              <w:bottom w:val="single" w:sz="4" w:space="0" w:color="auto"/>
              <w:right w:val="single" w:sz="4" w:space="0" w:color="auto"/>
            </w:tcBorders>
            <w:shd w:val="clear" w:color="auto" w:fill="auto"/>
            <w:noWrap/>
            <w:vAlign w:val="bottom"/>
            <w:hideMark/>
          </w:tcPr>
          <w:p w14:paraId="517B25F8" w14:textId="77777777" w:rsidR="00055DCD" w:rsidRPr="00055DCD" w:rsidRDefault="00055DCD" w:rsidP="00055DCD">
            <w:pPr>
              <w:jc w:val="right"/>
              <w:rPr>
                <w:rFonts w:cs="Calibri"/>
                <w:color w:val="000000"/>
                <w:sz w:val="22"/>
                <w:szCs w:val="22"/>
              </w:rPr>
            </w:pPr>
            <w:r w:rsidRPr="00055DCD">
              <w:rPr>
                <w:rFonts w:cs="Calibri"/>
                <w:color w:val="000000"/>
                <w:sz w:val="22"/>
                <w:szCs w:val="22"/>
              </w:rPr>
              <w:t>102.8</w:t>
            </w:r>
          </w:p>
        </w:tc>
      </w:tr>
      <w:tr w:rsidR="00C948FE" w:rsidRPr="00055DCD" w14:paraId="0EFECBF9"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6BA8C599" w14:textId="77777777" w:rsidR="00055DCD" w:rsidRPr="00055DCD" w:rsidRDefault="00055DCD" w:rsidP="00055DCD">
            <w:pPr>
              <w:rPr>
                <w:rFonts w:cs="Calibri"/>
                <w:color w:val="000000"/>
                <w:sz w:val="22"/>
                <w:szCs w:val="22"/>
              </w:rPr>
            </w:pPr>
            <w:r w:rsidRPr="00055DCD">
              <w:rPr>
                <w:rFonts w:cs="Calibri"/>
                <w:color w:val="000000"/>
                <w:sz w:val="22"/>
                <w:szCs w:val="22"/>
              </w:rPr>
              <w:t>PGFG</w:t>
            </w:r>
          </w:p>
        </w:tc>
        <w:tc>
          <w:tcPr>
            <w:tcW w:w="900" w:type="dxa"/>
            <w:tcBorders>
              <w:top w:val="nil"/>
              <w:left w:val="nil"/>
              <w:bottom w:val="single" w:sz="4" w:space="0" w:color="auto"/>
              <w:right w:val="single" w:sz="4" w:space="0" w:color="auto"/>
            </w:tcBorders>
            <w:shd w:val="clear" w:color="auto" w:fill="auto"/>
            <w:noWrap/>
            <w:vAlign w:val="bottom"/>
            <w:hideMark/>
          </w:tcPr>
          <w:p w14:paraId="44B17C63"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67FDBAE7" w14:textId="77777777" w:rsidR="00055DCD" w:rsidRPr="00055DCD" w:rsidRDefault="00055DCD" w:rsidP="00055DCD">
            <w:pPr>
              <w:jc w:val="right"/>
              <w:rPr>
                <w:rFonts w:cs="Calibri"/>
                <w:color w:val="000000"/>
                <w:sz w:val="22"/>
                <w:szCs w:val="22"/>
              </w:rPr>
            </w:pPr>
            <w:r w:rsidRPr="00055DCD">
              <w:rPr>
                <w:rFonts w:cs="Calibri"/>
                <w:color w:val="000000"/>
                <w:sz w:val="22"/>
                <w:szCs w:val="22"/>
              </w:rPr>
              <w:t>2,078</w:t>
            </w:r>
          </w:p>
        </w:tc>
        <w:tc>
          <w:tcPr>
            <w:tcW w:w="900" w:type="dxa"/>
            <w:tcBorders>
              <w:top w:val="nil"/>
              <w:left w:val="nil"/>
              <w:bottom w:val="single" w:sz="4" w:space="0" w:color="auto"/>
              <w:right w:val="single" w:sz="4" w:space="0" w:color="auto"/>
            </w:tcBorders>
            <w:shd w:val="clear" w:color="auto" w:fill="auto"/>
            <w:noWrap/>
            <w:vAlign w:val="bottom"/>
            <w:hideMark/>
          </w:tcPr>
          <w:p w14:paraId="0BF82110"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91920EE" w14:textId="77777777" w:rsidR="00055DCD" w:rsidRPr="00055DCD" w:rsidRDefault="00055DCD" w:rsidP="00055DCD">
            <w:pPr>
              <w:jc w:val="right"/>
              <w:rPr>
                <w:rFonts w:cs="Calibri"/>
                <w:color w:val="000000"/>
                <w:sz w:val="22"/>
                <w:szCs w:val="22"/>
              </w:rPr>
            </w:pPr>
            <w:r w:rsidRPr="00055DCD">
              <w:rPr>
                <w:rFonts w:cs="Calibri"/>
                <w:color w:val="000000"/>
                <w:sz w:val="22"/>
                <w:szCs w:val="22"/>
              </w:rPr>
              <w:t>1.22</w:t>
            </w:r>
          </w:p>
        </w:tc>
        <w:tc>
          <w:tcPr>
            <w:tcW w:w="900" w:type="dxa"/>
            <w:tcBorders>
              <w:top w:val="nil"/>
              <w:left w:val="nil"/>
              <w:bottom w:val="single" w:sz="4" w:space="0" w:color="auto"/>
              <w:right w:val="single" w:sz="4" w:space="0" w:color="auto"/>
            </w:tcBorders>
            <w:shd w:val="clear" w:color="auto" w:fill="auto"/>
            <w:noWrap/>
            <w:vAlign w:val="bottom"/>
            <w:hideMark/>
          </w:tcPr>
          <w:p w14:paraId="64111430"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E406B72" w14:textId="77777777" w:rsidR="00055DCD" w:rsidRPr="00055DCD" w:rsidRDefault="00055DCD" w:rsidP="00055DCD">
            <w:pPr>
              <w:jc w:val="right"/>
              <w:rPr>
                <w:rFonts w:cs="Calibri"/>
                <w:color w:val="000000"/>
                <w:sz w:val="22"/>
                <w:szCs w:val="22"/>
              </w:rPr>
            </w:pPr>
            <w:r w:rsidRPr="00055DCD">
              <w:rPr>
                <w:rFonts w:cs="Calibri"/>
                <w:color w:val="000000"/>
                <w:sz w:val="22"/>
                <w:szCs w:val="22"/>
              </w:rPr>
              <w:t>0.10</w:t>
            </w:r>
          </w:p>
        </w:tc>
        <w:tc>
          <w:tcPr>
            <w:tcW w:w="900" w:type="dxa"/>
            <w:tcBorders>
              <w:top w:val="nil"/>
              <w:left w:val="nil"/>
              <w:bottom w:val="single" w:sz="4" w:space="0" w:color="auto"/>
              <w:right w:val="single" w:sz="4" w:space="0" w:color="auto"/>
            </w:tcBorders>
            <w:shd w:val="clear" w:color="auto" w:fill="auto"/>
            <w:noWrap/>
            <w:vAlign w:val="bottom"/>
            <w:hideMark/>
          </w:tcPr>
          <w:p w14:paraId="0866F7D8"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13EBDA8" w14:textId="77777777" w:rsidR="00055DCD" w:rsidRPr="00055DCD" w:rsidRDefault="00055DCD" w:rsidP="00055DCD">
            <w:pPr>
              <w:jc w:val="right"/>
              <w:rPr>
                <w:rFonts w:cs="Calibri"/>
                <w:color w:val="000000"/>
                <w:sz w:val="22"/>
                <w:szCs w:val="22"/>
              </w:rPr>
            </w:pPr>
            <w:r w:rsidRPr="00055DCD">
              <w:rPr>
                <w:rFonts w:cs="Calibri"/>
                <w:color w:val="000000"/>
                <w:sz w:val="22"/>
                <w:szCs w:val="22"/>
              </w:rPr>
              <w:t>76.0</w:t>
            </w:r>
          </w:p>
        </w:tc>
      </w:tr>
      <w:tr w:rsidR="00C948FE" w:rsidRPr="00055DCD" w14:paraId="4F18E0C5"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5FE3BF56" w14:textId="77777777" w:rsidR="00055DCD" w:rsidRPr="00055DCD" w:rsidRDefault="00055DCD" w:rsidP="00055DCD">
            <w:pPr>
              <w:rPr>
                <w:rFonts w:cs="Calibri"/>
                <w:color w:val="000000"/>
                <w:sz w:val="22"/>
                <w:szCs w:val="22"/>
              </w:rPr>
            </w:pPr>
            <w:r w:rsidRPr="00055DCD">
              <w:rPr>
                <w:rFonts w:cs="Calibri"/>
                <w:color w:val="000000"/>
                <w:sz w:val="22"/>
                <w:szCs w:val="22"/>
              </w:rPr>
              <w:t>PGKN</w:t>
            </w:r>
          </w:p>
        </w:tc>
        <w:tc>
          <w:tcPr>
            <w:tcW w:w="900" w:type="dxa"/>
            <w:tcBorders>
              <w:top w:val="nil"/>
              <w:left w:val="nil"/>
              <w:bottom w:val="single" w:sz="4" w:space="0" w:color="auto"/>
              <w:right w:val="single" w:sz="4" w:space="0" w:color="auto"/>
            </w:tcBorders>
            <w:shd w:val="clear" w:color="auto" w:fill="auto"/>
            <w:noWrap/>
            <w:vAlign w:val="bottom"/>
            <w:hideMark/>
          </w:tcPr>
          <w:p w14:paraId="3F3022B4" w14:textId="77777777" w:rsidR="00055DCD" w:rsidRPr="00055DCD" w:rsidRDefault="00055DCD" w:rsidP="00055DCD">
            <w:pPr>
              <w:jc w:val="right"/>
              <w:rPr>
                <w:rFonts w:cs="Calibri"/>
                <w:color w:val="000000"/>
                <w:sz w:val="22"/>
                <w:szCs w:val="22"/>
              </w:rPr>
            </w:pPr>
            <w:r w:rsidRPr="00055DCD">
              <w:rPr>
                <w:rFonts w:cs="Calibri"/>
                <w:color w:val="000000"/>
                <w:sz w:val="22"/>
                <w:szCs w:val="22"/>
              </w:rPr>
              <w:t>5,367</w:t>
            </w:r>
          </w:p>
        </w:tc>
        <w:tc>
          <w:tcPr>
            <w:tcW w:w="900" w:type="dxa"/>
            <w:tcBorders>
              <w:top w:val="nil"/>
              <w:left w:val="nil"/>
              <w:bottom w:val="single" w:sz="4" w:space="0" w:color="auto"/>
              <w:right w:val="single" w:sz="4" w:space="0" w:color="auto"/>
            </w:tcBorders>
            <w:shd w:val="clear" w:color="auto" w:fill="auto"/>
            <w:noWrap/>
            <w:vAlign w:val="bottom"/>
            <w:hideMark/>
          </w:tcPr>
          <w:p w14:paraId="34B032C6" w14:textId="77777777" w:rsidR="00055DCD" w:rsidRPr="00055DCD" w:rsidRDefault="00055DCD" w:rsidP="00055DCD">
            <w:pPr>
              <w:jc w:val="right"/>
              <w:rPr>
                <w:rFonts w:cs="Calibri"/>
                <w:color w:val="000000"/>
                <w:sz w:val="22"/>
                <w:szCs w:val="22"/>
              </w:rPr>
            </w:pPr>
            <w:r w:rsidRPr="00055DCD">
              <w:rPr>
                <w:rFonts w:cs="Calibri"/>
                <w:color w:val="000000"/>
                <w:sz w:val="22"/>
                <w:szCs w:val="22"/>
              </w:rPr>
              <w:t>5,602</w:t>
            </w:r>
          </w:p>
        </w:tc>
        <w:tc>
          <w:tcPr>
            <w:tcW w:w="900" w:type="dxa"/>
            <w:tcBorders>
              <w:top w:val="nil"/>
              <w:left w:val="nil"/>
              <w:bottom w:val="single" w:sz="4" w:space="0" w:color="auto"/>
              <w:right w:val="single" w:sz="4" w:space="0" w:color="auto"/>
            </w:tcBorders>
            <w:shd w:val="clear" w:color="auto" w:fill="auto"/>
            <w:noWrap/>
            <w:vAlign w:val="bottom"/>
            <w:hideMark/>
          </w:tcPr>
          <w:p w14:paraId="6698B889" w14:textId="77777777" w:rsidR="00055DCD" w:rsidRPr="00055DCD" w:rsidRDefault="00055DCD" w:rsidP="00055DCD">
            <w:pPr>
              <w:jc w:val="right"/>
              <w:rPr>
                <w:rFonts w:cs="Calibri"/>
                <w:color w:val="000000"/>
                <w:sz w:val="22"/>
                <w:szCs w:val="22"/>
              </w:rPr>
            </w:pPr>
            <w:r w:rsidRPr="00055DCD">
              <w:rPr>
                <w:rFonts w:cs="Calibri"/>
                <w:color w:val="000000"/>
                <w:sz w:val="22"/>
                <w:szCs w:val="22"/>
              </w:rPr>
              <w:t>3.29</w:t>
            </w:r>
          </w:p>
        </w:tc>
        <w:tc>
          <w:tcPr>
            <w:tcW w:w="900" w:type="dxa"/>
            <w:tcBorders>
              <w:top w:val="nil"/>
              <w:left w:val="nil"/>
              <w:bottom w:val="single" w:sz="4" w:space="0" w:color="auto"/>
              <w:right w:val="single" w:sz="4" w:space="0" w:color="auto"/>
            </w:tcBorders>
            <w:shd w:val="clear" w:color="auto" w:fill="auto"/>
            <w:noWrap/>
            <w:vAlign w:val="bottom"/>
            <w:hideMark/>
          </w:tcPr>
          <w:p w14:paraId="0BEC3B1C" w14:textId="77777777" w:rsidR="00055DCD" w:rsidRPr="00055DCD" w:rsidRDefault="00055DCD" w:rsidP="00055DCD">
            <w:pPr>
              <w:jc w:val="right"/>
              <w:rPr>
                <w:rFonts w:cs="Calibri"/>
                <w:color w:val="000000"/>
                <w:sz w:val="22"/>
                <w:szCs w:val="22"/>
              </w:rPr>
            </w:pPr>
            <w:r w:rsidRPr="00055DCD">
              <w:rPr>
                <w:rFonts w:cs="Calibri"/>
                <w:color w:val="000000"/>
                <w:sz w:val="22"/>
                <w:szCs w:val="22"/>
              </w:rPr>
              <w:t>2.90</w:t>
            </w:r>
          </w:p>
        </w:tc>
        <w:tc>
          <w:tcPr>
            <w:tcW w:w="900" w:type="dxa"/>
            <w:tcBorders>
              <w:top w:val="nil"/>
              <w:left w:val="nil"/>
              <w:bottom w:val="single" w:sz="4" w:space="0" w:color="auto"/>
              <w:right w:val="single" w:sz="4" w:space="0" w:color="auto"/>
            </w:tcBorders>
            <w:shd w:val="clear" w:color="auto" w:fill="auto"/>
            <w:noWrap/>
            <w:vAlign w:val="bottom"/>
            <w:hideMark/>
          </w:tcPr>
          <w:p w14:paraId="00A464C3" w14:textId="77777777" w:rsidR="00055DCD" w:rsidRPr="00055DCD" w:rsidRDefault="00055DCD" w:rsidP="00055DCD">
            <w:pPr>
              <w:jc w:val="right"/>
              <w:rPr>
                <w:rFonts w:cs="Calibri"/>
                <w:color w:val="000000"/>
                <w:sz w:val="22"/>
                <w:szCs w:val="22"/>
              </w:rPr>
            </w:pPr>
            <w:r w:rsidRPr="00055DCD">
              <w:rPr>
                <w:rFonts w:cs="Calibri"/>
                <w:color w:val="000000"/>
                <w:sz w:val="22"/>
                <w:szCs w:val="22"/>
              </w:rPr>
              <w:t>0.75</w:t>
            </w:r>
          </w:p>
        </w:tc>
        <w:tc>
          <w:tcPr>
            <w:tcW w:w="900" w:type="dxa"/>
            <w:tcBorders>
              <w:top w:val="nil"/>
              <w:left w:val="nil"/>
              <w:bottom w:val="single" w:sz="4" w:space="0" w:color="auto"/>
              <w:right w:val="single" w:sz="4" w:space="0" w:color="auto"/>
            </w:tcBorders>
            <w:shd w:val="clear" w:color="auto" w:fill="auto"/>
            <w:noWrap/>
            <w:vAlign w:val="bottom"/>
            <w:hideMark/>
          </w:tcPr>
          <w:p w14:paraId="3DBA3A2C" w14:textId="77777777" w:rsidR="00055DCD" w:rsidRPr="00055DCD" w:rsidRDefault="00055DCD" w:rsidP="00055DCD">
            <w:pPr>
              <w:jc w:val="right"/>
              <w:rPr>
                <w:rFonts w:cs="Calibri"/>
                <w:color w:val="000000"/>
                <w:sz w:val="22"/>
                <w:szCs w:val="22"/>
              </w:rPr>
            </w:pPr>
            <w:r w:rsidRPr="00055DCD">
              <w:rPr>
                <w:rFonts w:cs="Calibri"/>
                <w:color w:val="000000"/>
                <w:sz w:val="22"/>
                <w:szCs w:val="22"/>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C567FB4" w14:textId="77777777" w:rsidR="00055DCD" w:rsidRPr="00055DCD" w:rsidRDefault="00055DCD" w:rsidP="00055DCD">
            <w:pPr>
              <w:jc w:val="right"/>
              <w:rPr>
                <w:rFonts w:cs="Calibri"/>
                <w:color w:val="000000"/>
                <w:sz w:val="22"/>
                <w:szCs w:val="22"/>
              </w:rPr>
            </w:pPr>
            <w:r w:rsidRPr="00055DCD">
              <w:rPr>
                <w:rFonts w:cs="Calibri"/>
                <w:color w:val="000000"/>
                <w:sz w:val="22"/>
                <w:szCs w:val="22"/>
              </w:rPr>
              <w:t>103.3</w:t>
            </w:r>
          </w:p>
        </w:tc>
        <w:tc>
          <w:tcPr>
            <w:tcW w:w="900" w:type="dxa"/>
            <w:tcBorders>
              <w:top w:val="nil"/>
              <w:left w:val="nil"/>
              <w:bottom w:val="single" w:sz="4" w:space="0" w:color="auto"/>
              <w:right w:val="single" w:sz="4" w:space="0" w:color="auto"/>
            </w:tcBorders>
            <w:shd w:val="clear" w:color="auto" w:fill="auto"/>
            <w:noWrap/>
            <w:vAlign w:val="bottom"/>
            <w:hideMark/>
          </w:tcPr>
          <w:p w14:paraId="0D6DF9E8" w14:textId="77777777" w:rsidR="00055DCD" w:rsidRPr="00055DCD" w:rsidRDefault="00055DCD" w:rsidP="00055DCD">
            <w:pPr>
              <w:jc w:val="right"/>
              <w:rPr>
                <w:rFonts w:cs="Calibri"/>
                <w:color w:val="000000"/>
                <w:sz w:val="22"/>
                <w:szCs w:val="22"/>
              </w:rPr>
            </w:pPr>
            <w:r w:rsidRPr="00055DCD">
              <w:rPr>
                <w:rFonts w:cs="Calibri"/>
                <w:color w:val="000000"/>
                <w:sz w:val="22"/>
                <w:szCs w:val="22"/>
              </w:rPr>
              <w:t>103.0</w:t>
            </w:r>
          </w:p>
        </w:tc>
      </w:tr>
      <w:tr w:rsidR="00C948FE" w:rsidRPr="00055DCD" w14:paraId="37B0EB6D"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0873B4D8" w14:textId="77777777" w:rsidR="00055DCD" w:rsidRPr="00055DCD" w:rsidRDefault="00055DCD" w:rsidP="00055DCD">
            <w:pPr>
              <w:rPr>
                <w:rFonts w:cs="Calibri"/>
                <w:color w:val="000000"/>
                <w:sz w:val="22"/>
                <w:szCs w:val="22"/>
              </w:rPr>
            </w:pPr>
            <w:r w:rsidRPr="00055DCD">
              <w:rPr>
                <w:rFonts w:cs="Calibri"/>
                <w:color w:val="000000"/>
                <w:sz w:val="22"/>
                <w:szCs w:val="22"/>
              </w:rPr>
              <w:t>PGNC</w:t>
            </w:r>
          </w:p>
        </w:tc>
        <w:tc>
          <w:tcPr>
            <w:tcW w:w="900" w:type="dxa"/>
            <w:tcBorders>
              <w:top w:val="nil"/>
              <w:left w:val="nil"/>
              <w:bottom w:val="single" w:sz="4" w:space="0" w:color="auto"/>
              <w:right w:val="single" w:sz="4" w:space="0" w:color="auto"/>
            </w:tcBorders>
            <w:shd w:val="clear" w:color="auto" w:fill="auto"/>
            <w:noWrap/>
            <w:vAlign w:val="bottom"/>
            <w:hideMark/>
          </w:tcPr>
          <w:p w14:paraId="59ED7CB0" w14:textId="77777777" w:rsidR="00055DCD" w:rsidRPr="00055DCD" w:rsidRDefault="00055DCD" w:rsidP="00055DCD">
            <w:pPr>
              <w:jc w:val="right"/>
              <w:rPr>
                <w:rFonts w:cs="Calibri"/>
                <w:color w:val="000000"/>
                <w:sz w:val="22"/>
                <w:szCs w:val="22"/>
              </w:rPr>
            </w:pPr>
            <w:r w:rsidRPr="00055DCD">
              <w:rPr>
                <w:rFonts w:cs="Calibri"/>
                <w:color w:val="000000"/>
                <w:sz w:val="22"/>
                <w:szCs w:val="22"/>
              </w:rPr>
              <w:t>752</w:t>
            </w:r>
          </w:p>
        </w:tc>
        <w:tc>
          <w:tcPr>
            <w:tcW w:w="900" w:type="dxa"/>
            <w:tcBorders>
              <w:top w:val="nil"/>
              <w:left w:val="nil"/>
              <w:bottom w:val="single" w:sz="4" w:space="0" w:color="auto"/>
              <w:right w:val="single" w:sz="4" w:space="0" w:color="auto"/>
            </w:tcBorders>
            <w:shd w:val="clear" w:color="auto" w:fill="auto"/>
            <w:noWrap/>
            <w:vAlign w:val="bottom"/>
            <w:hideMark/>
          </w:tcPr>
          <w:p w14:paraId="06D54AF3" w14:textId="77777777" w:rsidR="00055DCD" w:rsidRPr="00055DCD" w:rsidRDefault="00055DCD" w:rsidP="00055DCD">
            <w:pPr>
              <w:jc w:val="right"/>
              <w:rPr>
                <w:rFonts w:cs="Calibri"/>
                <w:color w:val="000000"/>
                <w:sz w:val="22"/>
                <w:szCs w:val="22"/>
              </w:rPr>
            </w:pPr>
            <w:r w:rsidRPr="00055DCD">
              <w:rPr>
                <w:rFonts w:cs="Calibri"/>
                <w:color w:val="000000"/>
                <w:sz w:val="22"/>
                <w:szCs w:val="22"/>
              </w:rPr>
              <w:t>727</w:t>
            </w:r>
          </w:p>
        </w:tc>
        <w:tc>
          <w:tcPr>
            <w:tcW w:w="900" w:type="dxa"/>
            <w:tcBorders>
              <w:top w:val="nil"/>
              <w:left w:val="nil"/>
              <w:bottom w:val="single" w:sz="4" w:space="0" w:color="auto"/>
              <w:right w:val="single" w:sz="4" w:space="0" w:color="auto"/>
            </w:tcBorders>
            <w:shd w:val="clear" w:color="auto" w:fill="auto"/>
            <w:noWrap/>
            <w:vAlign w:val="bottom"/>
            <w:hideMark/>
          </w:tcPr>
          <w:p w14:paraId="3FA90C0B" w14:textId="77777777" w:rsidR="00055DCD" w:rsidRPr="00055DCD" w:rsidRDefault="00055DCD" w:rsidP="00055DCD">
            <w:pPr>
              <w:jc w:val="right"/>
              <w:rPr>
                <w:rFonts w:cs="Calibri"/>
                <w:color w:val="000000"/>
                <w:sz w:val="22"/>
                <w:szCs w:val="22"/>
              </w:rPr>
            </w:pPr>
            <w:r w:rsidRPr="00055DCD">
              <w:rPr>
                <w:rFonts w:cs="Calibri"/>
                <w:color w:val="000000"/>
                <w:sz w:val="22"/>
                <w:szCs w:val="22"/>
              </w:rPr>
              <w:t>2.80</w:t>
            </w:r>
          </w:p>
        </w:tc>
        <w:tc>
          <w:tcPr>
            <w:tcW w:w="900" w:type="dxa"/>
            <w:tcBorders>
              <w:top w:val="nil"/>
              <w:left w:val="nil"/>
              <w:bottom w:val="single" w:sz="4" w:space="0" w:color="auto"/>
              <w:right w:val="single" w:sz="4" w:space="0" w:color="auto"/>
            </w:tcBorders>
            <w:shd w:val="clear" w:color="auto" w:fill="auto"/>
            <w:noWrap/>
            <w:vAlign w:val="bottom"/>
            <w:hideMark/>
          </w:tcPr>
          <w:p w14:paraId="533FCB93" w14:textId="77777777" w:rsidR="00055DCD" w:rsidRPr="00055DCD" w:rsidRDefault="00055DCD" w:rsidP="00055DCD">
            <w:pPr>
              <w:jc w:val="right"/>
              <w:rPr>
                <w:rFonts w:cs="Calibri"/>
                <w:color w:val="000000"/>
                <w:sz w:val="22"/>
                <w:szCs w:val="22"/>
              </w:rPr>
            </w:pPr>
            <w:r w:rsidRPr="00055DCD">
              <w:rPr>
                <w:rFonts w:cs="Calibri"/>
                <w:color w:val="000000"/>
                <w:sz w:val="22"/>
                <w:szCs w:val="22"/>
              </w:rPr>
              <w:t>2.12</w:t>
            </w:r>
          </w:p>
        </w:tc>
        <w:tc>
          <w:tcPr>
            <w:tcW w:w="900" w:type="dxa"/>
            <w:tcBorders>
              <w:top w:val="nil"/>
              <w:left w:val="nil"/>
              <w:bottom w:val="single" w:sz="4" w:space="0" w:color="auto"/>
              <w:right w:val="single" w:sz="4" w:space="0" w:color="auto"/>
            </w:tcBorders>
            <w:shd w:val="clear" w:color="auto" w:fill="auto"/>
            <w:noWrap/>
            <w:vAlign w:val="bottom"/>
            <w:hideMark/>
          </w:tcPr>
          <w:p w14:paraId="5171AE7A" w14:textId="77777777" w:rsidR="00055DCD" w:rsidRPr="00055DCD" w:rsidRDefault="00055DCD" w:rsidP="00055DCD">
            <w:pPr>
              <w:jc w:val="right"/>
              <w:rPr>
                <w:rFonts w:cs="Calibri"/>
                <w:color w:val="000000"/>
                <w:sz w:val="22"/>
                <w:szCs w:val="22"/>
              </w:rPr>
            </w:pPr>
            <w:r w:rsidRPr="00055DCD">
              <w:rPr>
                <w:rFonts w:cs="Calibri"/>
                <w:color w:val="000000"/>
                <w:sz w:val="22"/>
                <w:szCs w:val="22"/>
              </w:rPr>
              <w:t>0.17</w:t>
            </w:r>
          </w:p>
        </w:tc>
        <w:tc>
          <w:tcPr>
            <w:tcW w:w="900" w:type="dxa"/>
            <w:tcBorders>
              <w:top w:val="nil"/>
              <w:left w:val="nil"/>
              <w:bottom w:val="single" w:sz="4" w:space="0" w:color="auto"/>
              <w:right w:val="single" w:sz="4" w:space="0" w:color="auto"/>
            </w:tcBorders>
            <w:shd w:val="clear" w:color="auto" w:fill="auto"/>
            <w:noWrap/>
            <w:vAlign w:val="bottom"/>
            <w:hideMark/>
          </w:tcPr>
          <w:p w14:paraId="113F63A0" w14:textId="77777777" w:rsidR="00055DCD" w:rsidRPr="00055DCD" w:rsidRDefault="00055DCD" w:rsidP="00055DCD">
            <w:pPr>
              <w:jc w:val="right"/>
              <w:rPr>
                <w:rFonts w:cs="Calibri"/>
                <w:color w:val="000000"/>
                <w:sz w:val="22"/>
                <w:szCs w:val="22"/>
              </w:rPr>
            </w:pPr>
            <w:r w:rsidRPr="00055DCD">
              <w:rPr>
                <w:rFonts w:cs="Calibri"/>
                <w:color w:val="000000"/>
                <w:sz w:val="22"/>
                <w:szCs w:val="22"/>
              </w:rPr>
              <w:t>0.26</w:t>
            </w:r>
          </w:p>
        </w:tc>
        <w:tc>
          <w:tcPr>
            <w:tcW w:w="900" w:type="dxa"/>
            <w:tcBorders>
              <w:top w:val="nil"/>
              <w:left w:val="nil"/>
              <w:bottom w:val="single" w:sz="4" w:space="0" w:color="auto"/>
              <w:right w:val="single" w:sz="4" w:space="0" w:color="auto"/>
            </w:tcBorders>
            <w:shd w:val="clear" w:color="auto" w:fill="auto"/>
            <w:noWrap/>
            <w:vAlign w:val="bottom"/>
            <w:hideMark/>
          </w:tcPr>
          <w:p w14:paraId="47DDBAC8" w14:textId="77777777" w:rsidR="00055DCD" w:rsidRPr="00055DCD" w:rsidRDefault="00055DCD" w:rsidP="00055DCD">
            <w:pPr>
              <w:jc w:val="right"/>
              <w:rPr>
                <w:rFonts w:cs="Calibri"/>
                <w:color w:val="000000"/>
                <w:sz w:val="22"/>
                <w:szCs w:val="22"/>
              </w:rPr>
            </w:pPr>
            <w:r w:rsidRPr="00055DCD">
              <w:rPr>
                <w:rFonts w:cs="Calibri"/>
                <w:color w:val="000000"/>
                <w:sz w:val="22"/>
                <w:szCs w:val="22"/>
              </w:rPr>
              <w:t>93.5</w:t>
            </w:r>
          </w:p>
        </w:tc>
        <w:tc>
          <w:tcPr>
            <w:tcW w:w="900" w:type="dxa"/>
            <w:tcBorders>
              <w:top w:val="nil"/>
              <w:left w:val="nil"/>
              <w:bottom w:val="single" w:sz="4" w:space="0" w:color="auto"/>
              <w:right w:val="single" w:sz="4" w:space="0" w:color="auto"/>
            </w:tcBorders>
            <w:shd w:val="clear" w:color="auto" w:fill="auto"/>
            <w:noWrap/>
            <w:vAlign w:val="bottom"/>
            <w:hideMark/>
          </w:tcPr>
          <w:p w14:paraId="20535357" w14:textId="77777777" w:rsidR="00055DCD" w:rsidRPr="00055DCD" w:rsidRDefault="00055DCD" w:rsidP="00055DCD">
            <w:pPr>
              <w:jc w:val="right"/>
              <w:rPr>
                <w:rFonts w:cs="Calibri"/>
                <w:color w:val="000000"/>
                <w:sz w:val="22"/>
                <w:szCs w:val="22"/>
              </w:rPr>
            </w:pPr>
            <w:r w:rsidRPr="00055DCD">
              <w:rPr>
                <w:rFonts w:cs="Calibri"/>
                <w:color w:val="000000"/>
                <w:sz w:val="22"/>
                <w:szCs w:val="22"/>
              </w:rPr>
              <w:t>93.9</w:t>
            </w:r>
          </w:p>
        </w:tc>
      </w:tr>
      <w:tr w:rsidR="00C948FE" w:rsidRPr="00055DCD" w14:paraId="03FA5984"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19447EA1" w14:textId="77777777" w:rsidR="00055DCD" w:rsidRPr="00055DCD" w:rsidRDefault="00055DCD" w:rsidP="00055DCD">
            <w:pPr>
              <w:rPr>
                <w:rFonts w:cs="Calibri"/>
                <w:color w:val="000000"/>
                <w:sz w:val="22"/>
                <w:szCs w:val="22"/>
              </w:rPr>
            </w:pPr>
            <w:r w:rsidRPr="00055DCD">
              <w:rPr>
                <w:rFonts w:cs="Calibri"/>
                <w:color w:val="000000"/>
                <w:sz w:val="22"/>
                <w:szCs w:val="22"/>
              </w:rPr>
              <w:t>PGNP</w:t>
            </w:r>
          </w:p>
        </w:tc>
        <w:tc>
          <w:tcPr>
            <w:tcW w:w="900" w:type="dxa"/>
            <w:tcBorders>
              <w:top w:val="nil"/>
              <w:left w:val="nil"/>
              <w:bottom w:val="single" w:sz="4" w:space="0" w:color="auto"/>
              <w:right w:val="single" w:sz="4" w:space="0" w:color="auto"/>
            </w:tcBorders>
            <w:shd w:val="clear" w:color="auto" w:fill="auto"/>
            <w:noWrap/>
            <w:vAlign w:val="bottom"/>
            <w:hideMark/>
          </w:tcPr>
          <w:p w14:paraId="73BAABA5" w14:textId="77777777" w:rsidR="00055DCD" w:rsidRPr="00055DCD" w:rsidRDefault="00055DCD" w:rsidP="00055DCD">
            <w:pPr>
              <w:jc w:val="right"/>
              <w:rPr>
                <w:rFonts w:cs="Calibri"/>
                <w:color w:val="000000"/>
                <w:sz w:val="22"/>
                <w:szCs w:val="22"/>
              </w:rPr>
            </w:pPr>
            <w:r w:rsidRPr="00055DCD">
              <w:rPr>
                <w:rFonts w:cs="Calibri"/>
                <w:color w:val="000000"/>
                <w:sz w:val="22"/>
                <w:szCs w:val="22"/>
              </w:rPr>
              <w:t>14,789</w:t>
            </w:r>
          </w:p>
        </w:tc>
        <w:tc>
          <w:tcPr>
            <w:tcW w:w="900" w:type="dxa"/>
            <w:tcBorders>
              <w:top w:val="nil"/>
              <w:left w:val="nil"/>
              <w:bottom w:val="single" w:sz="4" w:space="0" w:color="auto"/>
              <w:right w:val="single" w:sz="4" w:space="0" w:color="auto"/>
            </w:tcBorders>
            <w:shd w:val="clear" w:color="auto" w:fill="auto"/>
            <w:noWrap/>
            <w:vAlign w:val="bottom"/>
            <w:hideMark/>
          </w:tcPr>
          <w:p w14:paraId="5B57CBE1" w14:textId="77777777" w:rsidR="00055DCD" w:rsidRPr="00055DCD" w:rsidRDefault="00055DCD" w:rsidP="00055DCD">
            <w:pPr>
              <w:jc w:val="right"/>
              <w:rPr>
                <w:rFonts w:cs="Calibri"/>
                <w:color w:val="000000"/>
                <w:sz w:val="22"/>
                <w:szCs w:val="22"/>
              </w:rPr>
            </w:pPr>
            <w:r w:rsidRPr="00055DCD">
              <w:rPr>
                <w:rFonts w:cs="Calibri"/>
                <w:color w:val="000000"/>
                <w:sz w:val="22"/>
                <w:szCs w:val="22"/>
              </w:rPr>
              <w:t>15,183</w:t>
            </w:r>
          </w:p>
        </w:tc>
        <w:tc>
          <w:tcPr>
            <w:tcW w:w="900" w:type="dxa"/>
            <w:tcBorders>
              <w:top w:val="nil"/>
              <w:left w:val="nil"/>
              <w:bottom w:val="single" w:sz="4" w:space="0" w:color="auto"/>
              <w:right w:val="single" w:sz="4" w:space="0" w:color="auto"/>
            </w:tcBorders>
            <w:shd w:val="clear" w:color="auto" w:fill="auto"/>
            <w:noWrap/>
            <w:vAlign w:val="bottom"/>
            <w:hideMark/>
          </w:tcPr>
          <w:p w14:paraId="52356927" w14:textId="77777777" w:rsidR="00055DCD" w:rsidRPr="00055DCD" w:rsidRDefault="00055DCD" w:rsidP="00055DCD">
            <w:pPr>
              <w:jc w:val="right"/>
              <w:rPr>
                <w:rFonts w:cs="Calibri"/>
                <w:color w:val="000000"/>
                <w:sz w:val="22"/>
                <w:szCs w:val="22"/>
              </w:rPr>
            </w:pPr>
            <w:r w:rsidRPr="00055DCD">
              <w:rPr>
                <w:rFonts w:cs="Calibri"/>
                <w:color w:val="000000"/>
                <w:sz w:val="22"/>
                <w:szCs w:val="22"/>
              </w:rPr>
              <w:t>2.75</w:t>
            </w:r>
          </w:p>
        </w:tc>
        <w:tc>
          <w:tcPr>
            <w:tcW w:w="900" w:type="dxa"/>
            <w:tcBorders>
              <w:top w:val="nil"/>
              <w:left w:val="nil"/>
              <w:bottom w:val="single" w:sz="4" w:space="0" w:color="auto"/>
              <w:right w:val="single" w:sz="4" w:space="0" w:color="auto"/>
            </w:tcBorders>
            <w:shd w:val="clear" w:color="auto" w:fill="auto"/>
            <w:noWrap/>
            <w:vAlign w:val="bottom"/>
            <w:hideMark/>
          </w:tcPr>
          <w:p w14:paraId="660FE504" w14:textId="77777777" w:rsidR="00055DCD" w:rsidRPr="00055DCD" w:rsidRDefault="00055DCD" w:rsidP="00055DCD">
            <w:pPr>
              <w:jc w:val="right"/>
              <w:rPr>
                <w:rFonts w:cs="Calibri"/>
                <w:color w:val="000000"/>
                <w:sz w:val="22"/>
                <w:szCs w:val="22"/>
              </w:rPr>
            </w:pPr>
            <w:r w:rsidRPr="00055DCD">
              <w:rPr>
                <w:rFonts w:cs="Calibri"/>
                <w:color w:val="000000"/>
                <w:sz w:val="22"/>
                <w:szCs w:val="22"/>
              </w:rPr>
              <w:t>2.50</w:t>
            </w:r>
          </w:p>
        </w:tc>
        <w:tc>
          <w:tcPr>
            <w:tcW w:w="900" w:type="dxa"/>
            <w:tcBorders>
              <w:top w:val="nil"/>
              <w:left w:val="nil"/>
              <w:bottom w:val="single" w:sz="4" w:space="0" w:color="auto"/>
              <w:right w:val="single" w:sz="4" w:space="0" w:color="auto"/>
            </w:tcBorders>
            <w:shd w:val="clear" w:color="auto" w:fill="auto"/>
            <w:noWrap/>
            <w:vAlign w:val="bottom"/>
            <w:hideMark/>
          </w:tcPr>
          <w:p w14:paraId="0AD1C138" w14:textId="77777777" w:rsidR="00055DCD" w:rsidRPr="00055DCD" w:rsidRDefault="00055DCD" w:rsidP="00055DCD">
            <w:pPr>
              <w:jc w:val="right"/>
              <w:rPr>
                <w:rFonts w:cs="Calibri"/>
                <w:color w:val="000000"/>
                <w:sz w:val="22"/>
                <w:szCs w:val="22"/>
              </w:rPr>
            </w:pPr>
            <w:r w:rsidRPr="00055DCD">
              <w:rPr>
                <w:rFonts w:cs="Calibri"/>
                <w:color w:val="000000"/>
                <w:sz w:val="22"/>
                <w:szCs w:val="22"/>
              </w:rPr>
              <w:t>0.39</w:t>
            </w:r>
          </w:p>
        </w:tc>
        <w:tc>
          <w:tcPr>
            <w:tcW w:w="900" w:type="dxa"/>
            <w:tcBorders>
              <w:top w:val="nil"/>
              <w:left w:val="nil"/>
              <w:bottom w:val="single" w:sz="4" w:space="0" w:color="auto"/>
              <w:right w:val="single" w:sz="4" w:space="0" w:color="auto"/>
            </w:tcBorders>
            <w:shd w:val="clear" w:color="auto" w:fill="auto"/>
            <w:noWrap/>
            <w:vAlign w:val="bottom"/>
            <w:hideMark/>
          </w:tcPr>
          <w:p w14:paraId="2BEE3100" w14:textId="77777777" w:rsidR="00055DCD" w:rsidRPr="00055DCD" w:rsidRDefault="00055DCD" w:rsidP="00055DCD">
            <w:pPr>
              <w:jc w:val="right"/>
              <w:rPr>
                <w:rFonts w:cs="Calibri"/>
                <w:color w:val="000000"/>
                <w:sz w:val="22"/>
                <w:szCs w:val="22"/>
              </w:rPr>
            </w:pPr>
            <w:r w:rsidRPr="00055DCD">
              <w:rPr>
                <w:rFonts w:cs="Calibri"/>
                <w:color w:val="000000"/>
                <w:sz w:val="22"/>
                <w:szCs w:val="22"/>
              </w:rPr>
              <w:t>0.25</w:t>
            </w:r>
          </w:p>
        </w:tc>
        <w:tc>
          <w:tcPr>
            <w:tcW w:w="900" w:type="dxa"/>
            <w:tcBorders>
              <w:top w:val="nil"/>
              <w:left w:val="nil"/>
              <w:bottom w:val="single" w:sz="4" w:space="0" w:color="auto"/>
              <w:right w:val="single" w:sz="4" w:space="0" w:color="auto"/>
            </w:tcBorders>
            <w:shd w:val="clear" w:color="auto" w:fill="auto"/>
            <w:noWrap/>
            <w:vAlign w:val="bottom"/>
            <w:hideMark/>
          </w:tcPr>
          <w:p w14:paraId="6BDA948E" w14:textId="77777777" w:rsidR="00055DCD" w:rsidRPr="00055DCD" w:rsidRDefault="00055DCD" w:rsidP="00055DCD">
            <w:pPr>
              <w:jc w:val="right"/>
              <w:rPr>
                <w:rFonts w:cs="Calibri"/>
                <w:color w:val="000000"/>
                <w:sz w:val="22"/>
                <w:szCs w:val="22"/>
              </w:rPr>
            </w:pPr>
            <w:r w:rsidRPr="00055DCD">
              <w:rPr>
                <w:rFonts w:cs="Calibri"/>
                <w:color w:val="000000"/>
                <w:sz w:val="22"/>
                <w:szCs w:val="22"/>
              </w:rPr>
              <w:t>98.9</w:t>
            </w:r>
          </w:p>
        </w:tc>
        <w:tc>
          <w:tcPr>
            <w:tcW w:w="900" w:type="dxa"/>
            <w:tcBorders>
              <w:top w:val="nil"/>
              <w:left w:val="nil"/>
              <w:bottom w:val="single" w:sz="4" w:space="0" w:color="auto"/>
              <w:right w:val="single" w:sz="4" w:space="0" w:color="auto"/>
            </w:tcBorders>
            <w:shd w:val="clear" w:color="auto" w:fill="auto"/>
            <w:noWrap/>
            <w:vAlign w:val="bottom"/>
            <w:hideMark/>
          </w:tcPr>
          <w:p w14:paraId="3B81F755" w14:textId="77777777" w:rsidR="00055DCD" w:rsidRPr="00055DCD" w:rsidRDefault="00055DCD" w:rsidP="00055DCD">
            <w:pPr>
              <w:jc w:val="right"/>
              <w:rPr>
                <w:rFonts w:cs="Calibri"/>
                <w:color w:val="000000"/>
                <w:sz w:val="22"/>
                <w:szCs w:val="22"/>
              </w:rPr>
            </w:pPr>
            <w:r w:rsidRPr="00055DCD">
              <w:rPr>
                <w:rFonts w:cs="Calibri"/>
                <w:color w:val="000000"/>
                <w:sz w:val="22"/>
                <w:szCs w:val="22"/>
              </w:rPr>
              <w:t>99.1</w:t>
            </w:r>
          </w:p>
        </w:tc>
      </w:tr>
      <w:tr w:rsidR="00C948FE" w:rsidRPr="00055DCD" w14:paraId="13FC9FF2"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3648C411" w14:textId="77777777" w:rsidR="00055DCD" w:rsidRPr="00055DCD" w:rsidRDefault="00055DCD" w:rsidP="00055DCD">
            <w:pPr>
              <w:rPr>
                <w:rFonts w:cs="Calibri"/>
                <w:color w:val="000000"/>
                <w:sz w:val="22"/>
                <w:szCs w:val="22"/>
              </w:rPr>
            </w:pPr>
            <w:r w:rsidRPr="00055DCD">
              <w:rPr>
                <w:rFonts w:cs="Calibri"/>
                <w:color w:val="000000"/>
                <w:sz w:val="22"/>
                <w:szCs w:val="22"/>
              </w:rPr>
              <w:t>PGP2</w:t>
            </w:r>
          </w:p>
        </w:tc>
        <w:tc>
          <w:tcPr>
            <w:tcW w:w="900" w:type="dxa"/>
            <w:tcBorders>
              <w:top w:val="nil"/>
              <w:left w:val="nil"/>
              <w:bottom w:val="single" w:sz="4" w:space="0" w:color="auto"/>
              <w:right w:val="single" w:sz="4" w:space="0" w:color="auto"/>
            </w:tcBorders>
            <w:shd w:val="clear" w:color="auto" w:fill="auto"/>
            <w:noWrap/>
            <w:vAlign w:val="bottom"/>
            <w:hideMark/>
          </w:tcPr>
          <w:p w14:paraId="209692F9" w14:textId="77777777" w:rsidR="00055DCD" w:rsidRPr="00055DCD" w:rsidRDefault="00055DCD" w:rsidP="00055DCD">
            <w:pPr>
              <w:jc w:val="right"/>
              <w:rPr>
                <w:rFonts w:cs="Calibri"/>
                <w:color w:val="000000"/>
                <w:sz w:val="22"/>
                <w:szCs w:val="22"/>
              </w:rPr>
            </w:pPr>
            <w:r w:rsidRPr="00055DCD">
              <w:rPr>
                <w:rFonts w:cs="Calibri"/>
                <w:color w:val="000000"/>
                <w:sz w:val="22"/>
                <w:szCs w:val="22"/>
              </w:rPr>
              <w:t>3,347</w:t>
            </w:r>
          </w:p>
        </w:tc>
        <w:tc>
          <w:tcPr>
            <w:tcW w:w="900" w:type="dxa"/>
            <w:tcBorders>
              <w:top w:val="nil"/>
              <w:left w:val="nil"/>
              <w:bottom w:val="single" w:sz="4" w:space="0" w:color="auto"/>
              <w:right w:val="single" w:sz="4" w:space="0" w:color="auto"/>
            </w:tcBorders>
            <w:shd w:val="clear" w:color="auto" w:fill="auto"/>
            <w:noWrap/>
            <w:vAlign w:val="bottom"/>
            <w:hideMark/>
          </w:tcPr>
          <w:p w14:paraId="4B912948"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1AE98C4B" w14:textId="77777777" w:rsidR="00055DCD" w:rsidRPr="00055DCD" w:rsidRDefault="00055DCD" w:rsidP="00055DCD">
            <w:pPr>
              <w:jc w:val="right"/>
              <w:rPr>
                <w:rFonts w:cs="Calibri"/>
                <w:color w:val="000000"/>
                <w:sz w:val="22"/>
                <w:szCs w:val="22"/>
              </w:rPr>
            </w:pPr>
            <w:r w:rsidRPr="00055DCD">
              <w:rPr>
                <w:rFonts w:cs="Calibri"/>
                <w:color w:val="000000"/>
                <w:sz w:val="22"/>
                <w:szCs w:val="22"/>
              </w:rPr>
              <w:t>1.82</w:t>
            </w:r>
          </w:p>
        </w:tc>
        <w:tc>
          <w:tcPr>
            <w:tcW w:w="900" w:type="dxa"/>
            <w:tcBorders>
              <w:top w:val="nil"/>
              <w:left w:val="nil"/>
              <w:bottom w:val="single" w:sz="4" w:space="0" w:color="auto"/>
              <w:right w:val="single" w:sz="4" w:space="0" w:color="auto"/>
            </w:tcBorders>
            <w:shd w:val="clear" w:color="auto" w:fill="auto"/>
            <w:noWrap/>
            <w:vAlign w:val="bottom"/>
            <w:hideMark/>
          </w:tcPr>
          <w:p w14:paraId="0CB7EA9F"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6B09348" w14:textId="77777777" w:rsidR="00055DCD" w:rsidRPr="00055DCD" w:rsidRDefault="00055DCD" w:rsidP="00055DCD">
            <w:pPr>
              <w:jc w:val="right"/>
              <w:rPr>
                <w:rFonts w:cs="Calibri"/>
                <w:color w:val="000000"/>
                <w:sz w:val="22"/>
                <w:szCs w:val="22"/>
              </w:rPr>
            </w:pPr>
            <w:r w:rsidRPr="00055DCD">
              <w:rPr>
                <w:rFonts w:cs="Calibri"/>
                <w:color w:val="000000"/>
                <w:sz w:val="22"/>
                <w:szCs w:val="22"/>
              </w:rPr>
              <w:t>0.31</w:t>
            </w:r>
          </w:p>
        </w:tc>
        <w:tc>
          <w:tcPr>
            <w:tcW w:w="900" w:type="dxa"/>
            <w:tcBorders>
              <w:top w:val="nil"/>
              <w:left w:val="nil"/>
              <w:bottom w:val="single" w:sz="4" w:space="0" w:color="auto"/>
              <w:right w:val="single" w:sz="4" w:space="0" w:color="auto"/>
            </w:tcBorders>
            <w:shd w:val="clear" w:color="auto" w:fill="auto"/>
            <w:noWrap/>
            <w:vAlign w:val="bottom"/>
            <w:hideMark/>
          </w:tcPr>
          <w:p w14:paraId="3F0EE981"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3A20C41E" w14:textId="77777777" w:rsidR="00055DCD" w:rsidRPr="00055DCD" w:rsidRDefault="00055DCD" w:rsidP="00055DCD">
            <w:pPr>
              <w:jc w:val="right"/>
              <w:rPr>
                <w:rFonts w:cs="Calibri"/>
                <w:color w:val="000000"/>
                <w:sz w:val="22"/>
                <w:szCs w:val="22"/>
              </w:rPr>
            </w:pPr>
            <w:r w:rsidRPr="00055DCD">
              <w:rPr>
                <w:rFonts w:cs="Calibri"/>
                <w:color w:val="000000"/>
                <w:sz w:val="22"/>
                <w:szCs w:val="22"/>
              </w:rPr>
              <w:t>88.2</w:t>
            </w:r>
          </w:p>
        </w:tc>
        <w:tc>
          <w:tcPr>
            <w:tcW w:w="900" w:type="dxa"/>
            <w:tcBorders>
              <w:top w:val="nil"/>
              <w:left w:val="nil"/>
              <w:bottom w:val="single" w:sz="4" w:space="0" w:color="auto"/>
              <w:right w:val="single" w:sz="4" w:space="0" w:color="auto"/>
            </w:tcBorders>
            <w:shd w:val="clear" w:color="auto" w:fill="auto"/>
            <w:noWrap/>
            <w:vAlign w:val="bottom"/>
            <w:hideMark/>
          </w:tcPr>
          <w:p w14:paraId="16108CF7" w14:textId="77777777" w:rsidR="00055DCD" w:rsidRPr="00055DCD" w:rsidRDefault="00055DCD" w:rsidP="00055DCD">
            <w:pPr>
              <w:rPr>
                <w:rFonts w:cs="Calibri"/>
                <w:color w:val="000000"/>
                <w:sz w:val="22"/>
                <w:szCs w:val="22"/>
              </w:rPr>
            </w:pPr>
            <w:r w:rsidRPr="00055DCD">
              <w:rPr>
                <w:rFonts w:cs="Calibri"/>
                <w:color w:val="000000"/>
                <w:sz w:val="22"/>
                <w:szCs w:val="22"/>
              </w:rPr>
              <w:t> </w:t>
            </w:r>
          </w:p>
        </w:tc>
      </w:tr>
      <w:tr w:rsidR="00C948FE" w:rsidRPr="00055DCD" w14:paraId="24D465D3"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5D90D3F0" w14:textId="77777777" w:rsidR="00055DCD" w:rsidRPr="00055DCD" w:rsidRDefault="00055DCD" w:rsidP="00055DCD">
            <w:pPr>
              <w:rPr>
                <w:rFonts w:cs="Calibri"/>
                <w:color w:val="000000"/>
                <w:sz w:val="22"/>
                <w:szCs w:val="22"/>
              </w:rPr>
            </w:pPr>
            <w:r w:rsidRPr="00055DCD">
              <w:rPr>
                <w:rFonts w:cs="Calibri"/>
                <w:color w:val="000000"/>
                <w:sz w:val="22"/>
                <w:szCs w:val="22"/>
              </w:rPr>
              <w:t>PGSB</w:t>
            </w:r>
          </w:p>
        </w:tc>
        <w:tc>
          <w:tcPr>
            <w:tcW w:w="900" w:type="dxa"/>
            <w:tcBorders>
              <w:top w:val="nil"/>
              <w:left w:val="nil"/>
              <w:bottom w:val="single" w:sz="4" w:space="0" w:color="auto"/>
              <w:right w:val="single" w:sz="4" w:space="0" w:color="auto"/>
            </w:tcBorders>
            <w:shd w:val="clear" w:color="auto" w:fill="auto"/>
            <w:noWrap/>
            <w:vAlign w:val="bottom"/>
            <w:hideMark/>
          </w:tcPr>
          <w:p w14:paraId="181F93E7" w14:textId="77777777" w:rsidR="00055DCD" w:rsidRPr="00055DCD" w:rsidRDefault="00055DCD" w:rsidP="00055DCD">
            <w:pPr>
              <w:jc w:val="right"/>
              <w:rPr>
                <w:rFonts w:cs="Calibri"/>
                <w:color w:val="000000"/>
                <w:sz w:val="22"/>
                <w:szCs w:val="22"/>
              </w:rPr>
            </w:pPr>
            <w:r w:rsidRPr="00055DCD">
              <w:rPr>
                <w:rFonts w:cs="Calibri"/>
                <w:color w:val="000000"/>
                <w:sz w:val="22"/>
                <w:szCs w:val="22"/>
              </w:rPr>
              <w:t>7,904</w:t>
            </w:r>
          </w:p>
        </w:tc>
        <w:tc>
          <w:tcPr>
            <w:tcW w:w="900" w:type="dxa"/>
            <w:tcBorders>
              <w:top w:val="nil"/>
              <w:left w:val="nil"/>
              <w:bottom w:val="single" w:sz="4" w:space="0" w:color="auto"/>
              <w:right w:val="single" w:sz="4" w:space="0" w:color="auto"/>
            </w:tcBorders>
            <w:shd w:val="clear" w:color="auto" w:fill="auto"/>
            <w:noWrap/>
            <w:vAlign w:val="bottom"/>
            <w:hideMark/>
          </w:tcPr>
          <w:p w14:paraId="0E79C61C"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0B1D4B2" w14:textId="77777777" w:rsidR="00055DCD" w:rsidRPr="00055DCD" w:rsidRDefault="00055DCD" w:rsidP="00055DCD">
            <w:pPr>
              <w:jc w:val="right"/>
              <w:rPr>
                <w:rFonts w:cs="Calibri"/>
                <w:color w:val="000000"/>
                <w:sz w:val="22"/>
                <w:szCs w:val="22"/>
              </w:rPr>
            </w:pPr>
            <w:r w:rsidRPr="00055DCD">
              <w:rPr>
                <w:rFonts w:cs="Calibri"/>
                <w:color w:val="000000"/>
                <w:sz w:val="22"/>
                <w:szCs w:val="22"/>
              </w:rPr>
              <w:t>1.55</w:t>
            </w:r>
          </w:p>
        </w:tc>
        <w:tc>
          <w:tcPr>
            <w:tcW w:w="900" w:type="dxa"/>
            <w:tcBorders>
              <w:top w:val="nil"/>
              <w:left w:val="nil"/>
              <w:bottom w:val="single" w:sz="4" w:space="0" w:color="auto"/>
              <w:right w:val="single" w:sz="4" w:space="0" w:color="auto"/>
            </w:tcBorders>
            <w:shd w:val="clear" w:color="auto" w:fill="auto"/>
            <w:noWrap/>
            <w:vAlign w:val="bottom"/>
            <w:hideMark/>
          </w:tcPr>
          <w:p w14:paraId="7139972A"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96912AE" w14:textId="77777777" w:rsidR="00055DCD" w:rsidRPr="00055DCD" w:rsidRDefault="00055DCD" w:rsidP="00055DCD">
            <w:pPr>
              <w:jc w:val="right"/>
              <w:rPr>
                <w:rFonts w:cs="Calibri"/>
                <w:color w:val="000000"/>
                <w:sz w:val="22"/>
                <w:szCs w:val="22"/>
              </w:rPr>
            </w:pPr>
            <w:r w:rsidRPr="00055DCD">
              <w:rPr>
                <w:rFonts w:cs="Calibri"/>
                <w:color w:val="000000"/>
                <w:sz w:val="22"/>
                <w:szCs w:val="22"/>
              </w:rPr>
              <w:t>0.22</w:t>
            </w:r>
          </w:p>
        </w:tc>
        <w:tc>
          <w:tcPr>
            <w:tcW w:w="900" w:type="dxa"/>
            <w:tcBorders>
              <w:top w:val="nil"/>
              <w:left w:val="nil"/>
              <w:bottom w:val="single" w:sz="4" w:space="0" w:color="auto"/>
              <w:right w:val="single" w:sz="4" w:space="0" w:color="auto"/>
            </w:tcBorders>
            <w:shd w:val="clear" w:color="auto" w:fill="auto"/>
            <w:noWrap/>
            <w:vAlign w:val="bottom"/>
            <w:hideMark/>
          </w:tcPr>
          <w:p w14:paraId="5EFE70C1"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62388A42" w14:textId="77777777" w:rsidR="00055DCD" w:rsidRPr="00055DCD" w:rsidRDefault="00055DCD" w:rsidP="00055DCD">
            <w:pPr>
              <w:jc w:val="right"/>
              <w:rPr>
                <w:rFonts w:cs="Calibri"/>
                <w:color w:val="000000"/>
                <w:sz w:val="22"/>
                <w:szCs w:val="22"/>
              </w:rPr>
            </w:pPr>
            <w:r w:rsidRPr="00055DCD">
              <w:rPr>
                <w:rFonts w:cs="Calibri"/>
                <w:color w:val="000000"/>
                <w:sz w:val="22"/>
                <w:szCs w:val="22"/>
              </w:rPr>
              <w:t>88.9</w:t>
            </w:r>
          </w:p>
        </w:tc>
        <w:tc>
          <w:tcPr>
            <w:tcW w:w="900" w:type="dxa"/>
            <w:tcBorders>
              <w:top w:val="nil"/>
              <w:left w:val="nil"/>
              <w:bottom w:val="single" w:sz="4" w:space="0" w:color="auto"/>
              <w:right w:val="single" w:sz="4" w:space="0" w:color="auto"/>
            </w:tcBorders>
            <w:shd w:val="clear" w:color="auto" w:fill="auto"/>
            <w:noWrap/>
            <w:vAlign w:val="bottom"/>
            <w:hideMark/>
          </w:tcPr>
          <w:p w14:paraId="2E1CE044" w14:textId="77777777" w:rsidR="00055DCD" w:rsidRPr="00055DCD" w:rsidRDefault="00055DCD" w:rsidP="00055DCD">
            <w:pPr>
              <w:rPr>
                <w:rFonts w:cs="Calibri"/>
                <w:color w:val="000000"/>
                <w:sz w:val="22"/>
                <w:szCs w:val="22"/>
              </w:rPr>
            </w:pPr>
            <w:r w:rsidRPr="00055DCD">
              <w:rPr>
                <w:rFonts w:cs="Calibri"/>
                <w:color w:val="000000"/>
                <w:sz w:val="22"/>
                <w:szCs w:val="22"/>
              </w:rPr>
              <w:t> </w:t>
            </w:r>
          </w:p>
        </w:tc>
      </w:tr>
      <w:tr w:rsidR="00C948FE" w:rsidRPr="00055DCD" w14:paraId="2CAF56C0"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03531052" w14:textId="77777777" w:rsidR="00055DCD" w:rsidRPr="00055DCD" w:rsidRDefault="00055DCD" w:rsidP="00055DCD">
            <w:pPr>
              <w:rPr>
                <w:rFonts w:cs="Calibri"/>
                <w:color w:val="000000"/>
                <w:sz w:val="22"/>
                <w:szCs w:val="22"/>
              </w:rPr>
            </w:pPr>
            <w:r w:rsidRPr="00055DCD">
              <w:rPr>
                <w:rFonts w:cs="Calibri"/>
                <w:color w:val="000000"/>
                <w:sz w:val="22"/>
                <w:szCs w:val="22"/>
              </w:rPr>
              <w:t>PGSI</w:t>
            </w:r>
          </w:p>
        </w:tc>
        <w:tc>
          <w:tcPr>
            <w:tcW w:w="900" w:type="dxa"/>
            <w:tcBorders>
              <w:top w:val="nil"/>
              <w:left w:val="nil"/>
              <w:bottom w:val="single" w:sz="4" w:space="0" w:color="auto"/>
              <w:right w:val="single" w:sz="4" w:space="0" w:color="auto"/>
            </w:tcBorders>
            <w:shd w:val="clear" w:color="auto" w:fill="auto"/>
            <w:noWrap/>
            <w:vAlign w:val="bottom"/>
            <w:hideMark/>
          </w:tcPr>
          <w:p w14:paraId="24A5C3E7" w14:textId="77777777" w:rsidR="00055DCD" w:rsidRPr="00055DCD" w:rsidRDefault="00055DCD" w:rsidP="00055DCD">
            <w:pPr>
              <w:jc w:val="right"/>
              <w:rPr>
                <w:rFonts w:cs="Calibri"/>
                <w:color w:val="000000"/>
                <w:sz w:val="22"/>
                <w:szCs w:val="22"/>
              </w:rPr>
            </w:pPr>
            <w:r w:rsidRPr="00055DCD">
              <w:rPr>
                <w:rFonts w:cs="Calibri"/>
                <w:color w:val="000000"/>
                <w:sz w:val="22"/>
                <w:szCs w:val="22"/>
              </w:rPr>
              <w:t>12,986</w:t>
            </w:r>
          </w:p>
        </w:tc>
        <w:tc>
          <w:tcPr>
            <w:tcW w:w="900" w:type="dxa"/>
            <w:tcBorders>
              <w:top w:val="nil"/>
              <w:left w:val="nil"/>
              <w:bottom w:val="single" w:sz="4" w:space="0" w:color="auto"/>
              <w:right w:val="single" w:sz="4" w:space="0" w:color="auto"/>
            </w:tcBorders>
            <w:shd w:val="clear" w:color="auto" w:fill="auto"/>
            <w:noWrap/>
            <w:vAlign w:val="bottom"/>
            <w:hideMark/>
          </w:tcPr>
          <w:p w14:paraId="06592B8C" w14:textId="77777777" w:rsidR="00055DCD" w:rsidRPr="00055DCD" w:rsidRDefault="00055DCD" w:rsidP="00055DCD">
            <w:pPr>
              <w:jc w:val="right"/>
              <w:rPr>
                <w:rFonts w:cs="Calibri"/>
                <w:color w:val="000000"/>
                <w:sz w:val="22"/>
                <w:szCs w:val="22"/>
              </w:rPr>
            </w:pPr>
            <w:r w:rsidRPr="00055DCD">
              <w:rPr>
                <w:rFonts w:cs="Calibri"/>
                <w:color w:val="000000"/>
                <w:sz w:val="22"/>
                <w:szCs w:val="22"/>
              </w:rPr>
              <w:t>16,617</w:t>
            </w:r>
          </w:p>
        </w:tc>
        <w:tc>
          <w:tcPr>
            <w:tcW w:w="900" w:type="dxa"/>
            <w:tcBorders>
              <w:top w:val="nil"/>
              <w:left w:val="nil"/>
              <w:bottom w:val="single" w:sz="4" w:space="0" w:color="auto"/>
              <w:right w:val="single" w:sz="4" w:space="0" w:color="auto"/>
            </w:tcBorders>
            <w:shd w:val="clear" w:color="auto" w:fill="auto"/>
            <w:noWrap/>
            <w:vAlign w:val="bottom"/>
            <w:hideMark/>
          </w:tcPr>
          <w:p w14:paraId="25E84DF0" w14:textId="77777777" w:rsidR="00055DCD" w:rsidRPr="00055DCD" w:rsidRDefault="00055DCD" w:rsidP="00055DCD">
            <w:pPr>
              <w:jc w:val="right"/>
              <w:rPr>
                <w:rFonts w:cs="Calibri"/>
                <w:color w:val="000000"/>
                <w:sz w:val="22"/>
                <w:szCs w:val="22"/>
              </w:rPr>
            </w:pPr>
            <w:r w:rsidRPr="00055DCD">
              <w:rPr>
                <w:rFonts w:cs="Calibri"/>
                <w:color w:val="000000"/>
                <w:sz w:val="22"/>
                <w:szCs w:val="22"/>
              </w:rPr>
              <w:t>3.00</w:t>
            </w:r>
          </w:p>
        </w:tc>
        <w:tc>
          <w:tcPr>
            <w:tcW w:w="900" w:type="dxa"/>
            <w:tcBorders>
              <w:top w:val="nil"/>
              <w:left w:val="nil"/>
              <w:bottom w:val="single" w:sz="4" w:space="0" w:color="auto"/>
              <w:right w:val="single" w:sz="4" w:space="0" w:color="auto"/>
            </w:tcBorders>
            <w:shd w:val="clear" w:color="auto" w:fill="auto"/>
            <w:noWrap/>
            <w:vAlign w:val="bottom"/>
            <w:hideMark/>
          </w:tcPr>
          <w:p w14:paraId="5C02ACE1" w14:textId="77777777" w:rsidR="00055DCD" w:rsidRPr="00055DCD" w:rsidRDefault="00055DCD" w:rsidP="00055DCD">
            <w:pPr>
              <w:jc w:val="right"/>
              <w:rPr>
                <w:rFonts w:cs="Calibri"/>
                <w:color w:val="000000"/>
                <w:sz w:val="22"/>
                <w:szCs w:val="22"/>
              </w:rPr>
            </w:pPr>
            <w:r w:rsidRPr="00055DCD">
              <w:rPr>
                <w:rFonts w:cs="Calibri"/>
                <w:color w:val="000000"/>
                <w:sz w:val="22"/>
                <w:szCs w:val="22"/>
              </w:rPr>
              <w:t>2.61</w:t>
            </w:r>
          </w:p>
        </w:tc>
        <w:tc>
          <w:tcPr>
            <w:tcW w:w="900" w:type="dxa"/>
            <w:tcBorders>
              <w:top w:val="nil"/>
              <w:left w:val="nil"/>
              <w:bottom w:val="single" w:sz="4" w:space="0" w:color="auto"/>
              <w:right w:val="single" w:sz="4" w:space="0" w:color="auto"/>
            </w:tcBorders>
            <w:shd w:val="clear" w:color="auto" w:fill="auto"/>
            <w:noWrap/>
            <w:vAlign w:val="bottom"/>
            <w:hideMark/>
          </w:tcPr>
          <w:p w14:paraId="6DAF1285" w14:textId="77777777" w:rsidR="00055DCD" w:rsidRPr="00055DCD" w:rsidRDefault="00055DCD" w:rsidP="00055DCD">
            <w:pPr>
              <w:jc w:val="right"/>
              <w:rPr>
                <w:rFonts w:cs="Calibri"/>
                <w:color w:val="000000"/>
                <w:sz w:val="22"/>
                <w:szCs w:val="22"/>
              </w:rPr>
            </w:pPr>
            <w:r w:rsidRPr="00055DCD">
              <w:rPr>
                <w:rFonts w:cs="Calibri"/>
                <w:color w:val="000000"/>
                <w:sz w:val="22"/>
                <w:szCs w:val="22"/>
              </w:rPr>
              <w:t>0.46</w:t>
            </w:r>
          </w:p>
        </w:tc>
        <w:tc>
          <w:tcPr>
            <w:tcW w:w="900" w:type="dxa"/>
            <w:tcBorders>
              <w:top w:val="nil"/>
              <w:left w:val="nil"/>
              <w:bottom w:val="single" w:sz="4" w:space="0" w:color="auto"/>
              <w:right w:val="single" w:sz="4" w:space="0" w:color="auto"/>
            </w:tcBorders>
            <w:shd w:val="clear" w:color="auto" w:fill="auto"/>
            <w:noWrap/>
            <w:vAlign w:val="bottom"/>
            <w:hideMark/>
          </w:tcPr>
          <w:p w14:paraId="70666FE6" w14:textId="77777777" w:rsidR="00055DCD" w:rsidRPr="00055DCD" w:rsidRDefault="00055DCD" w:rsidP="00055DCD">
            <w:pPr>
              <w:jc w:val="right"/>
              <w:rPr>
                <w:rFonts w:cs="Calibri"/>
                <w:color w:val="000000"/>
                <w:sz w:val="22"/>
                <w:szCs w:val="22"/>
              </w:rPr>
            </w:pPr>
            <w:r w:rsidRPr="00055DCD">
              <w:rPr>
                <w:rFonts w:cs="Calibri"/>
                <w:color w:val="000000"/>
                <w:sz w:val="22"/>
                <w:szCs w:val="22"/>
              </w:rPr>
              <w:t>0.40</w:t>
            </w:r>
          </w:p>
        </w:tc>
        <w:tc>
          <w:tcPr>
            <w:tcW w:w="900" w:type="dxa"/>
            <w:tcBorders>
              <w:top w:val="nil"/>
              <w:left w:val="nil"/>
              <w:bottom w:val="single" w:sz="4" w:space="0" w:color="auto"/>
              <w:right w:val="single" w:sz="4" w:space="0" w:color="auto"/>
            </w:tcBorders>
            <w:shd w:val="clear" w:color="auto" w:fill="auto"/>
            <w:noWrap/>
            <w:vAlign w:val="bottom"/>
            <w:hideMark/>
          </w:tcPr>
          <w:p w14:paraId="24DFC6DD" w14:textId="77777777" w:rsidR="00055DCD" w:rsidRPr="00055DCD" w:rsidRDefault="00055DCD" w:rsidP="00055DCD">
            <w:pPr>
              <w:jc w:val="right"/>
              <w:rPr>
                <w:rFonts w:cs="Calibri"/>
                <w:color w:val="000000"/>
                <w:sz w:val="22"/>
                <w:szCs w:val="22"/>
              </w:rPr>
            </w:pPr>
            <w:r w:rsidRPr="00055DCD">
              <w:rPr>
                <w:rFonts w:cs="Calibri"/>
                <w:color w:val="000000"/>
                <w:sz w:val="22"/>
                <w:szCs w:val="22"/>
              </w:rPr>
              <w:t>98.8</w:t>
            </w:r>
          </w:p>
        </w:tc>
        <w:tc>
          <w:tcPr>
            <w:tcW w:w="900" w:type="dxa"/>
            <w:tcBorders>
              <w:top w:val="nil"/>
              <w:left w:val="nil"/>
              <w:bottom w:val="single" w:sz="4" w:space="0" w:color="auto"/>
              <w:right w:val="single" w:sz="4" w:space="0" w:color="auto"/>
            </w:tcBorders>
            <w:shd w:val="clear" w:color="auto" w:fill="auto"/>
            <w:noWrap/>
            <w:vAlign w:val="bottom"/>
            <w:hideMark/>
          </w:tcPr>
          <w:p w14:paraId="37DCCCF3" w14:textId="77777777" w:rsidR="00055DCD" w:rsidRPr="00055DCD" w:rsidRDefault="00055DCD" w:rsidP="00055DCD">
            <w:pPr>
              <w:jc w:val="right"/>
              <w:rPr>
                <w:rFonts w:cs="Calibri"/>
                <w:color w:val="000000"/>
                <w:sz w:val="22"/>
                <w:szCs w:val="22"/>
              </w:rPr>
            </w:pPr>
            <w:r w:rsidRPr="00055DCD">
              <w:rPr>
                <w:rFonts w:cs="Calibri"/>
                <w:color w:val="000000"/>
                <w:sz w:val="22"/>
                <w:szCs w:val="22"/>
              </w:rPr>
              <w:t>99.6</w:t>
            </w:r>
          </w:p>
        </w:tc>
      </w:tr>
      <w:tr w:rsidR="00C948FE" w:rsidRPr="00055DCD" w14:paraId="088BBB61"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5D9FE0BC" w14:textId="77777777" w:rsidR="00055DCD" w:rsidRPr="00055DCD" w:rsidRDefault="00055DCD" w:rsidP="00055DCD">
            <w:pPr>
              <w:rPr>
                <w:rFonts w:cs="Calibri"/>
                <w:color w:val="000000"/>
                <w:sz w:val="22"/>
                <w:szCs w:val="22"/>
              </w:rPr>
            </w:pPr>
            <w:r w:rsidRPr="00055DCD">
              <w:rPr>
                <w:rFonts w:cs="Calibri"/>
                <w:color w:val="000000"/>
                <w:sz w:val="22"/>
                <w:szCs w:val="22"/>
              </w:rPr>
              <w:t>PGST</w:t>
            </w:r>
          </w:p>
        </w:tc>
        <w:tc>
          <w:tcPr>
            <w:tcW w:w="900" w:type="dxa"/>
            <w:tcBorders>
              <w:top w:val="nil"/>
              <w:left w:val="nil"/>
              <w:bottom w:val="single" w:sz="4" w:space="0" w:color="auto"/>
              <w:right w:val="single" w:sz="4" w:space="0" w:color="auto"/>
            </w:tcBorders>
            <w:shd w:val="clear" w:color="auto" w:fill="auto"/>
            <w:noWrap/>
            <w:vAlign w:val="bottom"/>
            <w:hideMark/>
          </w:tcPr>
          <w:p w14:paraId="597D7618"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3D2862D7" w14:textId="77777777" w:rsidR="00055DCD" w:rsidRPr="00055DCD" w:rsidRDefault="00055DCD" w:rsidP="00055DCD">
            <w:pPr>
              <w:jc w:val="right"/>
              <w:rPr>
                <w:rFonts w:cs="Calibri"/>
                <w:color w:val="000000"/>
                <w:sz w:val="22"/>
                <w:szCs w:val="22"/>
              </w:rPr>
            </w:pPr>
            <w:r w:rsidRPr="00055DCD">
              <w:rPr>
                <w:rFonts w:cs="Calibri"/>
                <w:color w:val="000000"/>
                <w:sz w:val="22"/>
                <w:szCs w:val="22"/>
              </w:rPr>
              <w:t>7,542</w:t>
            </w:r>
          </w:p>
        </w:tc>
        <w:tc>
          <w:tcPr>
            <w:tcW w:w="900" w:type="dxa"/>
            <w:tcBorders>
              <w:top w:val="nil"/>
              <w:left w:val="nil"/>
              <w:bottom w:val="single" w:sz="4" w:space="0" w:color="auto"/>
              <w:right w:val="single" w:sz="4" w:space="0" w:color="auto"/>
            </w:tcBorders>
            <w:shd w:val="clear" w:color="auto" w:fill="auto"/>
            <w:noWrap/>
            <w:vAlign w:val="bottom"/>
            <w:hideMark/>
          </w:tcPr>
          <w:p w14:paraId="5164B011"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1EC34D7A" w14:textId="77777777" w:rsidR="00055DCD" w:rsidRPr="00055DCD" w:rsidRDefault="00055DCD" w:rsidP="00055DCD">
            <w:pPr>
              <w:jc w:val="right"/>
              <w:rPr>
                <w:rFonts w:cs="Calibri"/>
                <w:color w:val="000000"/>
                <w:sz w:val="22"/>
                <w:szCs w:val="22"/>
              </w:rPr>
            </w:pPr>
            <w:r w:rsidRPr="00055DCD">
              <w:rPr>
                <w:rFonts w:cs="Calibri"/>
                <w:color w:val="000000"/>
                <w:sz w:val="22"/>
                <w:szCs w:val="22"/>
              </w:rPr>
              <w:t>2.59</w:t>
            </w:r>
          </w:p>
        </w:tc>
        <w:tc>
          <w:tcPr>
            <w:tcW w:w="900" w:type="dxa"/>
            <w:tcBorders>
              <w:top w:val="nil"/>
              <w:left w:val="nil"/>
              <w:bottom w:val="single" w:sz="4" w:space="0" w:color="auto"/>
              <w:right w:val="single" w:sz="4" w:space="0" w:color="auto"/>
            </w:tcBorders>
            <w:shd w:val="clear" w:color="auto" w:fill="auto"/>
            <w:noWrap/>
            <w:vAlign w:val="bottom"/>
            <w:hideMark/>
          </w:tcPr>
          <w:p w14:paraId="457FF7DE"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5954E27A" w14:textId="77777777" w:rsidR="00055DCD" w:rsidRPr="00055DCD" w:rsidRDefault="00055DCD" w:rsidP="00055DCD">
            <w:pPr>
              <w:jc w:val="right"/>
              <w:rPr>
                <w:rFonts w:cs="Calibri"/>
                <w:color w:val="000000"/>
                <w:sz w:val="22"/>
                <w:szCs w:val="22"/>
              </w:rPr>
            </w:pPr>
            <w:r w:rsidRPr="00055DCD">
              <w:rPr>
                <w:rFonts w:cs="Calibri"/>
                <w:color w:val="000000"/>
                <w:sz w:val="22"/>
                <w:szCs w:val="22"/>
              </w:rPr>
              <w:t>0.45</w:t>
            </w:r>
          </w:p>
        </w:tc>
        <w:tc>
          <w:tcPr>
            <w:tcW w:w="900" w:type="dxa"/>
            <w:tcBorders>
              <w:top w:val="nil"/>
              <w:left w:val="nil"/>
              <w:bottom w:val="single" w:sz="4" w:space="0" w:color="auto"/>
              <w:right w:val="single" w:sz="4" w:space="0" w:color="auto"/>
            </w:tcBorders>
            <w:shd w:val="clear" w:color="auto" w:fill="auto"/>
            <w:noWrap/>
            <w:vAlign w:val="bottom"/>
            <w:hideMark/>
          </w:tcPr>
          <w:p w14:paraId="28815291" w14:textId="77777777" w:rsidR="00055DCD" w:rsidRPr="00055DCD" w:rsidRDefault="00055DCD" w:rsidP="00055DCD">
            <w:pPr>
              <w:rPr>
                <w:rFonts w:cs="Calibri"/>
                <w:color w:val="000000"/>
                <w:sz w:val="22"/>
                <w:szCs w:val="22"/>
              </w:rPr>
            </w:pPr>
            <w:r w:rsidRPr="00055DCD">
              <w:rPr>
                <w:rFonts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4493BE7" w14:textId="77777777" w:rsidR="00055DCD" w:rsidRPr="00055DCD" w:rsidRDefault="00055DCD" w:rsidP="00055DCD">
            <w:pPr>
              <w:jc w:val="right"/>
              <w:rPr>
                <w:rFonts w:cs="Calibri"/>
                <w:color w:val="000000"/>
                <w:sz w:val="22"/>
                <w:szCs w:val="22"/>
              </w:rPr>
            </w:pPr>
            <w:r w:rsidRPr="00055DCD">
              <w:rPr>
                <w:rFonts w:cs="Calibri"/>
                <w:color w:val="000000"/>
                <w:sz w:val="22"/>
                <w:szCs w:val="22"/>
              </w:rPr>
              <w:t>98.2</w:t>
            </w:r>
          </w:p>
        </w:tc>
      </w:tr>
      <w:tr w:rsidR="00C948FE" w:rsidRPr="00055DCD" w14:paraId="4841E170"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73A01D06" w14:textId="77777777" w:rsidR="00055DCD" w:rsidRPr="00055DCD" w:rsidRDefault="00055DCD" w:rsidP="00055DCD">
            <w:pPr>
              <w:rPr>
                <w:rFonts w:cs="Calibri"/>
                <w:color w:val="000000"/>
                <w:sz w:val="22"/>
                <w:szCs w:val="22"/>
              </w:rPr>
            </w:pPr>
            <w:r w:rsidRPr="00055DCD">
              <w:rPr>
                <w:rFonts w:cs="Calibri"/>
                <w:color w:val="000000"/>
                <w:sz w:val="22"/>
                <w:szCs w:val="22"/>
              </w:rPr>
              <w:t>PGZP</w:t>
            </w:r>
          </w:p>
        </w:tc>
        <w:tc>
          <w:tcPr>
            <w:tcW w:w="900" w:type="dxa"/>
            <w:tcBorders>
              <w:top w:val="nil"/>
              <w:left w:val="nil"/>
              <w:bottom w:val="single" w:sz="4" w:space="0" w:color="auto"/>
              <w:right w:val="single" w:sz="4" w:space="0" w:color="auto"/>
            </w:tcBorders>
            <w:shd w:val="clear" w:color="auto" w:fill="auto"/>
            <w:noWrap/>
            <w:vAlign w:val="bottom"/>
            <w:hideMark/>
          </w:tcPr>
          <w:p w14:paraId="60867680" w14:textId="77777777" w:rsidR="00055DCD" w:rsidRPr="00055DCD" w:rsidRDefault="00055DCD" w:rsidP="00055DCD">
            <w:pPr>
              <w:jc w:val="right"/>
              <w:rPr>
                <w:rFonts w:cs="Calibri"/>
                <w:color w:val="000000"/>
                <w:sz w:val="22"/>
                <w:szCs w:val="22"/>
              </w:rPr>
            </w:pPr>
            <w:r w:rsidRPr="00055DCD">
              <w:rPr>
                <w:rFonts w:cs="Calibri"/>
                <w:color w:val="000000"/>
                <w:sz w:val="22"/>
                <w:szCs w:val="22"/>
              </w:rPr>
              <w:t>2,018</w:t>
            </w:r>
          </w:p>
        </w:tc>
        <w:tc>
          <w:tcPr>
            <w:tcW w:w="900" w:type="dxa"/>
            <w:tcBorders>
              <w:top w:val="nil"/>
              <w:left w:val="nil"/>
              <w:bottom w:val="single" w:sz="4" w:space="0" w:color="auto"/>
              <w:right w:val="single" w:sz="4" w:space="0" w:color="auto"/>
            </w:tcBorders>
            <w:shd w:val="clear" w:color="auto" w:fill="auto"/>
            <w:noWrap/>
            <w:vAlign w:val="bottom"/>
            <w:hideMark/>
          </w:tcPr>
          <w:p w14:paraId="217CE824" w14:textId="77777777" w:rsidR="00055DCD" w:rsidRPr="00055DCD" w:rsidRDefault="00055DCD" w:rsidP="00055DCD">
            <w:pPr>
              <w:jc w:val="right"/>
              <w:rPr>
                <w:rFonts w:cs="Calibri"/>
                <w:color w:val="000000"/>
                <w:sz w:val="22"/>
                <w:szCs w:val="22"/>
              </w:rPr>
            </w:pPr>
            <w:r w:rsidRPr="00055DCD">
              <w:rPr>
                <w:rFonts w:cs="Calibri"/>
                <w:color w:val="000000"/>
                <w:sz w:val="22"/>
                <w:szCs w:val="22"/>
              </w:rPr>
              <w:t>2,267</w:t>
            </w:r>
          </w:p>
        </w:tc>
        <w:tc>
          <w:tcPr>
            <w:tcW w:w="900" w:type="dxa"/>
            <w:tcBorders>
              <w:top w:val="nil"/>
              <w:left w:val="nil"/>
              <w:bottom w:val="single" w:sz="4" w:space="0" w:color="auto"/>
              <w:right w:val="single" w:sz="4" w:space="0" w:color="auto"/>
            </w:tcBorders>
            <w:shd w:val="clear" w:color="auto" w:fill="auto"/>
            <w:noWrap/>
            <w:vAlign w:val="bottom"/>
            <w:hideMark/>
          </w:tcPr>
          <w:p w14:paraId="4FE2662C" w14:textId="77777777" w:rsidR="00055DCD" w:rsidRPr="00055DCD" w:rsidRDefault="00055DCD" w:rsidP="00055DCD">
            <w:pPr>
              <w:jc w:val="right"/>
              <w:rPr>
                <w:rFonts w:cs="Calibri"/>
                <w:color w:val="000000"/>
                <w:sz w:val="22"/>
                <w:szCs w:val="22"/>
              </w:rPr>
            </w:pPr>
            <w:r w:rsidRPr="00055DCD">
              <w:rPr>
                <w:rFonts w:cs="Calibri"/>
                <w:color w:val="000000"/>
                <w:sz w:val="22"/>
                <w:szCs w:val="22"/>
              </w:rPr>
              <w:t>2.79</w:t>
            </w:r>
          </w:p>
        </w:tc>
        <w:tc>
          <w:tcPr>
            <w:tcW w:w="900" w:type="dxa"/>
            <w:tcBorders>
              <w:top w:val="nil"/>
              <w:left w:val="nil"/>
              <w:bottom w:val="single" w:sz="4" w:space="0" w:color="auto"/>
              <w:right w:val="single" w:sz="4" w:space="0" w:color="auto"/>
            </w:tcBorders>
            <w:shd w:val="clear" w:color="auto" w:fill="auto"/>
            <w:noWrap/>
            <w:vAlign w:val="bottom"/>
            <w:hideMark/>
          </w:tcPr>
          <w:p w14:paraId="3B768F8F" w14:textId="77777777" w:rsidR="00055DCD" w:rsidRPr="00055DCD" w:rsidRDefault="00055DCD" w:rsidP="00055DCD">
            <w:pPr>
              <w:jc w:val="right"/>
              <w:rPr>
                <w:rFonts w:cs="Calibri"/>
                <w:color w:val="000000"/>
                <w:sz w:val="22"/>
                <w:szCs w:val="22"/>
              </w:rPr>
            </w:pPr>
            <w:r w:rsidRPr="00055DCD">
              <w:rPr>
                <w:rFonts w:cs="Calibri"/>
                <w:color w:val="000000"/>
                <w:sz w:val="22"/>
                <w:szCs w:val="22"/>
              </w:rPr>
              <w:t>2.55</w:t>
            </w:r>
          </w:p>
        </w:tc>
        <w:tc>
          <w:tcPr>
            <w:tcW w:w="900" w:type="dxa"/>
            <w:tcBorders>
              <w:top w:val="nil"/>
              <w:left w:val="nil"/>
              <w:bottom w:val="single" w:sz="4" w:space="0" w:color="auto"/>
              <w:right w:val="single" w:sz="4" w:space="0" w:color="auto"/>
            </w:tcBorders>
            <w:shd w:val="clear" w:color="auto" w:fill="auto"/>
            <w:noWrap/>
            <w:vAlign w:val="bottom"/>
            <w:hideMark/>
          </w:tcPr>
          <w:p w14:paraId="4E6E382A" w14:textId="77777777" w:rsidR="00055DCD" w:rsidRPr="00055DCD" w:rsidRDefault="00055DCD" w:rsidP="00055DCD">
            <w:pPr>
              <w:jc w:val="right"/>
              <w:rPr>
                <w:rFonts w:cs="Calibri"/>
                <w:color w:val="000000"/>
                <w:sz w:val="22"/>
                <w:szCs w:val="22"/>
              </w:rPr>
            </w:pPr>
            <w:r w:rsidRPr="00055DCD">
              <w:rPr>
                <w:rFonts w:cs="Calibri"/>
                <w:color w:val="000000"/>
                <w:sz w:val="22"/>
                <w:szCs w:val="22"/>
              </w:rPr>
              <w:t>0.24</w:t>
            </w:r>
          </w:p>
        </w:tc>
        <w:tc>
          <w:tcPr>
            <w:tcW w:w="900" w:type="dxa"/>
            <w:tcBorders>
              <w:top w:val="nil"/>
              <w:left w:val="nil"/>
              <w:bottom w:val="single" w:sz="4" w:space="0" w:color="auto"/>
              <w:right w:val="single" w:sz="4" w:space="0" w:color="auto"/>
            </w:tcBorders>
            <w:shd w:val="clear" w:color="auto" w:fill="auto"/>
            <w:noWrap/>
            <w:vAlign w:val="bottom"/>
            <w:hideMark/>
          </w:tcPr>
          <w:p w14:paraId="756D8D94" w14:textId="77777777" w:rsidR="00055DCD" w:rsidRPr="00055DCD" w:rsidRDefault="00055DCD" w:rsidP="00055DCD">
            <w:pPr>
              <w:jc w:val="right"/>
              <w:rPr>
                <w:rFonts w:cs="Calibri"/>
                <w:color w:val="000000"/>
                <w:sz w:val="22"/>
                <w:szCs w:val="22"/>
              </w:rPr>
            </w:pPr>
            <w:r w:rsidRPr="00055DCD">
              <w:rPr>
                <w:rFonts w:cs="Calibri"/>
                <w:color w:val="000000"/>
                <w:sz w:val="22"/>
                <w:szCs w:val="22"/>
              </w:rPr>
              <w:t>0.24</w:t>
            </w:r>
          </w:p>
        </w:tc>
        <w:tc>
          <w:tcPr>
            <w:tcW w:w="900" w:type="dxa"/>
            <w:tcBorders>
              <w:top w:val="nil"/>
              <w:left w:val="nil"/>
              <w:bottom w:val="single" w:sz="4" w:space="0" w:color="auto"/>
              <w:right w:val="single" w:sz="4" w:space="0" w:color="auto"/>
            </w:tcBorders>
            <w:shd w:val="clear" w:color="auto" w:fill="auto"/>
            <w:noWrap/>
            <w:vAlign w:val="bottom"/>
            <w:hideMark/>
          </w:tcPr>
          <w:p w14:paraId="06DD5D4E" w14:textId="77777777" w:rsidR="00055DCD" w:rsidRPr="00055DCD" w:rsidRDefault="00055DCD" w:rsidP="00055DCD">
            <w:pPr>
              <w:jc w:val="right"/>
              <w:rPr>
                <w:rFonts w:cs="Calibri"/>
                <w:color w:val="000000"/>
                <w:sz w:val="22"/>
                <w:szCs w:val="22"/>
              </w:rPr>
            </w:pPr>
            <w:r w:rsidRPr="00055DCD">
              <w:rPr>
                <w:rFonts w:cs="Calibri"/>
                <w:color w:val="000000"/>
                <w:sz w:val="22"/>
                <w:szCs w:val="22"/>
              </w:rPr>
              <w:t>98.0</w:t>
            </w:r>
          </w:p>
        </w:tc>
        <w:tc>
          <w:tcPr>
            <w:tcW w:w="900" w:type="dxa"/>
            <w:tcBorders>
              <w:top w:val="nil"/>
              <w:left w:val="nil"/>
              <w:bottom w:val="single" w:sz="4" w:space="0" w:color="auto"/>
              <w:right w:val="single" w:sz="4" w:space="0" w:color="auto"/>
            </w:tcBorders>
            <w:shd w:val="clear" w:color="auto" w:fill="auto"/>
            <w:noWrap/>
            <w:vAlign w:val="bottom"/>
            <w:hideMark/>
          </w:tcPr>
          <w:p w14:paraId="75513A98" w14:textId="77777777" w:rsidR="00055DCD" w:rsidRPr="00055DCD" w:rsidRDefault="00055DCD" w:rsidP="00055DCD">
            <w:pPr>
              <w:jc w:val="right"/>
              <w:rPr>
                <w:rFonts w:cs="Calibri"/>
                <w:color w:val="000000"/>
                <w:sz w:val="22"/>
                <w:szCs w:val="22"/>
              </w:rPr>
            </w:pPr>
            <w:r w:rsidRPr="00055DCD">
              <w:rPr>
                <w:rFonts w:cs="Calibri"/>
                <w:color w:val="000000"/>
                <w:sz w:val="22"/>
                <w:szCs w:val="22"/>
              </w:rPr>
              <w:t>99.4</w:t>
            </w:r>
          </w:p>
        </w:tc>
      </w:tr>
      <w:tr w:rsidR="00C948FE" w:rsidRPr="00055DCD" w14:paraId="7DF87FFA" w14:textId="77777777" w:rsidTr="0060654B">
        <w:trPr>
          <w:trHeight w:val="300"/>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22726838" w14:textId="77777777" w:rsidR="00055DCD" w:rsidRPr="00055DCD" w:rsidRDefault="00055DCD" w:rsidP="00055DCD">
            <w:pPr>
              <w:rPr>
                <w:rFonts w:cs="Calibri"/>
                <w:b/>
                <w:bCs/>
                <w:color w:val="000000"/>
                <w:sz w:val="22"/>
                <w:szCs w:val="22"/>
              </w:rPr>
            </w:pPr>
            <w:r w:rsidRPr="00055DCD">
              <w:rPr>
                <w:rFonts w:cs="Calibri"/>
                <w:b/>
                <w:bCs/>
                <w:color w:val="000000"/>
                <w:sz w:val="22"/>
                <w:szCs w:val="22"/>
              </w:rPr>
              <w:t>Common Sub-LAPs</w:t>
            </w:r>
          </w:p>
        </w:tc>
        <w:tc>
          <w:tcPr>
            <w:tcW w:w="900" w:type="dxa"/>
            <w:tcBorders>
              <w:top w:val="nil"/>
              <w:left w:val="nil"/>
              <w:bottom w:val="single" w:sz="4" w:space="0" w:color="auto"/>
              <w:right w:val="single" w:sz="4" w:space="0" w:color="auto"/>
            </w:tcBorders>
            <w:shd w:val="clear" w:color="auto" w:fill="auto"/>
            <w:noWrap/>
            <w:vAlign w:val="bottom"/>
            <w:hideMark/>
          </w:tcPr>
          <w:p w14:paraId="1A1500B7" w14:textId="77777777" w:rsidR="00055DCD" w:rsidRPr="00055DCD" w:rsidRDefault="00055DCD" w:rsidP="00055DCD">
            <w:pPr>
              <w:jc w:val="right"/>
              <w:rPr>
                <w:rFonts w:cs="Calibri"/>
                <w:b/>
                <w:bCs/>
                <w:color w:val="000000"/>
                <w:sz w:val="22"/>
                <w:szCs w:val="22"/>
              </w:rPr>
            </w:pPr>
            <w:r w:rsidRPr="00055DCD">
              <w:rPr>
                <w:rFonts w:cs="Calibri"/>
                <w:b/>
                <w:bCs/>
                <w:color w:val="000000"/>
                <w:sz w:val="22"/>
                <w:szCs w:val="22"/>
              </w:rPr>
              <w:t>49,442</w:t>
            </w:r>
          </w:p>
        </w:tc>
        <w:tc>
          <w:tcPr>
            <w:tcW w:w="900" w:type="dxa"/>
            <w:tcBorders>
              <w:top w:val="nil"/>
              <w:left w:val="nil"/>
              <w:bottom w:val="single" w:sz="4" w:space="0" w:color="auto"/>
              <w:right w:val="single" w:sz="4" w:space="0" w:color="auto"/>
            </w:tcBorders>
            <w:shd w:val="clear" w:color="auto" w:fill="auto"/>
            <w:noWrap/>
            <w:vAlign w:val="bottom"/>
            <w:hideMark/>
          </w:tcPr>
          <w:p w14:paraId="32C93430" w14:textId="77777777" w:rsidR="00055DCD" w:rsidRPr="00055DCD" w:rsidRDefault="00055DCD" w:rsidP="00055DCD">
            <w:pPr>
              <w:jc w:val="right"/>
              <w:rPr>
                <w:rFonts w:cs="Calibri"/>
                <w:b/>
                <w:bCs/>
                <w:color w:val="000000"/>
                <w:sz w:val="22"/>
                <w:szCs w:val="22"/>
              </w:rPr>
            </w:pPr>
            <w:r w:rsidRPr="00055DCD">
              <w:rPr>
                <w:rFonts w:cs="Calibri"/>
                <w:b/>
                <w:bCs/>
                <w:color w:val="000000"/>
                <w:sz w:val="22"/>
                <w:szCs w:val="22"/>
              </w:rPr>
              <w:t>52,163</w:t>
            </w:r>
          </w:p>
        </w:tc>
        <w:tc>
          <w:tcPr>
            <w:tcW w:w="900" w:type="dxa"/>
            <w:tcBorders>
              <w:top w:val="nil"/>
              <w:left w:val="nil"/>
              <w:bottom w:val="single" w:sz="4" w:space="0" w:color="auto"/>
              <w:right w:val="single" w:sz="4" w:space="0" w:color="auto"/>
            </w:tcBorders>
            <w:shd w:val="clear" w:color="auto" w:fill="auto"/>
            <w:noWrap/>
            <w:vAlign w:val="bottom"/>
            <w:hideMark/>
          </w:tcPr>
          <w:p w14:paraId="6BE3E8C1" w14:textId="77777777" w:rsidR="00055DCD" w:rsidRPr="00055DCD" w:rsidRDefault="00055DCD" w:rsidP="00055DCD">
            <w:pPr>
              <w:jc w:val="right"/>
              <w:rPr>
                <w:rFonts w:cs="Calibri"/>
                <w:b/>
                <w:bCs/>
                <w:color w:val="000000"/>
                <w:sz w:val="22"/>
                <w:szCs w:val="22"/>
              </w:rPr>
            </w:pPr>
            <w:r w:rsidRPr="00055DCD">
              <w:rPr>
                <w:rFonts w:cs="Calibri"/>
                <w:b/>
                <w:bCs/>
                <w:color w:val="000000"/>
                <w:sz w:val="22"/>
                <w:szCs w:val="22"/>
              </w:rPr>
              <w:t>2.98</w:t>
            </w:r>
          </w:p>
        </w:tc>
        <w:tc>
          <w:tcPr>
            <w:tcW w:w="900" w:type="dxa"/>
            <w:tcBorders>
              <w:top w:val="nil"/>
              <w:left w:val="nil"/>
              <w:bottom w:val="single" w:sz="4" w:space="0" w:color="auto"/>
              <w:right w:val="single" w:sz="4" w:space="0" w:color="auto"/>
            </w:tcBorders>
            <w:shd w:val="clear" w:color="auto" w:fill="auto"/>
            <w:noWrap/>
            <w:vAlign w:val="bottom"/>
            <w:hideMark/>
          </w:tcPr>
          <w:p w14:paraId="216533B8" w14:textId="77777777" w:rsidR="00055DCD" w:rsidRPr="00055DCD" w:rsidRDefault="00055DCD" w:rsidP="00055DCD">
            <w:pPr>
              <w:jc w:val="right"/>
              <w:rPr>
                <w:rFonts w:cs="Calibri"/>
                <w:b/>
                <w:bCs/>
                <w:color w:val="000000"/>
                <w:sz w:val="22"/>
                <w:szCs w:val="22"/>
              </w:rPr>
            </w:pPr>
            <w:r w:rsidRPr="00055DCD">
              <w:rPr>
                <w:rFonts w:cs="Calibri"/>
                <w:b/>
                <w:bCs/>
                <w:color w:val="000000"/>
                <w:sz w:val="22"/>
                <w:szCs w:val="22"/>
              </w:rPr>
              <w:t>2.63</w:t>
            </w:r>
          </w:p>
        </w:tc>
        <w:tc>
          <w:tcPr>
            <w:tcW w:w="900" w:type="dxa"/>
            <w:tcBorders>
              <w:top w:val="nil"/>
              <w:left w:val="nil"/>
              <w:bottom w:val="single" w:sz="4" w:space="0" w:color="auto"/>
              <w:right w:val="single" w:sz="4" w:space="0" w:color="auto"/>
            </w:tcBorders>
            <w:shd w:val="clear" w:color="auto" w:fill="auto"/>
            <w:noWrap/>
            <w:vAlign w:val="bottom"/>
            <w:hideMark/>
          </w:tcPr>
          <w:p w14:paraId="427DDA35" w14:textId="77777777" w:rsidR="00055DCD" w:rsidRPr="00055DCD" w:rsidRDefault="00055DCD" w:rsidP="00055DCD">
            <w:pPr>
              <w:jc w:val="right"/>
              <w:rPr>
                <w:rFonts w:cs="Calibri"/>
                <w:b/>
                <w:bCs/>
                <w:color w:val="000000"/>
                <w:sz w:val="22"/>
                <w:szCs w:val="22"/>
              </w:rPr>
            </w:pPr>
            <w:r w:rsidRPr="00055DCD">
              <w:rPr>
                <w:rFonts w:cs="Calibri"/>
                <w:b/>
                <w:bCs/>
                <w:color w:val="000000"/>
                <w:sz w:val="22"/>
                <w:szCs w:val="22"/>
              </w:rPr>
              <w:t>0.38</w:t>
            </w:r>
          </w:p>
        </w:tc>
        <w:tc>
          <w:tcPr>
            <w:tcW w:w="900" w:type="dxa"/>
            <w:tcBorders>
              <w:top w:val="nil"/>
              <w:left w:val="nil"/>
              <w:bottom w:val="single" w:sz="4" w:space="0" w:color="auto"/>
              <w:right w:val="single" w:sz="4" w:space="0" w:color="auto"/>
            </w:tcBorders>
            <w:shd w:val="clear" w:color="auto" w:fill="auto"/>
            <w:noWrap/>
            <w:vAlign w:val="bottom"/>
            <w:hideMark/>
          </w:tcPr>
          <w:p w14:paraId="7128FE37" w14:textId="77777777" w:rsidR="00055DCD" w:rsidRPr="00055DCD" w:rsidRDefault="00055DCD" w:rsidP="00055DCD">
            <w:pPr>
              <w:jc w:val="right"/>
              <w:rPr>
                <w:rFonts w:cs="Calibri"/>
                <w:b/>
                <w:bCs/>
                <w:color w:val="000000"/>
                <w:sz w:val="22"/>
                <w:szCs w:val="22"/>
              </w:rPr>
            </w:pPr>
            <w:r w:rsidRPr="00055DCD">
              <w:rPr>
                <w:rFonts w:cs="Calibri"/>
                <w:b/>
                <w:bCs/>
                <w:color w:val="000000"/>
                <w:sz w:val="22"/>
                <w:szCs w:val="22"/>
              </w:rPr>
              <w:t>0.34</w:t>
            </w:r>
          </w:p>
        </w:tc>
        <w:tc>
          <w:tcPr>
            <w:tcW w:w="900" w:type="dxa"/>
            <w:tcBorders>
              <w:top w:val="nil"/>
              <w:left w:val="nil"/>
              <w:bottom w:val="single" w:sz="4" w:space="0" w:color="auto"/>
              <w:right w:val="single" w:sz="4" w:space="0" w:color="auto"/>
            </w:tcBorders>
            <w:shd w:val="clear" w:color="auto" w:fill="auto"/>
            <w:noWrap/>
            <w:vAlign w:val="bottom"/>
            <w:hideMark/>
          </w:tcPr>
          <w:p w14:paraId="4CAD7173" w14:textId="77777777" w:rsidR="00055DCD" w:rsidRPr="00055DCD" w:rsidRDefault="00055DCD" w:rsidP="00055DCD">
            <w:pPr>
              <w:jc w:val="right"/>
              <w:rPr>
                <w:rFonts w:cs="Calibri"/>
                <w:b/>
                <w:bCs/>
                <w:color w:val="000000"/>
                <w:sz w:val="22"/>
                <w:szCs w:val="22"/>
              </w:rPr>
            </w:pPr>
            <w:r w:rsidRPr="00055DCD">
              <w:rPr>
                <w:rFonts w:cs="Calibri"/>
                <w:b/>
                <w:bCs/>
                <w:color w:val="000000"/>
                <w:sz w:val="22"/>
                <w:szCs w:val="22"/>
              </w:rPr>
              <w:t>100.4</w:t>
            </w:r>
          </w:p>
        </w:tc>
        <w:tc>
          <w:tcPr>
            <w:tcW w:w="900" w:type="dxa"/>
            <w:tcBorders>
              <w:top w:val="nil"/>
              <w:left w:val="nil"/>
              <w:bottom w:val="single" w:sz="4" w:space="0" w:color="auto"/>
              <w:right w:val="single" w:sz="4" w:space="0" w:color="auto"/>
            </w:tcBorders>
            <w:shd w:val="clear" w:color="auto" w:fill="auto"/>
            <w:noWrap/>
            <w:vAlign w:val="bottom"/>
            <w:hideMark/>
          </w:tcPr>
          <w:p w14:paraId="34E63127" w14:textId="77777777" w:rsidR="00055DCD" w:rsidRPr="00055DCD" w:rsidRDefault="00055DCD" w:rsidP="00055DCD">
            <w:pPr>
              <w:jc w:val="right"/>
              <w:rPr>
                <w:rFonts w:cs="Calibri"/>
                <w:b/>
                <w:bCs/>
                <w:color w:val="000000"/>
                <w:sz w:val="22"/>
                <w:szCs w:val="22"/>
              </w:rPr>
            </w:pPr>
            <w:r w:rsidRPr="00055DCD">
              <w:rPr>
                <w:rFonts w:cs="Calibri"/>
                <w:b/>
                <w:bCs/>
                <w:color w:val="000000"/>
                <w:sz w:val="22"/>
                <w:szCs w:val="22"/>
              </w:rPr>
              <w:t>100.4</w:t>
            </w:r>
          </w:p>
        </w:tc>
      </w:tr>
    </w:tbl>
    <w:p w14:paraId="78DF78C3" w14:textId="3B30CD12" w:rsidR="008D4A3E" w:rsidRDefault="008D4A3E" w:rsidP="00B76ECD">
      <w:pPr>
        <w:spacing w:after="120"/>
      </w:pPr>
    </w:p>
    <w:p w14:paraId="233CB5B5" w14:textId="05D9B947" w:rsidR="001F5B92" w:rsidRDefault="00AF5620" w:rsidP="004C54C7">
      <w:pPr>
        <w:pStyle w:val="Heading2"/>
        <w:spacing w:before="0" w:after="120"/>
        <w:contextualSpacing/>
      </w:pPr>
      <w:bookmarkStart w:id="150" w:name="_Toc383597953"/>
      <w:bookmarkStart w:id="151" w:name="_Toc413421726"/>
      <w:bookmarkStart w:id="152" w:name="_Toc477781289"/>
      <w:bookmarkStart w:id="153" w:name="_Toc4578164"/>
      <w:r w:rsidRPr="00AF5620">
        <w:t>Previous</w:t>
      </w:r>
      <w:r>
        <w:t xml:space="preserve"> vs. Current Ex-Ante</w:t>
      </w:r>
      <w:bookmarkEnd w:id="153"/>
    </w:p>
    <w:p w14:paraId="74F5280C" w14:textId="602A1BDD" w:rsidR="009F0388" w:rsidRDefault="008D4A3E" w:rsidP="00144CEB">
      <w:pPr>
        <w:spacing w:after="120"/>
      </w:pPr>
      <w:bookmarkStart w:id="154" w:name="_Toc383597954"/>
      <w:bookmarkStart w:id="155" w:name="_Toc413421727"/>
      <w:bookmarkStart w:id="156" w:name="_Toc477781290"/>
      <w:bookmarkEnd w:id="150"/>
      <w:bookmarkEnd w:id="151"/>
      <w:bookmarkEnd w:id="152"/>
      <w:r>
        <w:t xml:space="preserve">In this section, we compare the </w:t>
      </w:r>
      <w:r w:rsidRPr="00933F01">
        <w:rPr>
          <w:i/>
        </w:rPr>
        <w:t>ex-ante</w:t>
      </w:r>
      <w:r>
        <w:t xml:space="preserve"> forecast </w:t>
      </w:r>
      <w:r w:rsidR="00044759">
        <w:t xml:space="preserve">from </w:t>
      </w:r>
      <w:r>
        <w:t xml:space="preserve">the previous study to the </w:t>
      </w:r>
      <w:r w:rsidRPr="00933F01">
        <w:rPr>
          <w:i/>
        </w:rPr>
        <w:t>ex-ante</w:t>
      </w:r>
      <w:r>
        <w:t xml:space="preserve"> forecast contained in th</w:t>
      </w:r>
      <w:r w:rsidR="00044759">
        <w:t xml:space="preserve">e </w:t>
      </w:r>
      <w:r>
        <w:t>current study.</w:t>
      </w:r>
      <w:r w:rsidR="009F0388">
        <w:t xml:space="preserve"> We focus on average load impacts across the RA window, which differs between forecasts. </w:t>
      </w:r>
      <w:r w:rsidR="001D2B3F">
        <w:t xml:space="preserve">In both studies, the </w:t>
      </w:r>
      <w:r w:rsidR="001D2B3F" w:rsidRPr="003D0347">
        <w:rPr>
          <w:i/>
        </w:rPr>
        <w:t>ex-ante</w:t>
      </w:r>
      <w:r w:rsidR="001D2B3F">
        <w:t xml:space="preserve"> forecast assumes that event hours exactly match the RA window. </w:t>
      </w:r>
      <w:r w:rsidR="009F0388">
        <w:t xml:space="preserve">The previous study had an RA window from 1 p.m. to 6 p.m., while the current study has an RA window from 4 p.m. to 9 p.m. </w:t>
      </w:r>
      <w:r>
        <w:t xml:space="preserve"> </w:t>
      </w:r>
    </w:p>
    <w:p w14:paraId="28CBA60A" w14:textId="32F0A164" w:rsidR="008D4A3E" w:rsidRDefault="008D4A3E" w:rsidP="00144CEB">
      <w:pPr>
        <w:spacing w:after="120"/>
      </w:pPr>
      <w:r>
        <w:fldChar w:fldCharType="begin"/>
      </w:r>
      <w:r>
        <w:instrText xml:space="preserve"> REF _Ref507077025 \h </w:instrText>
      </w:r>
      <w:r>
        <w:fldChar w:fldCharType="separate"/>
      </w:r>
      <w:r w:rsidR="00445DF3">
        <w:t xml:space="preserve">Table </w:t>
      </w:r>
      <w:r w:rsidR="00445DF3">
        <w:rPr>
          <w:noProof/>
        </w:rPr>
        <w:t>5</w:t>
      </w:r>
      <w:r w:rsidR="00445DF3">
        <w:noBreakHyphen/>
      </w:r>
      <w:r w:rsidR="00445DF3">
        <w:rPr>
          <w:noProof/>
        </w:rPr>
        <w:t>2</w:t>
      </w:r>
      <w:r>
        <w:fldChar w:fldCharType="end"/>
      </w:r>
      <w:r>
        <w:t xml:space="preserve"> reports the average event-hour load impacts for the </w:t>
      </w:r>
      <w:r w:rsidR="00E76A8E">
        <w:t>July</w:t>
      </w:r>
      <w:r>
        <w:t xml:space="preserve"> 201</w:t>
      </w:r>
      <w:r w:rsidR="009F0388">
        <w:t>9</w:t>
      </w:r>
      <w:r>
        <w:t xml:space="preserve"> peak day under </w:t>
      </w:r>
      <w:r w:rsidR="001F5B92">
        <w:t>PG&amp;E</w:t>
      </w:r>
      <w:r>
        <w:t xml:space="preserve"> 1-in-2 weather conditions.</w:t>
      </w:r>
      <w:r w:rsidR="001956B7">
        <w:t xml:space="preserve"> The aggregate load impact forecast decreased across years from </w:t>
      </w:r>
      <w:r w:rsidR="00144CEB">
        <w:t>66.2</w:t>
      </w:r>
      <w:r w:rsidR="001956B7">
        <w:t xml:space="preserve"> </w:t>
      </w:r>
      <w:r w:rsidR="009F0388">
        <w:t xml:space="preserve">MWh/hour </w:t>
      </w:r>
      <w:r w:rsidR="001F5B92">
        <w:t xml:space="preserve">in the previous study </w:t>
      </w:r>
      <w:r w:rsidR="001956B7">
        <w:t xml:space="preserve">to </w:t>
      </w:r>
      <w:r w:rsidR="00144CEB">
        <w:t>5</w:t>
      </w:r>
      <w:r w:rsidR="00AE1CF3">
        <w:t>3</w:t>
      </w:r>
      <w:r w:rsidR="00144CEB">
        <w:t>.9</w:t>
      </w:r>
      <w:r w:rsidR="001956B7">
        <w:t xml:space="preserve"> MWh/hour</w:t>
      </w:r>
      <w:r w:rsidR="001F5B92">
        <w:t xml:space="preserve"> in the current study</w:t>
      </w:r>
      <w:r w:rsidR="00AE1CF3">
        <w:t>. This decrease is due to diminished load impacts in Kern as well as a lower program enrollment forecast. The decline in Kern leads per-customer load impacts to decrease from 0.56 kWh/customer/hour to 0.52 kWh/customer/hour.</w:t>
      </w:r>
      <w:r w:rsidR="001956B7">
        <w:t xml:space="preserve"> </w:t>
      </w:r>
      <w:r w:rsidR="001F5B92">
        <w:t>The</w:t>
      </w:r>
      <w:r w:rsidR="00144CEB">
        <w:t xml:space="preserve"> RA window per-customer reference load </w:t>
      </w:r>
      <w:r w:rsidR="001D2B3F">
        <w:t xml:space="preserve">and temperature </w:t>
      </w:r>
      <w:r w:rsidR="00144CEB">
        <w:t xml:space="preserve">are </w:t>
      </w:r>
      <w:r w:rsidR="001D2B3F">
        <w:t>lower</w:t>
      </w:r>
      <w:r w:rsidR="00144CEB">
        <w:t xml:space="preserve"> in the current study. These differences are being driven by the later RA window in the current study as well as a slight shift in the distribution of customers across LCAs. </w:t>
      </w:r>
      <w:r w:rsidR="001D2B3F">
        <w:t>W</w:t>
      </w:r>
      <w:r w:rsidR="001F5B92">
        <w:t xml:space="preserve">hen combined with </w:t>
      </w:r>
      <w:r w:rsidR="00144CEB">
        <w:t>changes in e</w:t>
      </w:r>
      <w:r w:rsidR="001F5B92">
        <w:t>nrollment forecasts</w:t>
      </w:r>
      <w:r w:rsidR="001D2B3F">
        <w:t>, these changes</w:t>
      </w:r>
      <w:r w:rsidR="001F5B92">
        <w:t xml:space="preserve"> lead to aggregate reference loads that are significantly lower in the current study.</w:t>
      </w:r>
    </w:p>
    <w:p w14:paraId="27AD8A7A" w14:textId="77777777" w:rsidR="008D4A3E" w:rsidRDefault="008D4A3E" w:rsidP="008D4A3E"/>
    <w:p w14:paraId="47A630AE" w14:textId="29AE7DCB" w:rsidR="008D4A3E" w:rsidRDefault="008D4A3E" w:rsidP="001F5B92">
      <w:pPr>
        <w:pStyle w:val="TableCaption"/>
      </w:pPr>
      <w:bookmarkStart w:id="157" w:name="_Ref507077025"/>
      <w:bookmarkStart w:id="158" w:name="_Toc507081210"/>
      <w:bookmarkStart w:id="159" w:name="_Toc4578187"/>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5</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2</w:t>
      </w:r>
      <w:r w:rsidR="005D5F52">
        <w:rPr>
          <w:noProof/>
        </w:rPr>
        <w:fldChar w:fldCharType="end"/>
      </w:r>
      <w:bookmarkEnd w:id="157"/>
      <w:r w:rsidRPr="00376F46">
        <w:t xml:space="preserve">: </w:t>
      </w:r>
      <w:r>
        <w:t xml:space="preserve">Previous vs. Current </w:t>
      </w:r>
      <w:r w:rsidRPr="001634AA">
        <w:rPr>
          <w:i/>
        </w:rPr>
        <w:t>Ex-Ante</w:t>
      </w:r>
      <w:r>
        <w:t xml:space="preserve"> Load Impacts, </w:t>
      </w:r>
      <w:r w:rsidR="00A720EA">
        <w:rPr>
          <w:i/>
        </w:rPr>
        <w:t>PG&amp;E</w:t>
      </w:r>
      <w:r>
        <w:rPr>
          <w:i/>
        </w:rPr>
        <w:t xml:space="preserve"> </w:t>
      </w:r>
      <w:r w:rsidRPr="001634AA">
        <w:rPr>
          <w:i/>
        </w:rPr>
        <w:t xml:space="preserve">1-in-2 </w:t>
      </w:r>
      <w:r w:rsidR="00C34D34">
        <w:rPr>
          <w:i/>
        </w:rPr>
        <w:t xml:space="preserve">July </w:t>
      </w:r>
      <w:r w:rsidRPr="001634AA">
        <w:rPr>
          <w:i/>
        </w:rPr>
        <w:t>201</w:t>
      </w:r>
      <w:r w:rsidR="001F5B92">
        <w:rPr>
          <w:i/>
        </w:rPr>
        <w:t>9</w:t>
      </w:r>
      <w:r w:rsidRPr="001634AA">
        <w:rPr>
          <w:i/>
        </w:rPr>
        <w:t xml:space="preserve"> Peak Day</w:t>
      </w:r>
      <w:bookmarkEnd w:id="158"/>
      <w:bookmarkEnd w:id="159"/>
    </w:p>
    <w:tbl>
      <w:tblPr>
        <w:tblW w:w="5050" w:type="dxa"/>
        <w:jc w:val="center"/>
        <w:tblLook w:val="04A0" w:firstRow="1" w:lastRow="0" w:firstColumn="1" w:lastColumn="0" w:noHBand="0" w:noVBand="1"/>
      </w:tblPr>
      <w:tblGrid>
        <w:gridCol w:w="1085"/>
        <w:gridCol w:w="2045"/>
        <w:gridCol w:w="960"/>
        <w:gridCol w:w="960"/>
      </w:tblGrid>
      <w:tr w:rsidR="000E1D13" w:rsidRPr="000E1D13" w14:paraId="4067A96C" w14:textId="77777777" w:rsidTr="000E1D13">
        <w:trPr>
          <w:trHeight w:val="300"/>
          <w:jc w:val="center"/>
        </w:trPr>
        <w:tc>
          <w:tcPr>
            <w:tcW w:w="1085" w:type="dxa"/>
            <w:tcBorders>
              <w:top w:val="single" w:sz="8" w:space="0" w:color="auto"/>
              <w:left w:val="single" w:sz="8" w:space="0" w:color="auto"/>
              <w:bottom w:val="nil"/>
              <w:right w:val="single" w:sz="4" w:space="0" w:color="FFFFFF"/>
            </w:tcBorders>
            <w:shd w:val="clear" w:color="000000" w:fill="0C2577"/>
            <w:vAlign w:val="center"/>
            <w:hideMark/>
          </w:tcPr>
          <w:p w14:paraId="3D6F4A3B" w14:textId="77777777" w:rsidR="000E1D13" w:rsidRPr="000E1D13" w:rsidRDefault="000E1D13" w:rsidP="000E1D13">
            <w:pPr>
              <w:jc w:val="center"/>
              <w:rPr>
                <w:rFonts w:cs="Calibri"/>
                <w:b/>
                <w:bCs/>
                <w:color w:val="FFFFFF"/>
                <w:sz w:val="22"/>
                <w:szCs w:val="22"/>
              </w:rPr>
            </w:pPr>
            <w:r w:rsidRPr="000E1D13">
              <w:rPr>
                <w:rFonts w:cs="Calibri"/>
                <w:b/>
                <w:bCs/>
                <w:color w:val="FFFFFF"/>
                <w:sz w:val="22"/>
                <w:szCs w:val="22"/>
              </w:rPr>
              <w:t>Level</w:t>
            </w:r>
          </w:p>
        </w:tc>
        <w:tc>
          <w:tcPr>
            <w:tcW w:w="2045" w:type="dxa"/>
            <w:tcBorders>
              <w:top w:val="single" w:sz="8" w:space="0" w:color="auto"/>
              <w:left w:val="nil"/>
              <w:bottom w:val="nil"/>
              <w:right w:val="single" w:sz="4" w:space="0" w:color="FFFFFF"/>
            </w:tcBorders>
            <w:shd w:val="clear" w:color="000000" w:fill="0C2577"/>
            <w:vAlign w:val="center"/>
            <w:hideMark/>
          </w:tcPr>
          <w:p w14:paraId="717F984A" w14:textId="77777777" w:rsidR="000E1D13" w:rsidRPr="000E1D13" w:rsidRDefault="000E1D13" w:rsidP="000E1D13">
            <w:pPr>
              <w:jc w:val="center"/>
              <w:rPr>
                <w:rFonts w:cs="Calibri"/>
                <w:b/>
                <w:bCs/>
                <w:color w:val="FFFFFF"/>
                <w:sz w:val="22"/>
                <w:szCs w:val="22"/>
              </w:rPr>
            </w:pPr>
            <w:r w:rsidRPr="000E1D13">
              <w:rPr>
                <w:rFonts w:cs="Calibri"/>
                <w:b/>
                <w:bCs/>
                <w:color w:val="FFFFFF"/>
                <w:sz w:val="22"/>
                <w:szCs w:val="22"/>
              </w:rPr>
              <w:t>Outcome</w:t>
            </w:r>
          </w:p>
        </w:tc>
        <w:tc>
          <w:tcPr>
            <w:tcW w:w="960" w:type="dxa"/>
            <w:tcBorders>
              <w:top w:val="nil"/>
              <w:left w:val="nil"/>
              <w:bottom w:val="nil"/>
              <w:right w:val="nil"/>
            </w:tcBorders>
            <w:shd w:val="clear" w:color="000000" w:fill="0C2577"/>
            <w:vAlign w:val="center"/>
            <w:hideMark/>
          </w:tcPr>
          <w:p w14:paraId="47024D70" w14:textId="77777777" w:rsidR="000E1D13" w:rsidRPr="000E1D13" w:rsidRDefault="000E1D13" w:rsidP="000E1D13">
            <w:pPr>
              <w:jc w:val="center"/>
              <w:rPr>
                <w:rFonts w:cs="Calibri"/>
                <w:b/>
                <w:bCs/>
                <w:color w:val="FFFFFF"/>
                <w:sz w:val="22"/>
                <w:szCs w:val="22"/>
              </w:rPr>
            </w:pPr>
            <w:r w:rsidRPr="000E1D13">
              <w:rPr>
                <w:rFonts w:cs="Calibri"/>
                <w:b/>
                <w:bCs/>
                <w:color w:val="FFFFFF"/>
                <w:sz w:val="22"/>
                <w:szCs w:val="22"/>
              </w:rPr>
              <w:t>PY2017</w:t>
            </w:r>
          </w:p>
        </w:tc>
        <w:tc>
          <w:tcPr>
            <w:tcW w:w="960" w:type="dxa"/>
            <w:tcBorders>
              <w:top w:val="single" w:sz="8" w:space="0" w:color="auto"/>
              <w:left w:val="single" w:sz="4" w:space="0" w:color="FFFFFF"/>
              <w:bottom w:val="nil"/>
              <w:right w:val="single" w:sz="8" w:space="0" w:color="auto"/>
            </w:tcBorders>
            <w:shd w:val="clear" w:color="000000" w:fill="0C2577"/>
            <w:vAlign w:val="center"/>
            <w:hideMark/>
          </w:tcPr>
          <w:p w14:paraId="3E619396" w14:textId="77777777" w:rsidR="000E1D13" w:rsidRPr="000E1D13" w:rsidRDefault="000E1D13" w:rsidP="000E1D13">
            <w:pPr>
              <w:jc w:val="center"/>
              <w:rPr>
                <w:rFonts w:cs="Calibri"/>
                <w:b/>
                <w:bCs/>
                <w:color w:val="FFFFFF"/>
                <w:sz w:val="22"/>
                <w:szCs w:val="22"/>
              </w:rPr>
            </w:pPr>
            <w:r w:rsidRPr="000E1D13">
              <w:rPr>
                <w:rFonts w:cs="Calibri"/>
                <w:b/>
                <w:bCs/>
                <w:color w:val="FFFFFF"/>
                <w:sz w:val="22"/>
                <w:szCs w:val="22"/>
              </w:rPr>
              <w:t>PY2018</w:t>
            </w:r>
          </w:p>
        </w:tc>
      </w:tr>
      <w:tr w:rsidR="000E1D13" w:rsidRPr="000E1D13" w14:paraId="7C473800" w14:textId="77777777" w:rsidTr="000E1D13">
        <w:trPr>
          <w:trHeight w:val="300"/>
          <w:jc w:val="center"/>
        </w:trPr>
        <w:tc>
          <w:tcPr>
            <w:tcW w:w="10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DB7C75" w14:textId="77777777" w:rsidR="000E1D13" w:rsidRPr="000E1D13" w:rsidRDefault="000E1D13" w:rsidP="000E1D13">
            <w:pPr>
              <w:jc w:val="center"/>
              <w:rPr>
                <w:rFonts w:cs="Calibri"/>
                <w:b/>
                <w:bCs/>
                <w:sz w:val="22"/>
                <w:szCs w:val="22"/>
              </w:rPr>
            </w:pPr>
            <w:r w:rsidRPr="000E1D13">
              <w:rPr>
                <w:rFonts w:cs="Calibri"/>
                <w:b/>
                <w:bCs/>
                <w:sz w:val="22"/>
                <w:szCs w:val="22"/>
              </w:rPr>
              <w:t>Total</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764287BE" w14:textId="77777777" w:rsidR="000E1D13" w:rsidRPr="000E1D13" w:rsidRDefault="000E1D13" w:rsidP="000E1D13">
            <w:pPr>
              <w:rPr>
                <w:rFonts w:cs="Calibri"/>
                <w:sz w:val="22"/>
                <w:szCs w:val="22"/>
              </w:rPr>
            </w:pPr>
            <w:r w:rsidRPr="000E1D13">
              <w:rPr>
                <w:rFonts w:cs="Calibri"/>
                <w:sz w:val="22"/>
                <w:szCs w:val="22"/>
              </w:rPr>
              <w:t># SAIDs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5E6BCC" w14:textId="77777777" w:rsidR="000E1D13" w:rsidRPr="000E1D13" w:rsidRDefault="000E1D13" w:rsidP="000E1D13">
            <w:pPr>
              <w:jc w:val="right"/>
              <w:rPr>
                <w:rFonts w:cs="Calibri"/>
                <w:sz w:val="22"/>
                <w:szCs w:val="22"/>
              </w:rPr>
            </w:pPr>
            <w:r w:rsidRPr="000E1D13">
              <w:rPr>
                <w:rFonts w:cs="Calibri"/>
                <w:sz w:val="22"/>
                <w:szCs w:val="22"/>
              </w:rPr>
              <w:t>118,563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5A60FA" w14:textId="77777777" w:rsidR="000E1D13" w:rsidRPr="000E1D13" w:rsidRDefault="000E1D13" w:rsidP="000E1D13">
            <w:pPr>
              <w:jc w:val="right"/>
              <w:rPr>
                <w:rFonts w:cs="Calibri"/>
                <w:sz w:val="22"/>
                <w:szCs w:val="22"/>
              </w:rPr>
            </w:pPr>
            <w:r w:rsidRPr="000E1D13">
              <w:rPr>
                <w:rFonts w:cs="Calibri"/>
                <w:sz w:val="22"/>
                <w:szCs w:val="22"/>
              </w:rPr>
              <w:t>103,471</w:t>
            </w:r>
          </w:p>
        </w:tc>
      </w:tr>
      <w:tr w:rsidR="000E1D13" w:rsidRPr="000E1D13" w14:paraId="6603BA4A" w14:textId="77777777" w:rsidTr="000E1D13">
        <w:trPr>
          <w:trHeight w:val="300"/>
          <w:jc w:val="center"/>
        </w:trPr>
        <w:tc>
          <w:tcPr>
            <w:tcW w:w="1085" w:type="dxa"/>
            <w:vMerge/>
            <w:tcBorders>
              <w:top w:val="single" w:sz="4" w:space="0" w:color="auto"/>
              <w:left w:val="single" w:sz="4" w:space="0" w:color="auto"/>
              <w:bottom w:val="single" w:sz="4" w:space="0" w:color="000000"/>
              <w:right w:val="single" w:sz="4" w:space="0" w:color="auto"/>
            </w:tcBorders>
            <w:vAlign w:val="center"/>
            <w:hideMark/>
          </w:tcPr>
          <w:p w14:paraId="533C4864" w14:textId="77777777" w:rsidR="000E1D13" w:rsidRPr="000E1D13" w:rsidRDefault="000E1D13" w:rsidP="000E1D13">
            <w:pPr>
              <w:rPr>
                <w:rFonts w:cs="Calibri"/>
                <w:b/>
                <w:bCs/>
                <w:sz w:val="22"/>
                <w:szCs w:val="22"/>
              </w:rPr>
            </w:pPr>
          </w:p>
        </w:tc>
        <w:tc>
          <w:tcPr>
            <w:tcW w:w="2045" w:type="dxa"/>
            <w:tcBorders>
              <w:top w:val="nil"/>
              <w:left w:val="nil"/>
              <w:bottom w:val="single" w:sz="4" w:space="0" w:color="auto"/>
              <w:right w:val="single" w:sz="4" w:space="0" w:color="auto"/>
            </w:tcBorders>
            <w:shd w:val="clear" w:color="auto" w:fill="auto"/>
            <w:vAlign w:val="center"/>
            <w:hideMark/>
          </w:tcPr>
          <w:p w14:paraId="4AB20FDA" w14:textId="77777777" w:rsidR="000E1D13" w:rsidRPr="000E1D13" w:rsidRDefault="000E1D13" w:rsidP="000E1D13">
            <w:pPr>
              <w:rPr>
                <w:rFonts w:cs="Calibri"/>
                <w:sz w:val="22"/>
                <w:szCs w:val="22"/>
              </w:rPr>
            </w:pPr>
            <w:r w:rsidRPr="000E1D13">
              <w:rPr>
                <w:rFonts w:cs="Calibri"/>
                <w:sz w:val="22"/>
                <w:szCs w:val="22"/>
              </w:rPr>
              <w:t>Reference (MW)</w:t>
            </w:r>
          </w:p>
        </w:tc>
        <w:tc>
          <w:tcPr>
            <w:tcW w:w="960" w:type="dxa"/>
            <w:tcBorders>
              <w:top w:val="nil"/>
              <w:left w:val="nil"/>
              <w:bottom w:val="single" w:sz="4" w:space="0" w:color="auto"/>
              <w:right w:val="single" w:sz="4" w:space="0" w:color="auto"/>
            </w:tcBorders>
            <w:shd w:val="clear" w:color="auto" w:fill="auto"/>
            <w:vAlign w:val="center"/>
            <w:hideMark/>
          </w:tcPr>
          <w:p w14:paraId="2C16EAC6" w14:textId="77777777" w:rsidR="000E1D13" w:rsidRPr="000E1D13" w:rsidRDefault="000E1D13" w:rsidP="000E1D13">
            <w:pPr>
              <w:jc w:val="right"/>
              <w:rPr>
                <w:rFonts w:cs="Calibri"/>
                <w:sz w:val="22"/>
                <w:szCs w:val="22"/>
              </w:rPr>
            </w:pPr>
            <w:r w:rsidRPr="000E1D13">
              <w:rPr>
                <w:rFonts w:cs="Calibri"/>
                <w:sz w:val="22"/>
                <w:szCs w:val="22"/>
              </w:rPr>
              <w:t>296.8</w:t>
            </w:r>
          </w:p>
        </w:tc>
        <w:tc>
          <w:tcPr>
            <w:tcW w:w="960" w:type="dxa"/>
            <w:tcBorders>
              <w:top w:val="nil"/>
              <w:left w:val="nil"/>
              <w:bottom w:val="single" w:sz="4" w:space="0" w:color="auto"/>
              <w:right w:val="single" w:sz="4" w:space="0" w:color="auto"/>
            </w:tcBorders>
            <w:shd w:val="clear" w:color="auto" w:fill="auto"/>
            <w:vAlign w:val="center"/>
            <w:hideMark/>
          </w:tcPr>
          <w:p w14:paraId="063979D6" w14:textId="77777777" w:rsidR="000E1D13" w:rsidRPr="000E1D13" w:rsidRDefault="000E1D13" w:rsidP="000E1D13">
            <w:pPr>
              <w:jc w:val="right"/>
              <w:rPr>
                <w:rFonts w:cs="Calibri"/>
                <w:sz w:val="22"/>
                <w:szCs w:val="22"/>
              </w:rPr>
            </w:pPr>
            <w:r w:rsidRPr="000E1D13">
              <w:rPr>
                <w:rFonts w:cs="Calibri"/>
                <w:sz w:val="22"/>
                <w:szCs w:val="22"/>
              </w:rPr>
              <w:t>240.4</w:t>
            </w:r>
          </w:p>
        </w:tc>
      </w:tr>
      <w:tr w:rsidR="000E1D13" w:rsidRPr="000E1D13" w14:paraId="1E06BDC2" w14:textId="77777777" w:rsidTr="000E1D13">
        <w:trPr>
          <w:trHeight w:val="300"/>
          <w:jc w:val="center"/>
        </w:trPr>
        <w:tc>
          <w:tcPr>
            <w:tcW w:w="1085" w:type="dxa"/>
            <w:vMerge/>
            <w:tcBorders>
              <w:top w:val="single" w:sz="4" w:space="0" w:color="auto"/>
              <w:left w:val="single" w:sz="4" w:space="0" w:color="auto"/>
              <w:bottom w:val="single" w:sz="4" w:space="0" w:color="000000"/>
              <w:right w:val="single" w:sz="4" w:space="0" w:color="auto"/>
            </w:tcBorders>
            <w:vAlign w:val="center"/>
            <w:hideMark/>
          </w:tcPr>
          <w:p w14:paraId="380EA7E3" w14:textId="77777777" w:rsidR="000E1D13" w:rsidRPr="000E1D13" w:rsidRDefault="000E1D13" w:rsidP="000E1D13">
            <w:pPr>
              <w:rPr>
                <w:rFonts w:cs="Calibri"/>
                <w:b/>
                <w:bCs/>
                <w:sz w:val="22"/>
                <w:szCs w:val="22"/>
              </w:rPr>
            </w:pPr>
          </w:p>
        </w:tc>
        <w:tc>
          <w:tcPr>
            <w:tcW w:w="2045" w:type="dxa"/>
            <w:tcBorders>
              <w:top w:val="nil"/>
              <w:left w:val="nil"/>
              <w:bottom w:val="single" w:sz="4" w:space="0" w:color="auto"/>
              <w:right w:val="single" w:sz="4" w:space="0" w:color="auto"/>
            </w:tcBorders>
            <w:shd w:val="clear" w:color="auto" w:fill="auto"/>
            <w:noWrap/>
            <w:vAlign w:val="bottom"/>
            <w:hideMark/>
          </w:tcPr>
          <w:p w14:paraId="254B84BC" w14:textId="77777777" w:rsidR="000E1D13" w:rsidRPr="000E1D13" w:rsidRDefault="000E1D13" w:rsidP="000E1D13">
            <w:pPr>
              <w:rPr>
                <w:rFonts w:cs="Calibri"/>
                <w:color w:val="000000"/>
                <w:sz w:val="22"/>
                <w:szCs w:val="22"/>
              </w:rPr>
            </w:pPr>
            <w:r w:rsidRPr="000E1D13">
              <w:rPr>
                <w:rFonts w:cs="Calibri"/>
                <w:color w:val="000000"/>
                <w:sz w:val="22"/>
                <w:szCs w:val="22"/>
              </w:rPr>
              <w:t>Load Impact (MW)</w:t>
            </w:r>
          </w:p>
        </w:tc>
        <w:tc>
          <w:tcPr>
            <w:tcW w:w="960" w:type="dxa"/>
            <w:tcBorders>
              <w:top w:val="nil"/>
              <w:left w:val="nil"/>
              <w:bottom w:val="single" w:sz="4" w:space="0" w:color="auto"/>
              <w:right w:val="single" w:sz="4" w:space="0" w:color="auto"/>
            </w:tcBorders>
            <w:shd w:val="clear" w:color="auto" w:fill="auto"/>
            <w:noWrap/>
            <w:vAlign w:val="center"/>
            <w:hideMark/>
          </w:tcPr>
          <w:p w14:paraId="5D2FEEE5" w14:textId="77777777" w:rsidR="000E1D13" w:rsidRPr="000E1D13" w:rsidRDefault="000E1D13" w:rsidP="000E1D13">
            <w:pPr>
              <w:jc w:val="right"/>
              <w:rPr>
                <w:rFonts w:cs="Calibri"/>
                <w:color w:val="000000"/>
                <w:sz w:val="22"/>
                <w:szCs w:val="22"/>
              </w:rPr>
            </w:pPr>
            <w:r w:rsidRPr="000E1D13">
              <w:rPr>
                <w:rFonts w:cs="Calibri"/>
                <w:color w:val="000000"/>
                <w:sz w:val="22"/>
                <w:szCs w:val="22"/>
              </w:rPr>
              <w:t>66.2</w:t>
            </w:r>
          </w:p>
        </w:tc>
        <w:tc>
          <w:tcPr>
            <w:tcW w:w="960" w:type="dxa"/>
            <w:tcBorders>
              <w:top w:val="nil"/>
              <w:left w:val="nil"/>
              <w:bottom w:val="single" w:sz="4" w:space="0" w:color="auto"/>
              <w:right w:val="single" w:sz="4" w:space="0" w:color="auto"/>
            </w:tcBorders>
            <w:shd w:val="clear" w:color="auto" w:fill="auto"/>
            <w:noWrap/>
            <w:vAlign w:val="center"/>
            <w:hideMark/>
          </w:tcPr>
          <w:p w14:paraId="12ECB5CA" w14:textId="77777777" w:rsidR="000E1D13" w:rsidRPr="000E1D13" w:rsidRDefault="000E1D13" w:rsidP="000E1D13">
            <w:pPr>
              <w:jc w:val="right"/>
              <w:rPr>
                <w:rFonts w:cs="Calibri"/>
                <w:color w:val="000000"/>
                <w:sz w:val="22"/>
                <w:szCs w:val="22"/>
              </w:rPr>
            </w:pPr>
            <w:r w:rsidRPr="000E1D13">
              <w:rPr>
                <w:rFonts w:cs="Calibri"/>
                <w:color w:val="000000"/>
                <w:sz w:val="22"/>
                <w:szCs w:val="22"/>
              </w:rPr>
              <w:t>53.9</w:t>
            </w:r>
          </w:p>
        </w:tc>
      </w:tr>
      <w:tr w:rsidR="000E1D13" w:rsidRPr="000E1D13" w14:paraId="7E612CCF" w14:textId="77777777" w:rsidTr="000E1D13">
        <w:trPr>
          <w:trHeight w:val="300"/>
          <w:jc w:val="center"/>
        </w:trPr>
        <w:tc>
          <w:tcPr>
            <w:tcW w:w="1085" w:type="dxa"/>
            <w:vMerge/>
            <w:tcBorders>
              <w:top w:val="single" w:sz="4" w:space="0" w:color="auto"/>
              <w:left w:val="single" w:sz="4" w:space="0" w:color="auto"/>
              <w:bottom w:val="single" w:sz="4" w:space="0" w:color="000000"/>
              <w:right w:val="single" w:sz="4" w:space="0" w:color="auto"/>
            </w:tcBorders>
            <w:vAlign w:val="center"/>
            <w:hideMark/>
          </w:tcPr>
          <w:p w14:paraId="03AA77DF" w14:textId="77777777" w:rsidR="000E1D13" w:rsidRPr="000E1D13" w:rsidRDefault="000E1D13" w:rsidP="000E1D13">
            <w:pPr>
              <w:rPr>
                <w:rFonts w:cs="Calibri"/>
                <w:b/>
                <w:bCs/>
                <w:sz w:val="22"/>
                <w:szCs w:val="22"/>
              </w:rPr>
            </w:pPr>
          </w:p>
        </w:tc>
        <w:tc>
          <w:tcPr>
            <w:tcW w:w="2045" w:type="dxa"/>
            <w:tcBorders>
              <w:top w:val="nil"/>
              <w:left w:val="nil"/>
              <w:bottom w:val="single" w:sz="4" w:space="0" w:color="auto"/>
              <w:right w:val="single" w:sz="4" w:space="0" w:color="auto"/>
            </w:tcBorders>
            <w:shd w:val="clear" w:color="auto" w:fill="auto"/>
            <w:noWrap/>
            <w:vAlign w:val="bottom"/>
            <w:hideMark/>
          </w:tcPr>
          <w:p w14:paraId="3DC568EC" w14:textId="77777777" w:rsidR="000E1D13" w:rsidRPr="000E1D13" w:rsidRDefault="000E1D13" w:rsidP="000E1D13">
            <w:pPr>
              <w:rPr>
                <w:rFonts w:cs="Calibri"/>
                <w:color w:val="000000"/>
                <w:sz w:val="22"/>
                <w:szCs w:val="22"/>
              </w:rPr>
            </w:pPr>
            <w:r w:rsidRPr="000E1D13">
              <w:rPr>
                <w:rFonts w:cs="Calibri"/>
                <w:color w:val="000000"/>
                <w:sz w:val="22"/>
                <w:szCs w:val="22"/>
              </w:rPr>
              <w:t>Avg. Temp (°F)</w:t>
            </w:r>
          </w:p>
        </w:tc>
        <w:tc>
          <w:tcPr>
            <w:tcW w:w="960" w:type="dxa"/>
            <w:tcBorders>
              <w:top w:val="nil"/>
              <w:left w:val="nil"/>
              <w:bottom w:val="single" w:sz="4" w:space="0" w:color="auto"/>
              <w:right w:val="single" w:sz="4" w:space="0" w:color="auto"/>
            </w:tcBorders>
            <w:shd w:val="clear" w:color="auto" w:fill="auto"/>
            <w:noWrap/>
            <w:vAlign w:val="center"/>
            <w:hideMark/>
          </w:tcPr>
          <w:p w14:paraId="59570771" w14:textId="77777777" w:rsidR="000E1D13" w:rsidRPr="000E1D13" w:rsidRDefault="000E1D13" w:rsidP="000E1D13">
            <w:pPr>
              <w:jc w:val="right"/>
              <w:rPr>
                <w:rFonts w:cs="Calibri"/>
                <w:color w:val="000000"/>
                <w:sz w:val="22"/>
                <w:szCs w:val="22"/>
              </w:rPr>
            </w:pPr>
            <w:r w:rsidRPr="000E1D13">
              <w:rPr>
                <w:rFonts w:cs="Calibri"/>
                <w:color w:val="000000"/>
                <w:sz w:val="22"/>
                <w:szCs w:val="22"/>
              </w:rPr>
              <w:t>100.4</w:t>
            </w:r>
          </w:p>
        </w:tc>
        <w:tc>
          <w:tcPr>
            <w:tcW w:w="960" w:type="dxa"/>
            <w:tcBorders>
              <w:top w:val="nil"/>
              <w:left w:val="nil"/>
              <w:bottom w:val="single" w:sz="4" w:space="0" w:color="auto"/>
              <w:right w:val="single" w:sz="4" w:space="0" w:color="auto"/>
            </w:tcBorders>
            <w:shd w:val="clear" w:color="auto" w:fill="auto"/>
            <w:noWrap/>
            <w:vAlign w:val="center"/>
            <w:hideMark/>
          </w:tcPr>
          <w:p w14:paraId="7AC54E7E" w14:textId="77777777" w:rsidR="000E1D13" w:rsidRPr="000E1D13" w:rsidRDefault="000E1D13" w:rsidP="000E1D13">
            <w:pPr>
              <w:jc w:val="right"/>
              <w:rPr>
                <w:rFonts w:cs="Calibri"/>
                <w:color w:val="000000"/>
                <w:sz w:val="22"/>
                <w:szCs w:val="22"/>
              </w:rPr>
            </w:pPr>
            <w:r w:rsidRPr="000E1D13">
              <w:rPr>
                <w:rFonts w:cs="Calibri"/>
                <w:color w:val="000000"/>
                <w:sz w:val="22"/>
                <w:szCs w:val="22"/>
              </w:rPr>
              <w:t>98.3</w:t>
            </w:r>
          </w:p>
        </w:tc>
      </w:tr>
      <w:tr w:rsidR="000E1D13" w:rsidRPr="000E1D13" w14:paraId="23B3D739" w14:textId="77777777" w:rsidTr="000E1D13">
        <w:trPr>
          <w:trHeight w:val="300"/>
          <w:jc w:val="center"/>
        </w:trPr>
        <w:tc>
          <w:tcPr>
            <w:tcW w:w="1085" w:type="dxa"/>
            <w:vMerge/>
            <w:tcBorders>
              <w:top w:val="single" w:sz="4" w:space="0" w:color="auto"/>
              <w:left w:val="single" w:sz="4" w:space="0" w:color="auto"/>
              <w:bottom w:val="single" w:sz="4" w:space="0" w:color="000000"/>
              <w:right w:val="single" w:sz="4" w:space="0" w:color="auto"/>
            </w:tcBorders>
            <w:vAlign w:val="center"/>
            <w:hideMark/>
          </w:tcPr>
          <w:p w14:paraId="7100F6E9" w14:textId="77777777" w:rsidR="000E1D13" w:rsidRPr="000E1D13" w:rsidRDefault="000E1D13" w:rsidP="000E1D13">
            <w:pPr>
              <w:rPr>
                <w:rFonts w:cs="Calibri"/>
                <w:b/>
                <w:bCs/>
                <w:sz w:val="22"/>
                <w:szCs w:val="22"/>
              </w:rPr>
            </w:pPr>
          </w:p>
        </w:tc>
        <w:tc>
          <w:tcPr>
            <w:tcW w:w="2045" w:type="dxa"/>
            <w:tcBorders>
              <w:top w:val="nil"/>
              <w:left w:val="nil"/>
              <w:bottom w:val="single" w:sz="4" w:space="0" w:color="auto"/>
              <w:right w:val="single" w:sz="4" w:space="0" w:color="auto"/>
            </w:tcBorders>
            <w:shd w:val="clear" w:color="auto" w:fill="auto"/>
            <w:noWrap/>
            <w:vAlign w:val="bottom"/>
            <w:hideMark/>
          </w:tcPr>
          <w:p w14:paraId="4D0D3045" w14:textId="77777777" w:rsidR="000E1D13" w:rsidRPr="000E1D13" w:rsidRDefault="000E1D13" w:rsidP="000E1D13">
            <w:pPr>
              <w:rPr>
                <w:rFonts w:cs="Calibri"/>
                <w:color w:val="000000"/>
                <w:sz w:val="22"/>
                <w:szCs w:val="22"/>
              </w:rPr>
            </w:pPr>
            <w:r w:rsidRPr="000E1D13">
              <w:rPr>
                <w:rFonts w:cs="Calibri"/>
                <w:color w:val="000000"/>
                <w:sz w:val="22"/>
                <w:szCs w:val="22"/>
              </w:rPr>
              <w:t>% Load Impact</w:t>
            </w:r>
          </w:p>
        </w:tc>
        <w:tc>
          <w:tcPr>
            <w:tcW w:w="960" w:type="dxa"/>
            <w:tcBorders>
              <w:top w:val="nil"/>
              <w:left w:val="nil"/>
              <w:bottom w:val="single" w:sz="4" w:space="0" w:color="auto"/>
              <w:right w:val="single" w:sz="4" w:space="0" w:color="auto"/>
            </w:tcBorders>
            <w:shd w:val="clear" w:color="auto" w:fill="auto"/>
            <w:noWrap/>
            <w:vAlign w:val="center"/>
            <w:hideMark/>
          </w:tcPr>
          <w:p w14:paraId="0E01A900" w14:textId="77777777" w:rsidR="000E1D13" w:rsidRPr="000E1D13" w:rsidRDefault="000E1D13" w:rsidP="000E1D13">
            <w:pPr>
              <w:jc w:val="right"/>
              <w:rPr>
                <w:rFonts w:cs="Calibri"/>
                <w:color w:val="000000"/>
                <w:sz w:val="22"/>
                <w:szCs w:val="22"/>
              </w:rPr>
            </w:pPr>
            <w:r w:rsidRPr="000E1D13">
              <w:rPr>
                <w:rFonts w:cs="Calibri"/>
                <w:color w:val="000000"/>
                <w:sz w:val="22"/>
                <w:szCs w:val="22"/>
              </w:rPr>
              <w:t>22.3%</w:t>
            </w:r>
          </w:p>
        </w:tc>
        <w:tc>
          <w:tcPr>
            <w:tcW w:w="960" w:type="dxa"/>
            <w:tcBorders>
              <w:top w:val="nil"/>
              <w:left w:val="nil"/>
              <w:bottom w:val="single" w:sz="4" w:space="0" w:color="auto"/>
              <w:right w:val="single" w:sz="4" w:space="0" w:color="auto"/>
            </w:tcBorders>
            <w:shd w:val="clear" w:color="auto" w:fill="auto"/>
            <w:noWrap/>
            <w:vAlign w:val="center"/>
            <w:hideMark/>
          </w:tcPr>
          <w:p w14:paraId="70BD27FC" w14:textId="77777777" w:rsidR="000E1D13" w:rsidRPr="000E1D13" w:rsidRDefault="000E1D13" w:rsidP="000E1D13">
            <w:pPr>
              <w:jc w:val="right"/>
              <w:rPr>
                <w:rFonts w:cs="Calibri"/>
                <w:color w:val="000000"/>
                <w:sz w:val="22"/>
                <w:szCs w:val="22"/>
              </w:rPr>
            </w:pPr>
            <w:r w:rsidRPr="000E1D13">
              <w:rPr>
                <w:rFonts w:cs="Calibri"/>
                <w:color w:val="000000"/>
                <w:sz w:val="22"/>
                <w:szCs w:val="22"/>
              </w:rPr>
              <w:t>22.4%</w:t>
            </w:r>
          </w:p>
        </w:tc>
      </w:tr>
      <w:tr w:rsidR="000E1D13" w:rsidRPr="000E1D13" w14:paraId="4DF7C380" w14:textId="77777777" w:rsidTr="000E1D13">
        <w:trPr>
          <w:trHeight w:val="300"/>
          <w:jc w:val="center"/>
        </w:trPr>
        <w:tc>
          <w:tcPr>
            <w:tcW w:w="10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54761B" w14:textId="77777777" w:rsidR="000E1D13" w:rsidRPr="000E1D13" w:rsidRDefault="000E1D13" w:rsidP="000E1D13">
            <w:pPr>
              <w:jc w:val="center"/>
              <w:rPr>
                <w:rFonts w:cs="Calibri"/>
                <w:b/>
                <w:bCs/>
                <w:color w:val="000000"/>
                <w:sz w:val="22"/>
                <w:szCs w:val="22"/>
              </w:rPr>
            </w:pPr>
            <w:r w:rsidRPr="000E1D13">
              <w:rPr>
                <w:rFonts w:cs="Calibri"/>
                <w:b/>
                <w:bCs/>
                <w:color w:val="000000"/>
                <w:sz w:val="22"/>
                <w:szCs w:val="22"/>
              </w:rPr>
              <w:t>Per SAID</w:t>
            </w:r>
          </w:p>
        </w:tc>
        <w:tc>
          <w:tcPr>
            <w:tcW w:w="2045" w:type="dxa"/>
            <w:tcBorders>
              <w:top w:val="nil"/>
              <w:left w:val="nil"/>
              <w:bottom w:val="single" w:sz="4" w:space="0" w:color="auto"/>
              <w:right w:val="single" w:sz="4" w:space="0" w:color="auto"/>
            </w:tcBorders>
            <w:shd w:val="clear" w:color="auto" w:fill="auto"/>
            <w:noWrap/>
            <w:vAlign w:val="bottom"/>
            <w:hideMark/>
          </w:tcPr>
          <w:p w14:paraId="5443BFD3" w14:textId="77777777" w:rsidR="000E1D13" w:rsidRPr="000E1D13" w:rsidRDefault="000E1D13" w:rsidP="000E1D13">
            <w:pPr>
              <w:rPr>
                <w:rFonts w:cs="Calibri"/>
                <w:color w:val="000000"/>
                <w:sz w:val="22"/>
                <w:szCs w:val="22"/>
              </w:rPr>
            </w:pPr>
            <w:r w:rsidRPr="000E1D13">
              <w:rPr>
                <w:rFonts w:cs="Calibri"/>
                <w:color w:val="000000"/>
                <w:sz w:val="22"/>
                <w:szCs w:val="22"/>
              </w:rPr>
              <w:t>Reference (kW)</w:t>
            </w:r>
          </w:p>
        </w:tc>
        <w:tc>
          <w:tcPr>
            <w:tcW w:w="960" w:type="dxa"/>
            <w:tcBorders>
              <w:top w:val="nil"/>
              <w:left w:val="nil"/>
              <w:bottom w:val="single" w:sz="4" w:space="0" w:color="auto"/>
              <w:right w:val="single" w:sz="4" w:space="0" w:color="auto"/>
            </w:tcBorders>
            <w:shd w:val="clear" w:color="auto" w:fill="auto"/>
            <w:noWrap/>
            <w:vAlign w:val="center"/>
            <w:hideMark/>
          </w:tcPr>
          <w:p w14:paraId="4622EF92" w14:textId="77777777" w:rsidR="000E1D13" w:rsidRPr="000E1D13" w:rsidRDefault="000E1D13" w:rsidP="000E1D13">
            <w:pPr>
              <w:jc w:val="right"/>
              <w:rPr>
                <w:rFonts w:cs="Calibri"/>
                <w:color w:val="000000"/>
                <w:sz w:val="22"/>
                <w:szCs w:val="22"/>
              </w:rPr>
            </w:pPr>
            <w:r w:rsidRPr="000E1D13">
              <w:rPr>
                <w:rFonts w:cs="Calibri"/>
                <w:color w:val="000000"/>
                <w:sz w:val="22"/>
                <w:szCs w:val="22"/>
              </w:rPr>
              <w:t>2.50</w:t>
            </w:r>
          </w:p>
        </w:tc>
        <w:tc>
          <w:tcPr>
            <w:tcW w:w="960" w:type="dxa"/>
            <w:tcBorders>
              <w:top w:val="nil"/>
              <w:left w:val="nil"/>
              <w:bottom w:val="single" w:sz="4" w:space="0" w:color="auto"/>
              <w:right w:val="single" w:sz="4" w:space="0" w:color="auto"/>
            </w:tcBorders>
            <w:shd w:val="clear" w:color="auto" w:fill="auto"/>
            <w:noWrap/>
            <w:vAlign w:val="center"/>
            <w:hideMark/>
          </w:tcPr>
          <w:p w14:paraId="454D9FC9" w14:textId="77777777" w:rsidR="000E1D13" w:rsidRPr="000E1D13" w:rsidRDefault="000E1D13" w:rsidP="000E1D13">
            <w:pPr>
              <w:jc w:val="right"/>
              <w:rPr>
                <w:rFonts w:cs="Calibri"/>
                <w:color w:val="000000"/>
                <w:sz w:val="22"/>
                <w:szCs w:val="22"/>
              </w:rPr>
            </w:pPr>
            <w:r w:rsidRPr="000E1D13">
              <w:rPr>
                <w:rFonts w:cs="Calibri"/>
                <w:color w:val="000000"/>
                <w:sz w:val="22"/>
                <w:szCs w:val="22"/>
              </w:rPr>
              <w:t>2.32</w:t>
            </w:r>
          </w:p>
        </w:tc>
      </w:tr>
      <w:tr w:rsidR="000E1D13" w:rsidRPr="000E1D13" w14:paraId="5DF11822" w14:textId="77777777" w:rsidTr="000E1D13">
        <w:trPr>
          <w:trHeight w:val="300"/>
          <w:jc w:val="center"/>
        </w:trPr>
        <w:tc>
          <w:tcPr>
            <w:tcW w:w="1085" w:type="dxa"/>
            <w:vMerge/>
            <w:tcBorders>
              <w:top w:val="nil"/>
              <w:left w:val="single" w:sz="4" w:space="0" w:color="auto"/>
              <w:bottom w:val="single" w:sz="4" w:space="0" w:color="000000"/>
              <w:right w:val="single" w:sz="4" w:space="0" w:color="auto"/>
            </w:tcBorders>
            <w:vAlign w:val="center"/>
            <w:hideMark/>
          </w:tcPr>
          <w:p w14:paraId="3513EB67" w14:textId="77777777" w:rsidR="000E1D13" w:rsidRPr="000E1D13" w:rsidRDefault="000E1D13" w:rsidP="000E1D13">
            <w:pPr>
              <w:rPr>
                <w:rFonts w:cs="Calibri"/>
                <w:b/>
                <w:bCs/>
                <w:color w:val="000000"/>
                <w:sz w:val="22"/>
                <w:szCs w:val="22"/>
              </w:rPr>
            </w:pPr>
          </w:p>
        </w:tc>
        <w:tc>
          <w:tcPr>
            <w:tcW w:w="2045" w:type="dxa"/>
            <w:tcBorders>
              <w:top w:val="nil"/>
              <w:left w:val="nil"/>
              <w:bottom w:val="single" w:sz="4" w:space="0" w:color="auto"/>
              <w:right w:val="single" w:sz="4" w:space="0" w:color="auto"/>
            </w:tcBorders>
            <w:shd w:val="clear" w:color="auto" w:fill="auto"/>
            <w:noWrap/>
            <w:vAlign w:val="bottom"/>
            <w:hideMark/>
          </w:tcPr>
          <w:p w14:paraId="583AA974" w14:textId="77777777" w:rsidR="000E1D13" w:rsidRPr="000E1D13" w:rsidRDefault="000E1D13" w:rsidP="000E1D13">
            <w:pPr>
              <w:rPr>
                <w:rFonts w:cs="Calibri"/>
                <w:color w:val="000000"/>
                <w:sz w:val="22"/>
                <w:szCs w:val="22"/>
              </w:rPr>
            </w:pPr>
            <w:r w:rsidRPr="000E1D13">
              <w:rPr>
                <w:rFonts w:cs="Calibri"/>
                <w:color w:val="000000"/>
                <w:sz w:val="22"/>
                <w:szCs w:val="22"/>
              </w:rPr>
              <w:t>Load Impact (kW)</w:t>
            </w:r>
          </w:p>
        </w:tc>
        <w:tc>
          <w:tcPr>
            <w:tcW w:w="960" w:type="dxa"/>
            <w:tcBorders>
              <w:top w:val="nil"/>
              <w:left w:val="nil"/>
              <w:bottom w:val="single" w:sz="4" w:space="0" w:color="auto"/>
              <w:right w:val="single" w:sz="4" w:space="0" w:color="auto"/>
            </w:tcBorders>
            <w:shd w:val="clear" w:color="auto" w:fill="auto"/>
            <w:noWrap/>
            <w:vAlign w:val="center"/>
            <w:hideMark/>
          </w:tcPr>
          <w:p w14:paraId="5D83BB94" w14:textId="77777777" w:rsidR="000E1D13" w:rsidRPr="000E1D13" w:rsidRDefault="000E1D13" w:rsidP="000E1D13">
            <w:pPr>
              <w:jc w:val="right"/>
              <w:rPr>
                <w:rFonts w:cs="Calibri"/>
                <w:color w:val="000000"/>
                <w:sz w:val="22"/>
                <w:szCs w:val="22"/>
              </w:rPr>
            </w:pPr>
            <w:r w:rsidRPr="000E1D13">
              <w:rPr>
                <w:rFonts w:cs="Calibri"/>
                <w:color w:val="000000"/>
                <w:sz w:val="22"/>
                <w:szCs w:val="22"/>
              </w:rPr>
              <w:t>0.56</w:t>
            </w:r>
          </w:p>
        </w:tc>
        <w:tc>
          <w:tcPr>
            <w:tcW w:w="960" w:type="dxa"/>
            <w:tcBorders>
              <w:top w:val="nil"/>
              <w:left w:val="nil"/>
              <w:bottom w:val="single" w:sz="4" w:space="0" w:color="auto"/>
              <w:right w:val="single" w:sz="4" w:space="0" w:color="auto"/>
            </w:tcBorders>
            <w:shd w:val="clear" w:color="auto" w:fill="auto"/>
            <w:noWrap/>
            <w:vAlign w:val="center"/>
            <w:hideMark/>
          </w:tcPr>
          <w:p w14:paraId="21C000F2" w14:textId="77777777" w:rsidR="000E1D13" w:rsidRPr="000E1D13" w:rsidRDefault="000E1D13" w:rsidP="000E1D13">
            <w:pPr>
              <w:jc w:val="right"/>
              <w:rPr>
                <w:rFonts w:cs="Calibri"/>
                <w:color w:val="000000"/>
                <w:sz w:val="22"/>
                <w:szCs w:val="22"/>
              </w:rPr>
            </w:pPr>
            <w:r w:rsidRPr="000E1D13">
              <w:rPr>
                <w:rFonts w:cs="Calibri"/>
                <w:color w:val="000000"/>
                <w:sz w:val="22"/>
                <w:szCs w:val="22"/>
              </w:rPr>
              <w:t>0.52</w:t>
            </w:r>
          </w:p>
        </w:tc>
      </w:tr>
    </w:tbl>
    <w:p w14:paraId="2F3F3520" w14:textId="77777777" w:rsidR="008D4A3E" w:rsidRPr="00144CEB" w:rsidRDefault="008D4A3E" w:rsidP="00144CEB">
      <w:pPr>
        <w:spacing w:after="120"/>
      </w:pPr>
    </w:p>
    <w:p w14:paraId="26E5DFA6" w14:textId="1CFB6350" w:rsidR="008D4A3E" w:rsidRDefault="00DB7E33" w:rsidP="004C54C7">
      <w:pPr>
        <w:pStyle w:val="Heading2"/>
        <w:spacing w:before="0" w:after="120"/>
      </w:pPr>
      <w:bookmarkStart w:id="160" w:name="_Toc4578165"/>
      <w:bookmarkEnd w:id="154"/>
      <w:bookmarkEnd w:id="155"/>
      <w:bookmarkEnd w:id="156"/>
      <w:r w:rsidRPr="00DB7E33">
        <w:t xml:space="preserve">Previous </w:t>
      </w:r>
      <w:r>
        <w:t>E</w:t>
      </w:r>
      <w:r w:rsidRPr="00DB7E33">
        <w:t>x-ante v</w:t>
      </w:r>
      <w:r>
        <w:t>s.</w:t>
      </w:r>
      <w:r w:rsidRPr="00DB7E33">
        <w:t xml:space="preserve"> </w:t>
      </w:r>
      <w:r>
        <w:t>C</w:t>
      </w:r>
      <w:r w:rsidRPr="00DB7E33">
        <w:t xml:space="preserve">urrent </w:t>
      </w:r>
      <w:r>
        <w:t>E</w:t>
      </w:r>
      <w:r w:rsidRPr="00DB7E33">
        <w:t>x-</w:t>
      </w:r>
      <w:r>
        <w:t>P</w:t>
      </w:r>
      <w:r w:rsidRPr="00DB7E33">
        <w:t>ost</w:t>
      </w:r>
      <w:bookmarkEnd w:id="160"/>
    </w:p>
    <w:p w14:paraId="2B5B5236" w14:textId="1177A9A4" w:rsidR="00E84CB9" w:rsidRDefault="00F839BC" w:rsidP="006260DA">
      <w:pPr>
        <w:spacing w:after="120"/>
      </w:pPr>
      <w:r>
        <w:t xml:space="preserve">In this section, we compare the </w:t>
      </w:r>
      <w:r w:rsidRPr="00933F01">
        <w:rPr>
          <w:i/>
        </w:rPr>
        <w:t>ex-ante</w:t>
      </w:r>
      <w:r>
        <w:t xml:space="preserve"> forecast from the previous study to the </w:t>
      </w:r>
      <w:r w:rsidRPr="00933F01">
        <w:rPr>
          <w:i/>
        </w:rPr>
        <w:t>ex-</w:t>
      </w:r>
      <w:r>
        <w:rPr>
          <w:i/>
        </w:rPr>
        <w:t>post</w:t>
      </w:r>
      <w:r>
        <w:t xml:space="preserve"> forecast contained in the current study. There are several drawbacks from making such a comparison. Most importantly, the</w:t>
      </w:r>
      <w:r w:rsidRPr="00F839BC">
        <w:rPr>
          <w:i/>
        </w:rPr>
        <w:t xml:space="preserve"> ex-ante</w:t>
      </w:r>
      <w:r>
        <w:t xml:space="preserve"> load impacts are based on </w:t>
      </w:r>
      <w:r w:rsidR="00E84CB9">
        <w:t xml:space="preserve">serial number events, while the </w:t>
      </w:r>
      <w:r w:rsidR="00E84CB9" w:rsidRPr="003D0347">
        <w:rPr>
          <w:i/>
        </w:rPr>
        <w:t>ex-post</w:t>
      </w:r>
      <w:r w:rsidR="00E84CB9">
        <w:t xml:space="preserve"> load impacts in the current study are exclusively based on sub-LAP events. As previously discussed, serial number events lead to substantially higher load impacts compared to sub-LAP level events. Another drawback from making this comparison is that sub-LAP events call only a subset of sub-LAPs, while </w:t>
      </w:r>
      <w:r w:rsidR="00E84CB9" w:rsidRPr="003D0347">
        <w:rPr>
          <w:i/>
        </w:rPr>
        <w:t>ex-ante</w:t>
      </w:r>
      <w:r w:rsidR="00E84CB9">
        <w:t xml:space="preserve"> forecasts are based on LCAs</w:t>
      </w:r>
      <w:r w:rsidR="00F8069D">
        <w:t>, which often correspond to several sub-LAPs</w:t>
      </w:r>
      <w:r w:rsidR="00E84CB9">
        <w:t>.</w:t>
      </w:r>
      <w:r w:rsidR="00F8069D">
        <w:t xml:space="preserve"> To address this issue, we use LCA-level results from the</w:t>
      </w:r>
      <w:r w:rsidR="000D62DB">
        <w:t xml:space="preserve"> appropriate peak month of the</w:t>
      </w:r>
      <w:r w:rsidR="00F8069D">
        <w:t xml:space="preserve"> </w:t>
      </w:r>
      <w:r w:rsidR="00F8069D" w:rsidRPr="00F8069D">
        <w:rPr>
          <w:i/>
        </w:rPr>
        <w:t>ex-ante</w:t>
      </w:r>
      <w:r w:rsidR="00E84CB9">
        <w:t xml:space="preserve"> </w:t>
      </w:r>
      <w:r w:rsidR="00F8069D">
        <w:t xml:space="preserve">forecast from the previous year and create average impacts that correspond to the </w:t>
      </w:r>
      <w:r w:rsidR="000D62DB">
        <w:t xml:space="preserve">month in which each event occurred in PY2018 and the </w:t>
      </w:r>
      <w:r w:rsidR="00F8069D">
        <w:t xml:space="preserve">LCAs that had at least one sub-LAP called for </w:t>
      </w:r>
      <w:r w:rsidR="000D62DB">
        <w:t>the</w:t>
      </w:r>
      <w:r w:rsidR="00F8069D">
        <w:t xml:space="preserve"> event</w:t>
      </w:r>
      <w:r w:rsidR="000D62DB">
        <w:t xml:space="preserve">. A final drawback from comparing </w:t>
      </w:r>
      <w:r w:rsidR="000D62DB" w:rsidRPr="003D0347">
        <w:rPr>
          <w:i/>
        </w:rPr>
        <w:t>ex-ante</w:t>
      </w:r>
      <w:r w:rsidR="000D62DB">
        <w:t xml:space="preserve"> forecasts to </w:t>
      </w:r>
      <w:r w:rsidR="000D62DB" w:rsidRPr="003D0347">
        <w:rPr>
          <w:i/>
        </w:rPr>
        <w:t>ex-post</w:t>
      </w:r>
      <w:r w:rsidR="000D62DB">
        <w:t xml:space="preserve"> load impacts results from differences in event hours. The </w:t>
      </w:r>
      <w:r w:rsidR="000D62DB" w:rsidRPr="000D62DB">
        <w:rPr>
          <w:i/>
        </w:rPr>
        <w:t>ex-ante</w:t>
      </w:r>
      <w:r w:rsidR="000D62DB">
        <w:t xml:space="preserve"> forecast from the previous study predicts load impacts during the RA window from 1 to 6 p.m.</w:t>
      </w:r>
      <w:r w:rsidR="00A82AB1">
        <w:t>, whereas</w:t>
      </w:r>
      <w:r w:rsidR="000D62DB">
        <w:t xml:space="preserve"> </w:t>
      </w:r>
      <w:r w:rsidR="00A82AB1">
        <w:t>m</w:t>
      </w:r>
      <w:r w:rsidR="000D62DB">
        <w:t xml:space="preserve">ost events in PY2018 occurred later in the day from 4 to 7 p.m.  </w:t>
      </w:r>
    </w:p>
    <w:bookmarkStart w:id="161" w:name="_Toc383597955"/>
    <w:bookmarkStart w:id="162" w:name="_Toc413421728"/>
    <w:bookmarkStart w:id="163" w:name="_Toc477781291"/>
    <w:p w14:paraId="7DFCB527" w14:textId="33A16086" w:rsidR="00A750CD" w:rsidRDefault="008D4A3E" w:rsidP="006260DA">
      <w:pPr>
        <w:spacing w:after="120"/>
      </w:pPr>
      <w:r>
        <w:fldChar w:fldCharType="begin"/>
      </w:r>
      <w:r>
        <w:instrText xml:space="preserve"> REF _Ref507077396 \h </w:instrText>
      </w:r>
      <w:r>
        <w:fldChar w:fldCharType="separate"/>
      </w:r>
      <w:r w:rsidR="00445DF3">
        <w:t xml:space="preserve">Table </w:t>
      </w:r>
      <w:r w:rsidR="00445DF3">
        <w:rPr>
          <w:noProof/>
        </w:rPr>
        <w:t>5</w:t>
      </w:r>
      <w:r w:rsidR="00445DF3">
        <w:noBreakHyphen/>
      </w:r>
      <w:r w:rsidR="00445DF3">
        <w:rPr>
          <w:noProof/>
        </w:rPr>
        <w:t>3</w:t>
      </w:r>
      <w:r>
        <w:fldChar w:fldCharType="end"/>
      </w:r>
      <w:r>
        <w:t xml:space="preserve"> provides a comparison of the </w:t>
      </w:r>
      <w:r w:rsidRPr="005926F0">
        <w:rPr>
          <w:i/>
        </w:rPr>
        <w:t>ex-ante</w:t>
      </w:r>
      <w:r>
        <w:t xml:space="preserve"> forecast of 201</w:t>
      </w:r>
      <w:r w:rsidR="00E84CB9">
        <w:t>8</w:t>
      </w:r>
      <w:r>
        <w:t xml:space="preserve"> load impacts</w:t>
      </w:r>
      <w:r w:rsidR="00F8069D">
        <w:t xml:space="preserve"> </w:t>
      </w:r>
      <w:r w:rsidR="00E43379">
        <w:t xml:space="preserve">for the PG&amp;E 1-in-2 scenario </w:t>
      </w:r>
      <w:r w:rsidR="00F8069D" w:rsidRPr="00DD4AB5">
        <w:t>from the previous study</w:t>
      </w:r>
      <w:r w:rsidR="00E84CB9" w:rsidRPr="00DD4AB5">
        <w:t xml:space="preserve"> </w:t>
      </w:r>
      <w:r w:rsidR="00F8069D" w:rsidRPr="00DD4AB5">
        <w:t xml:space="preserve">to </w:t>
      </w:r>
      <w:r w:rsidR="00E84CB9" w:rsidRPr="00DD4AB5">
        <w:t xml:space="preserve">the </w:t>
      </w:r>
      <w:r w:rsidR="00E84CB9" w:rsidRPr="00DD4AB5">
        <w:rPr>
          <w:i/>
        </w:rPr>
        <w:t>ex-post</w:t>
      </w:r>
      <w:r w:rsidRPr="00DD4AB5">
        <w:t xml:space="preserve"> load impacts estimated as part of th</w:t>
      </w:r>
      <w:r w:rsidR="00F8069D" w:rsidRPr="00DD4AB5">
        <w:t>e current</w:t>
      </w:r>
      <w:r w:rsidRPr="00DD4AB5">
        <w:t xml:space="preserve"> study. </w:t>
      </w:r>
      <w:r w:rsidR="00A750CD" w:rsidRPr="00DD4AB5">
        <w:t>We have omitted PGKN from these comparisons due to issues with dispatching this sub-LAP during PY2018.</w:t>
      </w:r>
      <w:r w:rsidR="00A750CD">
        <w:t xml:space="preserve"> </w:t>
      </w:r>
      <w:r>
        <w:t xml:space="preserve">The </w:t>
      </w:r>
      <w:r w:rsidRPr="005926F0">
        <w:rPr>
          <w:i/>
        </w:rPr>
        <w:t>ex-post</w:t>
      </w:r>
      <w:r>
        <w:t xml:space="preserve"> load impacts are</w:t>
      </w:r>
      <w:r w:rsidR="000D62DB">
        <w:t xml:space="preserve"> averaged across </w:t>
      </w:r>
      <w:r w:rsidR="00FE7EEA">
        <w:t xml:space="preserve">the </w:t>
      </w:r>
      <w:r w:rsidR="000D62DB">
        <w:t>event hours during which each sub-LAP w</w:t>
      </w:r>
      <w:r w:rsidR="00A750CD">
        <w:t>as called for each event in PY2018.</w:t>
      </w:r>
      <w:r w:rsidR="000D62DB">
        <w:t xml:space="preserve"> </w:t>
      </w:r>
      <w:r w:rsidR="00A750CD">
        <w:t xml:space="preserve">There is a difference between the number of customers called for the event and the number of customers in the LCAs that had at least one sub-LAP called for the event. The second measure is a more appropriate comparison with the forecast enrolled customers for each event. Even with this closer comparison, the forecast event enrollments are still significantly larger than the actual LCA enrollments.  </w:t>
      </w:r>
    </w:p>
    <w:p w14:paraId="21AFB04F" w14:textId="2586805B" w:rsidR="00A750CD" w:rsidRDefault="00A82AB1" w:rsidP="006260DA">
      <w:pPr>
        <w:spacing w:after="120"/>
      </w:pPr>
      <w:r>
        <w:t>The most notable finding from the table is that t</w:t>
      </w:r>
      <w:r w:rsidR="00A750CD">
        <w:t xml:space="preserve">he per-customer load impacts are almost twice as high in the previous study’s forecast compared to the </w:t>
      </w:r>
      <w:r w:rsidR="00A750CD" w:rsidRPr="009809B6">
        <w:rPr>
          <w:i/>
        </w:rPr>
        <w:t>ex-post</w:t>
      </w:r>
      <w:r w:rsidR="00A750CD">
        <w:t xml:space="preserve"> results. As previously mentioned, this is due to these impacts being derived from fundamentally different types of events. Moreover, we discussed previously how the results in the current report are in line with the </w:t>
      </w:r>
      <w:r w:rsidR="00A750CD" w:rsidRPr="009809B6">
        <w:rPr>
          <w:i/>
        </w:rPr>
        <w:t>ex-post</w:t>
      </w:r>
      <w:r w:rsidR="00A750CD">
        <w:t xml:space="preserve"> results from the previous report for sub-LAP events. There are also large differences in the event</w:t>
      </w:r>
      <w:r w:rsidR="009809B6">
        <w:t xml:space="preserve"> </w:t>
      </w:r>
      <w:r w:rsidR="00A750CD">
        <w:t>temperatures in some cases, which results from discrepancies between RA window hours and event hours.</w:t>
      </w:r>
      <w:r w:rsidR="009809B6">
        <w:t xml:space="preserve"> The July 25</w:t>
      </w:r>
      <w:r w:rsidR="009809B6" w:rsidRPr="009809B6">
        <w:rPr>
          <w:vertAlign w:val="superscript"/>
        </w:rPr>
        <w:t>th</w:t>
      </w:r>
      <w:r w:rsidR="009809B6">
        <w:t xml:space="preserve"> event is an example of a more reasonable comparison between the forecast and the </w:t>
      </w:r>
      <w:r w:rsidR="009809B6" w:rsidRPr="009809B6">
        <w:rPr>
          <w:i/>
        </w:rPr>
        <w:t>ex-post</w:t>
      </w:r>
      <w:r w:rsidR="009809B6">
        <w:t xml:space="preserve"> results. On this day, the sub-LAP enrollments are the same as the LCA enrollments, meaning that all sub-LAPs were called within the called LCAs, and the event temperatures are more in line. This leads to a per-customer load impact of 0.43 kWh/hour compared to the forecasted load impact of 0.59 kWh/hour. The remaining difference is due to the different type of events being compared.</w:t>
      </w:r>
      <w:r w:rsidR="00FE7EEA">
        <w:t xml:space="preserve"> The event on July 27</w:t>
      </w:r>
      <w:r w:rsidR="00FE7EEA" w:rsidRPr="00FE7EEA">
        <w:rPr>
          <w:vertAlign w:val="superscript"/>
        </w:rPr>
        <w:t>th</w:t>
      </w:r>
      <w:r w:rsidR="00FE7EEA">
        <w:t xml:space="preserve"> has a particularly big discrepancy in per-customer load impacts due to there being no overlap between the RA window and the late-night event hours.</w:t>
      </w:r>
    </w:p>
    <w:p w14:paraId="5BC1A0AB" w14:textId="26862066" w:rsidR="008D4A3E" w:rsidRDefault="00817E1F" w:rsidP="006260DA">
      <w:pPr>
        <w:spacing w:after="120"/>
      </w:pPr>
      <w:r>
        <w:t xml:space="preserve">We compare </w:t>
      </w:r>
      <w:r w:rsidR="009809B6">
        <w:t>aggregate</w:t>
      </w:r>
      <w:r w:rsidR="00C02CE6">
        <w:t xml:space="preserve"> load impact</w:t>
      </w:r>
      <w:r>
        <w:t>s based on the number of customers</w:t>
      </w:r>
      <w:r w:rsidR="00FE7EEA">
        <w:t xml:space="preserve"> called for the event i</w:t>
      </w:r>
      <w:r>
        <w:t>n PY2018, since there are such large differences in enrollments.</w:t>
      </w:r>
      <w:r w:rsidR="00C02CE6">
        <w:t xml:space="preserve"> </w:t>
      </w:r>
      <w:r>
        <w:t>On July 25</w:t>
      </w:r>
      <w:r w:rsidRPr="00817E1F">
        <w:rPr>
          <w:vertAlign w:val="superscript"/>
        </w:rPr>
        <w:t>th</w:t>
      </w:r>
      <w:r>
        <w:t xml:space="preserve"> the </w:t>
      </w:r>
      <w:r w:rsidRPr="003D0347">
        <w:rPr>
          <w:i/>
        </w:rPr>
        <w:t>ex-post</w:t>
      </w:r>
      <w:r>
        <w:t xml:space="preserve"> load impacts were 8.8 MWh/hour compared to the forecasted load impacts of 11.9 MWh/hour. Overall, </w:t>
      </w:r>
      <w:r w:rsidR="00FE7EEA">
        <w:t xml:space="preserve">this comparison illustrates </w:t>
      </w:r>
      <w:r>
        <w:t xml:space="preserve">that </w:t>
      </w:r>
      <w:r w:rsidRPr="00FE7EEA">
        <w:rPr>
          <w:i/>
        </w:rPr>
        <w:t>ex-ante</w:t>
      </w:r>
      <w:r>
        <w:t xml:space="preserve"> forecasts are not highly predictive of sub-LAP event</w:t>
      </w:r>
      <w:r w:rsidR="00A82AB1">
        <w:t xml:space="preserve"> impact</w:t>
      </w:r>
      <w:r>
        <w:t>s.</w:t>
      </w:r>
    </w:p>
    <w:p w14:paraId="2E3DB742" w14:textId="77777777" w:rsidR="008D4A3E" w:rsidRDefault="008D4A3E" w:rsidP="008D4A3E"/>
    <w:p w14:paraId="10AC317A" w14:textId="6AA5EB37" w:rsidR="008D4A3E" w:rsidRDefault="008D4A3E" w:rsidP="003909BB">
      <w:pPr>
        <w:pStyle w:val="TableCaption"/>
        <w:keepLines/>
      </w:pPr>
      <w:bookmarkStart w:id="164" w:name="_Ref507077396"/>
      <w:bookmarkStart w:id="165" w:name="_Toc507081211"/>
      <w:bookmarkStart w:id="166" w:name="_Toc4578188"/>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5</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3</w:t>
      </w:r>
      <w:r w:rsidR="005D5F52">
        <w:rPr>
          <w:noProof/>
        </w:rPr>
        <w:fldChar w:fldCharType="end"/>
      </w:r>
      <w:bookmarkEnd w:id="164"/>
      <w:r>
        <w:t>:</w:t>
      </w:r>
      <w:r w:rsidRPr="00827AFF">
        <w:t xml:space="preserve"> </w:t>
      </w:r>
      <w:r w:rsidRPr="00376F46">
        <w:t xml:space="preserve">Comparison of </w:t>
      </w:r>
      <w:r>
        <w:t xml:space="preserve">Previous </w:t>
      </w:r>
      <w:r>
        <w:rPr>
          <w:i/>
        </w:rPr>
        <w:t>Ex-Ante</w:t>
      </w:r>
      <w:r>
        <w:t xml:space="preserve"> and Current </w:t>
      </w:r>
      <w:r>
        <w:rPr>
          <w:i/>
        </w:rPr>
        <w:t>Ex-Post</w:t>
      </w:r>
      <w:r>
        <w:t xml:space="preserve"> </w:t>
      </w:r>
      <w:r w:rsidRPr="00376F46">
        <w:t>Impacts</w:t>
      </w:r>
      <w:bookmarkEnd w:id="165"/>
      <w:bookmarkEnd w:id="166"/>
    </w:p>
    <w:tbl>
      <w:tblPr>
        <w:tblW w:w="9122" w:type="dxa"/>
        <w:jc w:val="center"/>
        <w:tblLook w:val="04A0" w:firstRow="1" w:lastRow="0" w:firstColumn="1" w:lastColumn="0" w:noHBand="0" w:noVBand="1"/>
      </w:tblPr>
      <w:tblGrid>
        <w:gridCol w:w="909"/>
        <w:gridCol w:w="1356"/>
        <w:gridCol w:w="894"/>
        <w:gridCol w:w="975"/>
        <w:gridCol w:w="989"/>
        <w:gridCol w:w="613"/>
        <w:gridCol w:w="725"/>
        <w:gridCol w:w="577"/>
        <w:gridCol w:w="611"/>
        <w:gridCol w:w="718"/>
        <w:gridCol w:w="755"/>
      </w:tblGrid>
      <w:tr w:rsidR="003909BB" w:rsidRPr="003909BB" w14:paraId="61986B1D" w14:textId="77777777" w:rsidTr="003909BB">
        <w:trPr>
          <w:trHeight w:val="645"/>
          <w:jc w:val="center"/>
        </w:trPr>
        <w:tc>
          <w:tcPr>
            <w:tcW w:w="909" w:type="dxa"/>
            <w:vMerge w:val="restart"/>
            <w:tcBorders>
              <w:top w:val="nil"/>
              <w:left w:val="nil"/>
              <w:bottom w:val="single" w:sz="4" w:space="0" w:color="000000"/>
              <w:right w:val="single" w:sz="4" w:space="0" w:color="FFFFFF"/>
            </w:tcBorders>
            <w:shd w:val="clear" w:color="000000" w:fill="0C2577"/>
            <w:vAlign w:val="bottom"/>
            <w:hideMark/>
          </w:tcPr>
          <w:p w14:paraId="0E503B1C" w14:textId="77777777" w:rsidR="003909BB" w:rsidRPr="005A4BB8" w:rsidRDefault="003909BB" w:rsidP="003909BB">
            <w:pPr>
              <w:keepNext/>
              <w:jc w:val="center"/>
              <w:rPr>
                <w:rFonts w:cs="Calibri"/>
                <w:b/>
                <w:bCs/>
                <w:color w:val="FFFFFF"/>
                <w:sz w:val="20"/>
                <w:szCs w:val="20"/>
              </w:rPr>
            </w:pPr>
            <w:r w:rsidRPr="005A4BB8">
              <w:rPr>
                <w:rFonts w:cs="Calibri"/>
                <w:b/>
                <w:bCs/>
                <w:color w:val="FFFFFF"/>
                <w:sz w:val="20"/>
                <w:szCs w:val="20"/>
              </w:rPr>
              <w:t>Date</w:t>
            </w:r>
          </w:p>
        </w:tc>
        <w:tc>
          <w:tcPr>
            <w:tcW w:w="1356" w:type="dxa"/>
            <w:vMerge w:val="restart"/>
            <w:tcBorders>
              <w:top w:val="nil"/>
              <w:left w:val="single" w:sz="4" w:space="0" w:color="FFFFFF"/>
              <w:bottom w:val="single" w:sz="4" w:space="0" w:color="000000"/>
              <w:right w:val="single" w:sz="4" w:space="0" w:color="FFFFFF"/>
            </w:tcBorders>
            <w:shd w:val="clear" w:color="000000" w:fill="0C2577"/>
            <w:vAlign w:val="bottom"/>
            <w:hideMark/>
          </w:tcPr>
          <w:p w14:paraId="36F851F3" w14:textId="77777777" w:rsidR="003909BB" w:rsidRPr="005A4BB8" w:rsidRDefault="003909BB" w:rsidP="003909BB">
            <w:pPr>
              <w:keepNext/>
              <w:jc w:val="center"/>
              <w:rPr>
                <w:rFonts w:cs="Calibri"/>
                <w:b/>
                <w:bCs/>
                <w:color w:val="FFFFFF"/>
                <w:sz w:val="20"/>
                <w:szCs w:val="20"/>
              </w:rPr>
            </w:pPr>
            <w:r w:rsidRPr="005A4BB8">
              <w:rPr>
                <w:rFonts w:cs="Calibri"/>
                <w:b/>
                <w:bCs/>
                <w:color w:val="FFFFFF"/>
                <w:sz w:val="20"/>
                <w:szCs w:val="20"/>
              </w:rPr>
              <w:t>Event Hours</w:t>
            </w:r>
          </w:p>
        </w:tc>
        <w:tc>
          <w:tcPr>
            <w:tcW w:w="894" w:type="dxa"/>
            <w:vMerge w:val="restart"/>
            <w:tcBorders>
              <w:top w:val="nil"/>
              <w:left w:val="nil"/>
              <w:bottom w:val="nil"/>
              <w:right w:val="nil"/>
            </w:tcBorders>
            <w:shd w:val="clear" w:color="000000" w:fill="0C2577"/>
            <w:vAlign w:val="bottom"/>
            <w:hideMark/>
          </w:tcPr>
          <w:p w14:paraId="6F6CBAA1" w14:textId="77777777" w:rsidR="003909BB" w:rsidRPr="005A4BB8" w:rsidRDefault="003909BB" w:rsidP="003909BB">
            <w:pPr>
              <w:keepNext/>
              <w:jc w:val="center"/>
              <w:rPr>
                <w:rFonts w:cs="Calibri"/>
                <w:b/>
                <w:bCs/>
                <w:color w:val="FFFFFF"/>
                <w:sz w:val="20"/>
                <w:szCs w:val="20"/>
              </w:rPr>
            </w:pPr>
            <w:r w:rsidRPr="005A4BB8">
              <w:rPr>
                <w:rFonts w:cs="Calibri"/>
                <w:b/>
                <w:bCs/>
                <w:color w:val="FFFFFF"/>
                <w:sz w:val="20"/>
                <w:szCs w:val="20"/>
              </w:rPr>
              <w:t># Called in LCA PY2018</w:t>
            </w:r>
          </w:p>
        </w:tc>
        <w:tc>
          <w:tcPr>
            <w:tcW w:w="975" w:type="dxa"/>
            <w:vMerge w:val="restart"/>
            <w:tcBorders>
              <w:top w:val="nil"/>
              <w:left w:val="single" w:sz="4" w:space="0" w:color="FFFFFF"/>
              <w:bottom w:val="single" w:sz="4" w:space="0" w:color="000000"/>
              <w:right w:val="single" w:sz="4" w:space="0" w:color="FFFFFF"/>
            </w:tcBorders>
            <w:shd w:val="clear" w:color="000000" w:fill="0C2577"/>
            <w:vAlign w:val="bottom"/>
            <w:hideMark/>
          </w:tcPr>
          <w:p w14:paraId="3940AD26" w14:textId="77777777" w:rsidR="003909BB" w:rsidRPr="005A4BB8" w:rsidRDefault="003909BB" w:rsidP="003909BB">
            <w:pPr>
              <w:keepNext/>
              <w:jc w:val="center"/>
              <w:rPr>
                <w:rFonts w:cs="Calibri"/>
                <w:b/>
                <w:bCs/>
                <w:color w:val="FFFFFF"/>
                <w:sz w:val="20"/>
                <w:szCs w:val="20"/>
              </w:rPr>
            </w:pPr>
            <w:r w:rsidRPr="005A4BB8">
              <w:rPr>
                <w:rFonts w:cs="Calibri"/>
                <w:b/>
                <w:bCs/>
                <w:color w:val="FFFFFF"/>
                <w:sz w:val="20"/>
                <w:szCs w:val="20"/>
              </w:rPr>
              <w:t># Enrolled in LCA PY2018</w:t>
            </w:r>
          </w:p>
        </w:tc>
        <w:tc>
          <w:tcPr>
            <w:tcW w:w="989" w:type="dxa"/>
            <w:vMerge w:val="restart"/>
            <w:tcBorders>
              <w:top w:val="nil"/>
              <w:left w:val="single" w:sz="4" w:space="0" w:color="FFFFFF"/>
              <w:bottom w:val="single" w:sz="4" w:space="0" w:color="000000"/>
              <w:right w:val="single" w:sz="4" w:space="0" w:color="FFFFFF"/>
            </w:tcBorders>
            <w:shd w:val="clear" w:color="000000" w:fill="0C2577"/>
            <w:vAlign w:val="bottom"/>
            <w:hideMark/>
          </w:tcPr>
          <w:p w14:paraId="013F4B9F" w14:textId="77777777" w:rsidR="003909BB" w:rsidRPr="005A4BB8" w:rsidRDefault="003909BB" w:rsidP="003909BB">
            <w:pPr>
              <w:keepNext/>
              <w:jc w:val="center"/>
              <w:rPr>
                <w:rFonts w:cs="Calibri"/>
                <w:b/>
                <w:bCs/>
                <w:color w:val="FFFFFF"/>
                <w:sz w:val="20"/>
                <w:szCs w:val="20"/>
              </w:rPr>
            </w:pPr>
            <w:r w:rsidRPr="005A4BB8">
              <w:rPr>
                <w:rFonts w:cs="Calibri"/>
                <w:b/>
                <w:bCs/>
                <w:color w:val="FFFFFF"/>
                <w:sz w:val="20"/>
                <w:szCs w:val="20"/>
              </w:rPr>
              <w:t>Forecast # Enrolled in LCA</w:t>
            </w:r>
          </w:p>
        </w:tc>
        <w:tc>
          <w:tcPr>
            <w:tcW w:w="1263" w:type="dxa"/>
            <w:gridSpan w:val="2"/>
            <w:tcBorders>
              <w:top w:val="nil"/>
              <w:left w:val="nil"/>
              <w:bottom w:val="single" w:sz="4" w:space="0" w:color="FFFFFF"/>
              <w:right w:val="single" w:sz="4" w:space="0" w:color="FFFFFF"/>
            </w:tcBorders>
            <w:shd w:val="clear" w:color="000000" w:fill="0C2577"/>
            <w:vAlign w:val="center"/>
            <w:hideMark/>
          </w:tcPr>
          <w:p w14:paraId="7444CACE" w14:textId="77777777" w:rsidR="003909BB" w:rsidRPr="005A4BB8" w:rsidRDefault="003909BB" w:rsidP="003909BB">
            <w:pPr>
              <w:keepNext/>
              <w:jc w:val="center"/>
              <w:rPr>
                <w:rFonts w:cs="Calibri"/>
                <w:b/>
                <w:bCs/>
                <w:color w:val="FFFFFF"/>
                <w:sz w:val="20"/>
                <w:szCs w:val="20"/>
              </w:rPr>
            </w:pPr>
            <w:r w:rsidRPr="005A4BB8">
              <w:rPr>
                <w:rFonts w:cs="Calibri"/>
                <w:b/>
                <w:bCs/>
                <w:color w:val="FFFFFF"/>
                <w:sz w:val="20"/>
                <w:szCs w:val="20"/>
              </w:rPr>
              <w:t>Load Impact (kW/cust)</w:t>
            </w:r>
          </w:p>
        </w:tc>
        <w:tc>
          <w:tcPr>
            <w:tcW w:w="0" w:type="auto"/>
            <w:gridSpan w:val="2"/>
            <w:tcBorders>
              <w:top w:val="nil"/>
              <w:left w:val="nil"/>
              <w:bottom w:val="single" w:sz="4" w:space="0" w:color="FFFFFF"/>
              <w:right w:val="single" w:sz="4" w:space="0" w:color="FFFFFF"/>
            </w:tcBorders>
            <w:shd w:val="clear" w:color="000000" w:fill="0C2577"/>
            <w:vAlign w:val="center"/>
            <w:hideMark/>
          </w:tcPr>
          <w:p w14:paraId="0E253BF3" w14:textId="77777777" w:rsidR="003909BB" w:rsidRPr="005A4BB8" w:rsidRDefault="003909BB" w:rsidP="003909BB">
            <w:pPr>
              <w:keepNext/>
              <w:jc w:val="center"/>
              <w:rPr>
                <w:rFonts w:cs="Calibri"/>
                <w:b/>
                <w:bCs/>
                <w:color w:val="FFFFFF"/>
                <w:sz w:val="20"/>
                <w:szCs w:val="20"/>
              </w:rPr>
            </w:pPr>
            <w:r w:rsidRPr="005A4BB8">
              <w:rPr>
                <w:rFonts w:cs="Calibri"/>
                <w:b/>
                <w:bCs/>
                <w:color w:val="FFFFFF"/>
                <w:sz w:val="20"/>
                <w:szCs w:val="20"/>
              </w:rPr>
              <w:t>Load Impact (MW)</w:t>
            </w:r>
          </w:p>
        </w:tc>
        <w:tc>
          <w:tcPr>
            <w:tcW w:w="1473" w:type="dxa"/>
            <w:gridSpan w:val="2"/>
            <w:tcBorders>
              <w:top w:val="nil"/>
              <w:left w:val="nil"/>
              <w:bottom w:val="nil"/>
              <w:right w:val="nil"/>
            </w:tcBorders>
            <w:shd w:val="clear" w:color="000000" w:fill="0C2577"/>
            <w:vAlign w:val="center"/>
            <w:hideMark/>
          </w:tcPr>
          <w:p w14:paraId="457982B6" w14:textId="77777777" w:rsidR="003909BB" w:rsidRPr="005A4BB8" w:rsidRDefault="003909BB" w:rsidP="003909BB">
            <w:pPr>
              <w:keepNext/>
              <w:jc w:val="center"/>
              <w:rPr>
                <w:rFonts w:cs="Calibri"/>
                <w:b/>
                <w:bCs/>
                <w:color w:val="FFFFFF"/>
                <w:sz w:val="20"/>
                <w:szCs w:val="20"/>
              </w:rPr>
            </w:pPr>
            <w:r w:rsidRPr="005A4BB8">
              <w:rPr>
                <w:rFonts w:cs="Calibri"/>
                <w:b/>
                <w:bCs/>
                <w:color w:val="FFFFFF"/>
                <w:sz w:val="20"/>
                <w:szCs w:val="20"/>
              </w:rPr>
              <w:t>Avg. Temp (°F)</w:t>
            </w:r>
          </w:p>
        </w:tc>
      </w:tr>
      <w:tr w:rsidR="003909BB" w:rsidRPr="003909BB" w14:paraId="608D4CF2" w14:textId="77777777" w:rsidTr="003909BB">
        <w:trPr>
          <w:trHeight w:val="345"/>
          <w:jc w:val="center"/>
        </w:trPr>
        <w:tc>
          <w:tcPr>
            <w:tcW w:w="909" w:type="dxa"/>
            <w:vMerge/>
            <w:tcBorders>
              <w:top w:val="nil"/>
              <w:left w:val="nil"/>
              <w:bottom w:val="single" w:sz="4" w:space="0" w:color="000000"/>
              <w:right w:val="single" w:sz="4" w:space="0" w:color="FFFFFF"/>
            </w:tcBorders>
            <w:vAlign w:val="center"/>
            <w:hideMark/>
          </w:tcPr>
          <w:p w14:paraId="2F522010" w14:textId="77777777" w:rsidR="003909BB" w:rsidRPr="005A4BB8" w:rsidRDefault="003909BB" w:rsidP="003909BB">
            <w:pPr>
              <w:keepNext/>
              <w:rPr>
                <w:rFonts w:cs="Calibri"/>
                <w:b/>
                <w:bCs/>
                <w:color w:val="FFFFFF"/>
                <w:sz w:val="20"/>
                <w:szCs w:val="20"/>
              </w:rPr>
            </w:pPr>
          </w:p>
        </w:tc>
        <w:tc>
          <w:tcPr>
            <w:tcW w:w="1356" w:type="dxa"/>
            <w:vMerge/>
            <w:tcBorders>
              <w:top w:val="nil"/>
              <w:left w:val="single" w:sz="4" w:space="0" w:color="FFFFFF"/>
              <w:bottom w:val="single" w:sz="4" w:space="0" w:color="000000"/>
              <w:right w:val="single" w:sz="4" w:space="0" w:color="FFFFFF"/>
            </w:tcBorders>
            <w:vAlign w:val="center"/>
            <w:hideMark/>
          </w:tcPr>
          <w:p w14:paraId="7CA4C832" w14:textId="77777777" w:rsidR="003909BB" w:rsidRPr="005A4BB8" w:rsidRDefault="003909BB" w:rsidP="003909BB">
            <w:pPr>
              <w:keepNext/>
              <w:rPr>
                <w:rFonts w:cs="Calibri"/>
                <w:b/>
                <w:bCs/>
                <w:color w:val="FFFFFF"/>
                <w:sz w:val="20"/>
                <w:szCs w:val="20"/>
              </w:rPr>
            </w:pPr>
          </w:p>
        </w:tc>
        <w:tc>
          <w:tcPr>
            <w:tcW w:w="894" w:type="dxa"/>
            <w:vMerge/>
            <w:tcBorders>
              <w:top w:val="nil"/>
              <w:left w:val="nil"/>
              <w:bottom w:val="nil"/>
              <w:right w:val="nil"/>
            </w:tcBorders>
            <w:vAlign w:val="center"/>
            <w:hideMark/>
          </w:tcPr>
          <w:p w14:paraId="58A123D1" w14:textId="77777777" w:rsidR="003909BB" w:rsidRPr="005A4BB8" w:rsidRDefault="003909BB" w:rsidP="003909BB">
            <w:pPr>
              <w:keepNext/>
              <w:rPr>
                <w:rFonts w:cs="Calibri"/>
                <w:b/>
                <w:bCs/>
                <w:color w:val="FFFFFF"/>
                <w:sz w:val="20"/>
                <w:szCs w:val="20"/>
              </w:rPr>
            </w:pPr>
          </w:p>
        </w:tc>
        <w:tc>
          <w:tcPr>
            <w:tcW w:w="975" w:type="dxa"/>
            <w:vMerge/>
            <w:tcBorders>
              <w:top w:val="nil"/>
              <w:left w:val="single" w:sz="4" w:space="0" w:color="FFFFFF"/>
              <w:bottom w:val="single" w:sz="4" w:space="0" w:color="000000"/>
              <w:right w:val="single" w:sz="4" w:space="0" w:color="FFFFFF"/>
            </w:tcBorders>
            <w:vAlign w:val="center"/>
            <w:hideMark/>
          </w:tcPr>
          <w:p w14:paraId="38E7FA4B" w14:textId="77777777" w:rsidR="003909BB" w:rsidRPr="005A4BB8" w:rsidRDefault="003909BB" w:rsidP="003909BB">
            <w:pPr>
              <w:keepNext/>
              <w:rPr>
                <w:rFonts w:cs="Calibri"/>
                <w:b/>
                <w:bCs/>
                <w:color w:val="FFFFFF"/>
                <w:sz w:val="20"/>
                <w:szCs w:val="20"/>
              </w:rPr>
            </w:pPr>
          </w:p>
        </w:tc>
        <w:tc>
          <w:tcPr>
            <w:tcW w:w="989" w:type="dxa"/>
            <w:vMerge/>
            <w:tcBorders>
              <w:top w:val="nil"/>
              <w:left w:val="single" w:sz="4" w:space="0" w:color="FFFFFF"/>
              <w:bottom w:val="single" w:sz="4" w:space="0" w:color="000000"/>
              <w:right w:val="single" w:sz="4" w:space="0" w:color="FFFFFF"/>
            </w:tcBorders>
            <w:vAlign w:val="center"/>
            <w:hideMark/>
          </w:tcPr>
          <w:p w14:paraId="3679E244" w14:textId="77777777" w:rsidR="003909BB" w:rsidRPr="005A4BB8" w:rsidRDefault="003909BB" w:rsidP="003909BB">
            <w:pPr>
              <w:keepNext/>
              <w:rPr>
                <w:rFonts w:cs="Calibri"/>
                <w:b/>
                <w:bCs/>
                <w:color w:val="FFFFFF"/>
                <w:sz w:val="20"/>
                <w:szCs w:val="20"/>
              </w:rPr>
            </w:pPr>
          </w:p>
        </w:tc>
        <w:tc>
          <w:tcPr>
            <w:tcW w:w="613" w:type="dxa"/>
            <w:tcBorders>
              <w:top w:val="nil"/>
              <w:left w:val="nil"/>
              <w:bottom w:val="single" w:sz="4" w:space="0" w:color="auto"/>
              <w:right w:val="single" w:sz="4" w:space="0" w:color="FFFFFF"/>
            </w:tcBorders>
            <w:shd w:val="clear" w:color="000000" w:fill="0C2577"/>
            <w:vAlign w:val="bottom"/>
            <w:hideMark/>
          </w:tcPr>
          <w:p w14:paraId="7CEA2E6E" w14:textId="77777777" w:rsidR="003909BB" w:rsidRPr="005A4BB8" w:rsidRDefault="003909BB" w:rsidP="003909BB">
            <w:pPr>
              <w:keepNext/>
              <w:rPr>
                <w:rFonts w:cs="Calibri"/>
                <w:b/>
                <w:bCs/>
                <w:i/>
                <w:iCs/>
                <w:color w:val="FFFFFF"/>
                <w:sz w:val="20"/>
                <w:szCs w:val="20"/>
              </w:rPr>
            </w:pPr>
            <w:r w:rsidRPr="005A4BB8">
              <w:rPr>
                <w:rFonts w:cs="Calibri"/>
                <w:b/>
                <w:bCs/>
                <w:i/>
                <w:iCs/>
                <w:color w:val="FFFFFF"/>
                <w:sz w:val="20"/>
                <w:szCs w:val="20"/>
              </w:rPr>
              <w:t xml:space="preserve"> Ex-Post</w:t>
            </w:r>
          </w:p>
        </w:tc>
        <w:tc>
          <w:tcPr>
            <w:tcW w:w="0" w:type="auto"/>
            <w:tcBorders>
              <w:top w:val="nil"/>
              <w:left w:val="nil"/>
              <w:bottom w:val="single" w:sz="4" w:space="0" w:color="auto"/>
              <w:right w:val="single" w:sz="4" w:space="0" w:color="FFFFFF"/>
            </w:tcBorders>
            <w:shd w:val="clear" w:color="000000" w:fill="0C2577"/>
            <w:vAlign w:val="bottom"/>
            <w:hideMark/>
          </w:tcPr>
          <w:p w14:paraId="3F042919" w14:textId="77777777" w:rsidR="003909BB" w:rsidRPr="005A4BB8" w:rsidRDefault="003909BB" w:rsidP="003909BB">
            <w:pPr>
              <w:keepNext/>
              <w:jc w:val="center"/>
              <w:rPr>
                <w:rFonts w:cs="Calibri"/>
                <w:b/>
                <w:bCs/>
                <w:i/>
                <w:iCs/>
                <w:color w:val="FFFFFF"/>
                <w:sz w:val="20"/>
                <w:szCs w:val="20"/>
              </w:rPr>
            </w:pPr>
            <w:r w:rsidRPr="005A4BB8">
              <w:rPr>
                <w:rFonts w:cs="Calibri"/>
                <w:b/>
                <w:bCs/>
                <w:i/>
                <w:iCs/>
                <w:color w:val="FFFFFF"/>
                <w:sz w:val="20"/>
                <w:szCs w:val="20"/>
              </w:rPr>
              <w:t xml:space="preserve"> Ex-Ante</w:t>
            </w:r>
          </w:p>
        </w:tc>
        <w:tc>
          <w:tcPr>
            <w:tcW w:w="0" w:type="auto"/>
            <w:tcBorders>
              <w:top w:val="nil"/>
              <w:left w:val="nil"/>
              <w:bottom w:val="single" w:sz="4" w:space="0" w:color="auto"/>
              <w:right w:val="single" w:sz="4" w:space="0" w:color="FFFFFF"/>
            </w:tcBorders>
            <w:shd w:val="clear" w:color="000000" w:fill="0C2577"/>
            <w:vAlign w:val="bottom"/>
            <w:hideMark/>
          </w:tcPr>
          <w:p w14:paraId="1DA976BB" w14:textId="77777777" w:rsidR="003909BB" w:rsidRPr="005A4BB8" w:rsidRDefault="003909BB" w:rsidP="003909BB">
            <w:pPr>
              <w:keepNext/>
              <w:rPr>
                <w:rFonts w:cs="Calibri"/>
                <w:b/>
                <w:bCs/>
                <w:i/>
                <w:iCs/>
                <w:color w:val="FFFFFF"/>
                <w:sz w:val="20"/>
                <w:szCs w:val="20"/>
              </w:rPr>
            </w:pPr>
            <w:r w:rsidRPr="005A4BB8">
              <w:rPr>
                <w:rFonts w:cs="Calibri"/>
                <w:b/>
                <w:bCs/>
                <w:i/>
                <w:iCs/>
                <w:color w:val="FFFFFF"/>
                <w:sz w:val="20"/>
                <w:szCs w:val="20"/>
              </w:rPr>
              <w:t xml:space="preserve"> Ex-Post</w:t>
            </w:r>
          </w:p>
        </w:tc>
        <w:tc>
          <w:tcPr>
            <w:tcW w:w="0" w:type="auto"/>
            <w:tcBorders>
              <w:top w:val="nil"/>
              <w:left w:val="nil"/>
              <w:bottom w:val="single" w:sz="4" w:space="0" w:color="auto"/>
              <w:right w:val="single" w:sz="4" w:space="0" w:color="FFFFFF"/>
            </w:tcBorders>
            <w:shd w:val="clear" w:color="000000" w:fill="0C2577"/>
            <w:vAlign w:val="bottom"/>
            <w:hideMark/>
          </w:tcPr>
          <w:p w14:paraId="093CA4D3" w14:textId="77777777" w:rsidR="003909BB" w:rsidRPr="005A4BB8" w:rsidRDefault="003909BB" w:rsidP="003909BB">
            <w:pPr>
              <w:keepNext/>
              <w:jc w:val="center"/>
              <w:rPr>
                <w:rFonts w:cs="Calibri"/>
                <w:b/>
                <w:bCs/>
                <w:i/>
                <w:iCs/>
                <w:color w:val="FFFFFF"/>
                <w:sz w:val="20"/>
                <w:szCs w:val="20"/>
              </w:rPr>
            </w:pPr>
            <w:r w:rsidRPr="005A4BB8">
              <w:rPr>
                <w:rFonts w:cs="Calibri"/>
                <w:b/>
                <w:bCs/>
                <w:i/>
                <w:iCs/>
                <w:color w:val="FFFFFF"/>
                <w:sz w:val="20"/>
                <w:szCs w:val="20"/>
              </w:rPr>
              <w:t xml:space="preserve"> Ex-Ante</w:t>
            </w:r>
          </w:p>
        </w:tc>
        <w:tc>
          <w:tcPr>
            <w:tcW w:w="718" w:type="dxa"/>
            <w:tcBorders>
              <w:top w:val="single" w:sz="4" w:space="0" w:color="FFFFFF"/>
              <w:left w:val="nil"/>
              <w:bottom w:val="single" w:sz="4" w:space="0" w:color="auto"/>
              <w:right w:val="single" w:sz="4" w:space="0" w:color="FFFFFF"/>
            </w:tcBorders>
            <w:shd w:val="clear" w:color="000000" w:fill="0C2577"/>
            <w:vAlign w:val="bottom"/>
            <w:hideMark/>
          </w:tcPr>
          <w:p w14:paraId="768BF1AA" w14:textId="77777777" w:rsidR="003909BB" w:rsidRPr="005A4BB8" w:rsidRDefault="003909BB" w:rsidP="003909BB">
            <w:pPr>
              <w:keepNext/>
              <w:rPr>
                <w:rFonts w:cs="Calibri"/>
                <w:b/>
                <w:bCs/>
                <w:i/>
                <w:iCs/>
                <w:color w:val="FFFFFF"/>
                <w:sz w:val="20"/>
                <w:szCs w:val="20"/>
              </w:rPr>
            </w:pPr>
            <w:r w:rsidRPr="005A4BB8">
              <w:rPr>
                <w:rFonts w:cs="Calibri"/>
                <w:b/>
                <w:bCs/>
                <w:i/>
                <w:iCs/>
                <w:color w:val="FFFFFF"/>
                <w:sz w:val="20"/>
                <w:szCs w:val="20"/>
              </w:rPr>
              <w:t xml:space="preserve"> Ex-Post</w:t>
            </w:r>
          </w:p>
        </w:tc>
        <w:tc>
          <w:tcPr>
            <w:tcW w:w="755" w:type="dxa"/>
            <w:tcBorders>
              <w:top w:val="single" w:sz="4" w:space="0" w:color="FFFFFF"/>
              <w:left w:val="nil"/>
              <w:bottom w:val="single" w:sz="4" w:space="0" w:color="auto"/>
              <w:right w:val="single" w:sz="4" w:space="0" w:color="FFFFFF"/>
            </w:tcBorders>
            <w:shd w:val="clear" w:color="000000" w:fill="0C2577"/>
            <w:vAlign w:val="bottom"/>
            <w:hideMark/>
          </w:tcPr>
          <w:p w14:paraId="71C2FDBE" w14:textId="77777777" w:rsidR="003909BB" w:rsidRPr="005A4BB8" w:rsidRDefault="003909BB" w:rsidP="003909BB">
            <w:pPr>
              <w:keepNext/>
              <w:jc w:val="center"/>
              <w:rPr>
                <w:rFonts w:cs="Calibri"/>
                <w:b/>
                <w:bCs/>
                <w:i/>
                <w:iCs/>
                <w:color w:val="FFFFFF"/>
                <w:sz w:val="20"/>
                <w:szCs w:val="20"/>
              </w:rPr>
            </w:pPr>
            <w:r w:rsidRPr="005A4BB8">
              <w:rPr>
                <w:rFonts w:cs="Calibri"/>
                <w:b/>
                <w:bCs/>
                <w:i/>
                <w:iCs/>
                <w:color w:val="FFFFFF"/>
                <w:sz w:val="20"/>
                <w:szCs w:val="20"/>
              </w:rPr>
              <w:t xml:space="preserve"> Ex-Ante</w:t>
            </w:r>
          </w:p>
        </w:tc>
      </w:tr>
      <w:tr w:rsidR="003909BB" w:rsidRPr="003909BB" w14:paraId="7839CF9B" w14:textId="77777777" w:rsidTr="003909BB">
        <w:trPr>
          <w:trHeight w:val="300"/>
          <w:jc w:val="center"/>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27CDC18C"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23-Jul</w:t>
            </w:r>
          </w:p>
        </w:tc>
        <w:tc>
          <w:tcPr>
            <w:tcW w:w="1356" w:type="dxa"/>
            <w:tcBorders>
              <w:top w:val="nil"/>
              <w:left w:val="nil"/>
              <w:bottom w:val="single" w:sz="4" w:space="0" w:color="auto"/>
              <w:right w:val="single" w:sz="4" w:space="0" w:color="auto"/>
            </w:tcBorders>
            <w:shd w:val="clear" w:color="auto" w:fill="auto"/>
            <w:noWrap/>
            <w:vAlign w:val="bottom"/>
            <w:hideMark/>
          </w:tcPr>
          <w:p w14:paraId="1B86E556" w14:textId="77777777" w:rsidR="003909BB" w:rsidRPr="005A4BB8" w:rsidRDefault="003909BB" w:rsidP="003909BB">
            <w:pPr>
              <w:keepNext/>
              <w:rPr>
                <w:rFonts w:cs="Calibri"/>
                <w:color w:val="000000"/>
                <w:sz w:val="20"/>
                <w:szCs w:val="20"/>
              </w:rPr>
            </w:pPr>
            <w:r w:rsidRPr="005A4BB8">
              <w:rPr>
                <w:rFonts w:cs="Calibri"/>
                <w:color w:val="000000"/>
                <w:sz w:val="20"/>
                <w:szCs w:val="20"/>
              </w:rPr>
              <w:t>4-8 p.m.</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2118E70A"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49,382</w:t>
            </w:r>
          </w:p>
        </w:tc>
        <w:tc>
          <w:tcPr>
            <w:tcW w:w="975" w:type="dxa"/>
            <w:tcBorders>
              <w:top w:val="nil"/>
              <w:left w:val="nil"/>
              <w:bottom w:val="single" w:sz="4" w:space="0" w:color="auto"/>
              <w:right w:val="single" w:sz="4" w:space="0" w:color="auto"/>
            </w:tcBorders>
            <w:shd w:val="clear" w:color="auto" w:fill="auto"/>
            <w:noWrap/>
            <w:vAlign w:val="bottom"/>
            <w:hideMark/>
          </w:tcPr>
          <w:p w14:paraId="53643975"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51,667</w:t>
            </w:r>
          </w:p>
        </w:tc>
        <w:tc>
          <w:tcPr>
            <w:tcW w:w="989" w:type="dxa"/>
            <w:tcBorders>
              <w:top w:val="nil"/>
              <w:left w:val="nil"/>
              <w:bottom w:val="single" w:sz="4" w:space="0" w:color="auto"/>
              <w:right w:val="single" w:sz="4" w:space="0" w:color="auto"/>
            </w:tcBorders>
            <w:shd w:val="clear" w:color="auto" w:fill="auto"/>
            <w:noWrap/>
            <w:vAlign w:val="bottom"/>
            <w:hideMark/>
          </w:tcPr>
          <w:p w14:paraId="46FD1AA4"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63,522</w:t>
            </w:r>
          </w:p>
        </w:tc>
        <w:tc>
          <w:tcPr>
            <w:tcW w:w="613" w:type="dxa"/>
            <w:tcBorders>
              <w:top w:val="nil"/>
              <w:left w:val="nil"/>
              <w:bottom w:val="single" w:sz="4" w:space="0" w:color="auto"/>
              <w:right w:val="single" w:sz="4" w:space="0" w:color="auto"/>
            </w:tcBorders>
            <w:shd w:val="clear" w:color="auto" w:fill="auto"/>
            <w:noWrap/>
            <w:vAlign w:val="bottom"/>
            <w:hideMark/>
          </w:tcPr>
          <w:p w14:paraId="76F3D6F2"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0.29</w:t>
            </w:r>
          </w:p>
        </w:tc>
        <w:tc>
          <w:tcPr>
            <w:tcW w:w="0" w:type="auto"/>
            <w:tcBorders>
              <w:top w:val="nil"/>
              <w:left w:val="nil"/>
              <w:bottom w:val="single" w:sz="4" w:space="0" w:color="auto"/>
              <w:right w:val="single" w:sz="4" w:space="0" w:color="auto"/>
            </w:tcBorders>
            <w:shd w:val="clear" w:color="auto" w:fill="auto"/>
            <w:noWrap/>
            <w:vAlign w:val="bottom"/>
            <w:hideMark/>
          </w:tcPr>
          <w:p w14:paraId="038A0C29"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0.58</w:t>
            </w:r>
          </w:p>
        </w:tc>
        <w:tc>
          <w:tcPr>
            <w:tcW w:w="0" w:type="auto"/>
            <w:tcBorders>
              <w:top w:val="nil"/>
              <w:left w:val="nil"/>
              <w:bottom w:val="single" w:sz="4" w:space="0" w:color="auto"/>
              <w:right w:val="single" w:sz="4" w:space="0" w:color="auto"/>
            </w:tcBorders>
            <w:shd w:val="clear" w:color="auto" w:fill="auto"/>
            <w:noWrap/>
            <w:vAlign w:val="bottom"/>
            <w:hideMark/>
          </w:tcPr>
          <w:p w14:paraId="62013950"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14.3</w:t>
            </w:r>
          </w:p>
        </w:tc>
        <w:tc>
          <w:tcPr>
            <w:tcW w:w="0" w:type="auto"/>
            <w:tcBorders>
              <w:top w:val="nil"/>
              <w:left w:val="nil"/>
              <w:bottom w:val="single" w:sz="4" w:space="0" w:color="auto"/>
              <w:right w:val="single" w:sz="4" w:space="0" w:color="auto"/>
            </w:tcBorders>
            <w:shd w:val="clear" w:color="auto" w:fill="auto"/>
            <w:noWrap/>
            <w:vAlign w:val="bottom"/>
            <w:hideMark/>
          </w:tcPr>
          <w:p w14:paraId="6400A9A5"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28.5</w:t>
            </w:r>
          </w:p>
        </w:tc>
        <w:tc>
          <w:tcPr>
            <w:tcW w:w="718" w:type="dxa"/>
            <w:tcBorders>
              <w:top w:val="nil"/>
              <w:left w:val="nil"/>
              <w:bottom w:val="single" w:sz="4" w:space="0" w:color="auto"/>
              <w:right w:val="single" w:sz="4" w:space="0" w:color="auto"/>
            </w:tcBorders>
            <w:shd w:val="clear" w:color="auto" w:fill="auto"/>
            <w:noWrap/>
            <w:vAlign w:val="bottom"/>
            <w:hideMark/>
          </w:tcPr>
          <w:p w14:paraId="08791B40"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98.0</w:t>
            </w:r>
          </w:p>
        </w:tc>
        <w:tc>
          <w:tcPr>
            <w:tcW w:w="755" w:type="dxa"/>
            <w:tcBorders>
              <w:top w:val="nil"/>
              <w:left w:val="nil"/>
              <w:bottom w:val="single" w:sz="4" w:space="0" w:color="auto"/>
              <w:right w:val="single" w:sz="4" w:space="0" w:color="auto"/>
            </w:tcBorders>
            <w:shd w:val="clear" w:color="auto" w:fill="auto"/>
            <w:noWrap/>
            <w:vAlign w:val="bottom"/>
            <w:hideMark/>
          </w:tcPr>
          <w:p w14:paraId="291726D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102.5</w:t>
            </w:r>
          </w:p>
        </w:tc>
      </w:tr>
      <w:tr w:rsidR="003909BB" w:rsidRPr="003909BB" w14:paraId="0DF34010" w14:textId="77777777" w:rsidTr="003909BB">
        <w:trPr>
          <w:trHeight w:val="300"/>
          <w:jc w:val="center"/>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5CDE74C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24-Jul</w:t>
            </w:r>
          </w:p>
        </w:tc>
        <w:tc>
          <w:tcPr>
            <w:tcW w:w="1356" w:type="dxa"/>
            <w:tcBorders>
              <w:top w:val="nil"/>
              <w:left w:val="nil"/>
              <w:bottom w:val="single" w:sz="4" w:space="0" w:color="auto"/>
              <w:right w:val="single" w:sz="4" w:space="0" w:color="auto"/>
            </w:tcBorders>
            <w:shd w:val="clear" w:color="auto" w:fill="auto"/>
            <w:noWrap/>
            <w:vAlign w:val="bottom"/>
            <w:hideMark/>
          </w:tcPr>
          <w:p w14:paraId="5D32DFB7" w14:textId="77777777" w:rsidR="003909BB" w:rsidRPr="005A4BB8" w:rsidRDefault="003909BB" w:rsidP="003909BB">
            <w:pPr>
              <w:keepNext/>
              <w:rPr>
                <w:rFonts w:cs="Calibri"/>
                <w:color w:val="000000"/>
                <w:sz w:val="20"/>
                <w:szCs w:val="20"/>
              </w:rPr>
            </w:pPr>
            <w:r w:rsidRPr="005A4BB8">
              <w:rPr>
                <w:rFonts w:cs="Calibri"/>
                <w:color w:val="000000"/>
                <w:sz w:val="20"/>
                <w:szCs w:val="20"/>
              </w:rPr>
              <w:t>3-8 p.m.</w:t>
            </w:r>
          </w:p>
        </w:tc>
        <w:tc>
          <w:tcPr>
            <w:tcW w:w="894" w:type="dxa"/>
            <w:tcBorders>
              <w:top w:val="nil"/>
              <w:left w:val="nil"/>
              <w:bottom w:val="single" w:sz="4" w:space="0" w:color="auto"/>
              <w:right w:val="single" w:sz="4" w:space="0" w:color="auto"/>
            </w:tcBorders>
            <w:shd w:val="clear" w:color="auto" w:fill="auto"/>
            <w:noWrap/>
            <w:vAlign w:val="bottom"/>
            <w:hideMark/>
          </w:tcPr>
          <w:p w14:paraId="03BD5F21"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52,279</w:t>
            </w:r>
          </w:p>
        </w:tc>
        <w:tc>
          <w:tcPr>
            <w:tcW w:w="975" w:type="dxa"/>
            <w:tcBorders>
              <w:top w:val="nil"/>
              <w:left w:val="nil"/>
              <w:bottom w:val="single" w:sz="4" w:space="0" w:color="auto"/>
              <w:right w:val="single" w:sz="4" w:space="0" w:color="auto"/>
            </w:tcBorders>
            <w:shd w:val="clear" w:color="auto" w:fill="auto"/>
            <w:noWrap/>
            <w:vAlign w:val="bottom"/>
            <w:hideMark/>
          </w:tcPr>
          <w:p w14:paraId="12F71AD5"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56,068</w:t>
            </w:r>
          </w:p>
        </w:tc>
        <w:tc>
          <w:tcPr>
            <w:tcW w:w="989" w:type="dxa"/>
            <w:tcBorders>
              <w:top w:val="nil"/>
              <w:left w:val="nil"/>
              <w:bottom w:val="single" w:sz="4" w:space="0" w:color="auto"/>
              <w:right w:val="single" w:sz="4" w:space="0" w:color="auto"/>
            </w:tcBorders>
            <w:shd w:val="clear" w:color="auto" w:fill="auto"/>
            <w:noWrap/>
            <w:vAlign w:val="bottom"/>
            <w:hideMark/>
          </w:tcPr>
          <w:p w14:paraId="2CCD0671"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68,394</w:t>
            </w:r>
          </w:p>
        </w:tc>
        <w:tc>
          <w:tcPr>
            <w:tcW w:w="613" w:type="dxa"/>
            <w:tcBorders>
              <w:top w:val="nil"/>
              <w:left w:val="nil"/>
              <w:bottom w:val="single" w:sz="4" w:space="0" w:color="auto"/>
              <w:right w:val="single" w:sz="4" w:space="0" w:color="auto"/>
            </w:tcBorders>
            <w:shd w:val="clear" w:color="auto" w:fill="auto"/>
            <w:noWrap/>
            <w:vAlign w:val="bottom"/>
            <w:hideMark/>
          </w:tcPr>
          <w:p w14:paraId="507CE535"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0.32</w:t>
            </w:r>
          </w:p>
        </w:tc>
        <w:tc>
          <w:tcPr>
            <w:tcW w:w="0" w:type="auto"/>
            <w:tcBorders>
              <w:top w:val="nil"/>
              <w:left w:val="nil"/>
              <w:bottom w:val="single" w:sz="4" w:space="0" w:color="auto"/>
              <w:right w:val="single" w:sz="4" w:space="0" w:color="auto"/>
            </w:tcBorders>
            <w:shd w:val="clear" w:color="auto" w:fill="auto"/>
            <w:noWrap/>
            <w:vAlign w:val="bottom"/>
            <w:hideMark/>
          </w:tcPr>
          <w:p w14:paraId="6271F905"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0.56</w:t>
            </w:r>
          </w:p>
        </w:tc>
        <w:tc>
          <w:tcPr>
            <w:tcW w:w="0" w:type="auto"/>
            <w:tcBorders>
              <w:top w:val="nil"/>
              <w:left w:val="nil"/>
              <w:bottom w:val="single" w:sz="4" w:space="0" w:color="auto"/>
              <w:right w:val="single" w:sz="4" w:space="0" w:color="auto"/>
            </w:tcBorders>
            <w:shd w:val="clear" w:color="auto" w:fill="auto"/>
            <w:noWrap/>
            <w:vAlign w:val="bottom"/>
            <w:hideMark/>
          </w:tcPr>
          <w:p w14:paraId="496B1BB1"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16.8</w:t>
            </w:r>
          </w:p>
        </w:tc>
        <w:tc>
          <w:tcPr>
            <w:tcW w:w="0" w:type="auto"/>
            <w:tcBorders>
              <w:top w:val="nil"/>
              <w:left w:val="nil"/>
              <w:bottom w:val="single" w:sz="4" w:space="0" w:color="auto"/>
              <w:right w:val="single" w:sz="4" w:space="0" w:color="auto"/>
            </w:tcBorders>
            <w:shd w:val="clear" w:color="auto" w:fill="auto"/>
            <w:noWrap/>
            <w:vAlign w:val="bottom"/>
            <w:hideMark/>
          </w:tcPr>
          <w:p w14:paraId="2D123E34"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29.5</w:t>
            </w:r>
          </w:p>
        </w:tc>
        <w:tc>
          <w:tcPr>
            <w:tcW w:w="718" w:type="dxa"/>
            <w:tcBorders>
              <w:top w:val="nil"/>
              <w:left w:val="nil"/>
              <w:bottom w:val="single" w:sz="4" w:space="0" w:color="auto"/>
              <w:right w:val="single" w:sz="4" w:space="0" w:color="auto"/>
            </w:tcBorders>
            <w:shd w:val="clear" w:color="auto" w:fill="auto"/>
            <w:noWrap/>
            <w:vAlign w:val="bottom"/>
            <w:hideMark/>
          </w:tcPr>
          <w:p w14:paraId="2FE90FC2"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100.6</w:t>
            </w:r>
          </w:p>
        </w:tc>
        <w:tc>
          <w:tcPr>
            <w:tcW w:w="755" w:type="dxa"/>
            <w:tcBorders>
              <w:top w:val="nil"/>
              <w:left w:val="nil"/>
              <w:bottom w:val="single" w:sz="4" w:space="0" w:color="auto"/>
              <w:right w:val="single" w:sz="4" w:space="0" w:color="auto"/>
            </w:tcBorders>
            <w:shd w:val="clear" w:color="auto" w:fill="auto"/>
            <w:noWrap/>
            <w:vAlign w:val="bottom"/>
            <w:hideMark/>
          </w:tcPr>
          <w:p w14:paraId="1B0E482A"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102.0</w:t>
            </w:r>
          </w:p>
        </w:tc>
      </w:tr>
      <w:tr w:rsidR="003909BB" w:rsidRPr="003909BB" w14:paraId="6A0FF25C" w14:textId="77777777" w:rsidTr="003909BB">
        <w:trPr>
          <w:trHeight w:val="300"/>
          <w:jc w:val="center"/>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47ED6042"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25-Jul</w:t>
            </w:r>
          </w:p>
        </w:tc>
        <w:tc>
          <w:tcPr>
            <w:tcW w:w="1356" w:type="dxa"/>
            <w:tcBorders>
              <w:top w:val="nil"/>
              <w:left w:val="nil"/>
              <w:bottom w:val="single" w:sz="4" w:space="0" w:color="auto"/>
              <w:right w:val="single" w:sz="4" w:space="0" w:color="auto"/>
            </w:tcBorders>
            <w:shd w:val="clear" w:color="auto" w:fill="auto"/>
            <w:noWrap/>
            <w:vAlign w:val="bottom"/>
            <w:hideMark/>
          </w:tcPr>
          <w:p w14:paraId="78929186" w14:textId="77777777" w:rsidR="003909BB" w:rsidRPr="005A4BB8" w:rsidRDefault="003909BB" w:rsidP="003909BB">
            <w:pPr>
              <w:keepNext/>
              <w:rPr>
                <w:rFonts w:cs="Calibri"/>
                <w:color w:val="000000"/>
                <w:sz w:val="20"/>
                <w:szCs w:val="20"/>
              </w:rPr>
            </w:pPr>
            <w:r w:rsidRPr="005A4BB8">
              <w:rPr>
                <w:rFonts w:cs="Calibri"/>
                <w:color w:val="000000"/>
                <w:sz w:val="20"/>
                <w:szCs w:val="20"/>
              </w:rPr>
              <w:t>4-7 p.m.</w:t>
            </w:r>
          </w:p>
        </w:tc>
        <w:tc>
          <w:tcPr>
            <w:tcW w:w="894" w:type="dxa"/>
            <w:tcBorders>
              <w:top w:val="nil"/>
              <w:left w:val="nil"/>
              <w:bottom w:val="single" w:sz="4" w:space="0" w:color="auto"/>
              <w:right w:val="single" w:sz="4" w:space="0" w:color="auto"/>
            </w:tcBorders>
            <w:shd w:val="clear" w:color="auto" w:fill="auto"/>
            <w:noWrap/>
            <w:vAlign w:val="bottom"/>
            <w:hideMark/>
          </w:tcPr>
          <w:p w14:paraId="29E5C1CF"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20,269</w:t>
            </w:r>
          </w:p>
        </w:tc>
        <w:tc>
          <w:tcPr>
            <w:tcW w:w="975" w:type="dxa"/>
            <w:tcBorders>
              <w:top w:val="nil"/>
              <w:left w:val="nil"/>
              <w:bottom w:val="single" w:sz="4" w:space="0" w:color="auto"/>
              <w:right w:val="single" w:sz="4" w:space="0" w:color="auto"/>
            </w:tcBorders>
            <w:shd w:val="clear" w:color="auto" w:fill="auto"/>
            <w:noWrap/>
            <w:vAlign w:val="bottom"/>
            <w:hideMark/>
          </w:tcPr>
          <w:p w14:paraId="6E48ED0D"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20,269</w:t>
            </w:r>
          </w:p>
        </w:tc>
        <w:tc>
          <w:tcPr>
            <w:tcW w:w="989" w:type="dxa"/>
            <w:tcBorders>
              <w:top w:val="nil"/>
              <w:left w:val="nil"/>
              <w:bottom w:val="single" w:sz="4" w:space="0" w:color="auto"/>
              <w:right w:val="single" w:sz="4" w:space="0" w:color="auto"/>
            </w:tcBorders>
            <w:shd w:val="clear" w:color="auto" w:fill="auto"/>
            <w:noWrap/>
            <w:vAlign w:val="bottom"/>
            <w:hideMark/>
          </w:tcPr>
          <w:p w14:paraId="7EBAF72B"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27,942</w:t>
            </w:r>
          </w:p>
        </w:tc>
        <w:tc>
          <w:tcPr>
            <w:tcW w:w="613" w:type="dxa"/>
            <w:tcBorders>
              <w:top w:val="nil"/>
              <w:left w:val="nil"/>
              <w:bottom w:val="single" w:sz="4" w:space="0" w:color="auto"/>
              <w:right w:val="single" w:sz="4" w:space="0" w:color="auto"/>
            </w:tcBorders>
            <w:shd w:val="clear" w:color="auto" w:fill="auto"/>
            <w:noWrap/>
            <w:vAlign w:val="bottom"/>
            <w:hideMark/>
          </w:tcPr>
          <w:p w14:paraId="65A918BE"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hideMark/>
          </w:tcPr>
          <w:p w14:paraId="23270F0F"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0.59</w:t>
            </w:r>
          </w:p>
        </w:tc>
        <w:tc>
          <w:tcPr>
            <w:tcW w:w="0" w:type="auto"/>
            <w:tcBorders>
              <w:top w:val="nil"/>
              <w:left w:val="nil"/>
              <w:bottom w:val="single" w:sz="4" w:space="0" w:color="auto"/>
              <w:right w:val="single" w:sz="4" w:space="0" w:color="auto"/>
            </w:tcBorders>
            <w:shd w:val="clear" w:color="auto" w:fill="auto"/>
            <w:noWrap/>
            <w:vAlign w:val="bottom"/>
            <w:hideMark/>
          </w:tcPr>
          <w:p w14:paraId="2C798AB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8.8</w:t>
            </w:r>
          </w:p>
        </w:tc>
        <w:tc>
          <w:tcPr>
            <w:tcW w:w="0" w:type="auto"/>
            <w:tcBorders>
              <w:top w:val="nil"/>
              <w:left w:val="nil"/>
              <w:bottom w:val="single" w:sz="4" w:space="0" w:color="auto"/>
              <w:right w:val="single" w:sz="4" w:space="0" w:color="auto"/>
            </w:tcBorders>
            <w:shd w:val="clear" w:color="auto" w:fill="auto"/>
            <w:noWrap/>
            <w:vAlign w:val="bottom"/>
            <w:hideMark/>
          </w:tcPr>
          <w:p w14:paraId="4DCB6745"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11.9</w:t>
            </w:r>
          </w:p>
        </w:tc>
        <w:tc>
          <w:tcPr>
            <w:tcW w:w="718" w:type="dxa"/>
            <w:tcBorders>
              <w:top w:val="nil"/>
              <w:left w:val="nil"/>
              <w:bottom w:val="single" w:sz="4" w:space="0" w:color="auto"/>
              <w:right w:val="single" w:sz="4" w:space="0" w:color="auto"/>
            </w:tcBorders>
            <w:shd w:val="clear" w:color="auto" w:fill="auto"/>
            <w:noWrap/>
            <w:vAlign w:val="bottom"/>
            <w:hideMark/>
          </w:tcPr>
          <w:p w14:paraId="0F45A546"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100.9</w:t>
            </w:r>
          </w:p>
        </w:tc>
        <w:tc>
          <w:tcPr>
            <w:tcW w:w="755" w:type="dxa"/>
            <w:tcBorders>
              <w:top w:val="nil"/>
              <w:left w:val="nil"/>
              <w:bottom w:val="single" w:sz="4" w:space="0" w:color="auto"/>
              <w:right w:val="single" w:sz="4" w:space="0" w:color="auto"/>
            </w:tcBorders>
            <w:shd w:val="clear" w:color="auto" w:fill="auto"/>
            <w:noWrap/>
            <w:vAlign w:val="bottom"/>
            <w:hideMark/>
          </w:tcPr>
          <w:p w14:paraId="7DE234C9"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101.1</w:t>
            </w:r>
          </w:p>
        </w:tc>
      </w:tr>
      <w:tr w:rsidR="003909BB" w:rsidRPr="003909BB" w14:paraId="6BB1E84A" w14:textId="77777777" w:rsidTr="003909BB">
        <w:trPr>
          <w:trHeight w:val="300"/>
          <w:jc w:val="center"/>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00D1B0A2"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26-Jul</w:t>
            </w:r>
          </w:p>
        </w:tc>
        <w:tc>
          <w:tcPr>
            <w:tcW w:w="1356" w:type="dxa"/>
            <w:tcBorders>
              <w:top w:val="nil"/>
              <w:left w:val="nil"/>
              <w:bottom w:val="single" w:sz="4" w:space="0" w:color="auto"/>
              <w:right w:val="single" w:sz="4" w:space="0" w:color="auto"/>
            </w:tcBorders>
            <w:shd w:val="clear" w:color="auto" w:fill="auto"/>
            <w:noWrap/>
            <w:vAlign w:val="bottom"/>
            <w:hideMark/>
          </w:tcPr>
          <w:p w14:paraId="0771D7F9" w14:textId="77777777" w:rsidR="003909BB" w:rsidRPr="005A4BB8" w:rsidRDefault="003909BB" w:rsidP="003909BB">
            <w:pPr>
              <w:keepNext/>
              <w:rPr>
                <w:rFonts w:cs="Calibri"/>
                <w:color w:val="000000"/>
                <w:sz w:val="20"/>
                <w:szCs w:val="20"/>
              </w:rPr>
            </w:pPr>
            <w:r w:rsidRPr="005A4BB8">
              <w:rPr>
                <w:rFonts w:cs="Calibri"/>
                <w:color w:val="000000"/>
                <w:sz w:val="20"/>
                <w:szCs w:val="20"/>
              </w:rPr>
              <w:t>3-7 p.m.</w:t>
            </w:r>
          </w:p>
        </w:tc>
        <w:tc>
          <w:tcPr>
            <w:tcW w:w="894" w:type="dxa"/>
            <w:tcBorders>
              <w:top w:val="nil"/>
              <w:left w:val="nil"/>
              <w:bottom w:val="single" w:sz="4" w:space="0" w:color="auto"/>
              <w:right w:val="single" w:sz="4" w:space="0" w:color="auto"/>
            </w:tcBorders>
            <w:shd w:val="clear" w:color="auto" w:fill="auto"/>
            <w:noWrap/>
            <w:vAlign w:val="bottom"/>
            <w:hideMark/>
          </w:tcPr>
          <w:p w14:paraId="357729E0"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28,088</w:t>
            </w:r>
          </w:p>
        </w:tc>
        <w:tc>
          <w:tcPr>
            <w:tcW w:w="975" w:type="dxa"/>
            <w:tcBorders>
              <w:top w:val="nil"/>
              <w:left w:val="nil"/>
              <w:bottom w:val="single" w:sz="4" w:space="0" w:color="auto"/>
              <w:right w:val="single" w:sz="4" w:space="0" w:color="auto"/>
            </w:tcBorders>
            <w:shd w:val="clear" w:color="auto" w:fill="auto"/>
            <w:noWrap/>
            <w:vAlign w:val="bottom"/>
            <w:hideMark/>
          </w:tcPr>
          <w:p w14:paraId="378E411E"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50,717</w:t>
            </w:r>
          </w:p>
        </w:tc>
        <w:tc>
          <w:tcPr>
            <w:tcW w:w="989" w:type="dxa"/>
            <w:tcBorders>
              <w:top w:val="nil"/>
              <w:left w:val="nil"/>
              <w:bottom w:val="single" w:sz="4" w:space="0" w:color="auto"/>
              <w:right w:val="single" w:sz="4" w:space="0" w:color="auto"/>
            </w:tcBorders>
            <w:shd w:val="clear" w:color="auto" w:fill="auto"/>
            <w:noWrap/>
            <w:vAlign w:val="bottom"/>
            <w:hideMark/>
          </w:tcPr>
          <w:p w14:paraId="6764E9AC"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73,740</w:t>
            </w:r>
          </w:p>
        </w:tc>
        <w:tc>
          <w:tcPr>
            <w:tcW w:w="613" w:type="dxa"/>
            <w:tcBorders>
              <w:top w:val="nil"/>
              <w:left w:val="nil"/>
              <w:bottom w:val="single" w:sz="4" w:space="0" w:color="auto"/>
              <w:right w:val="single" w:sz="4" w:space="0" w:color="auto"/>
            </w:tcBorders>
            <w:shd w:val="clear" w:color="auto" w:fill="auto"/>
            <w:noWrap/>
            <w:vAlign w:val="bottom"/>
            <w:hideMark/>
          </w:tcPr>
          <w:p w14:paraId="25655A28"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0.32</w:t>
            </w:r>
          </w:p>
        </w:tc>
        <w:tc>
          <w:tcPr>
            <w:tcW w:w="0" w:type="auto"/>
            <w:tcBorders>
              <w:top w:val="nil"/>
              <w:left w:val="nil"/>
              <w:bottom w:val="single" w:sz="4" w:space="0" w:color="auto"/>
              <w:right w:val="single" w:sz="4" w:space="0" w:color="auto"/>
            </w:tcBorders>
            <w:shd w:val="clear" w:color="auto" w:fill="auto"/>
            <w:noWrap/>
            <w:vAlign w:val="bottom"/>
            <w:hideMark/>
          </w:tcPr>
          <w:p w14:paraId="3C406EDF"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0.53</w:t>
            </w:r>
          </w:p>
        </w:tc>
        <w:tc>
          <w:tcPr>
            <w:tcW w:w="0" w:type="auto"/>
            <w:tcBorders>
              <w:top w:val="nil"/>
              <w:left w:val="nil"/>
              <w:bottom w:val="single" w:sz="4" w:space="0" w:color="auto"/>
              <w:right w:val="single" w:sz="4" w:space="0" w:color="auto"/>
            </w:tcBorders>
            <w:shd w:val="clear" w:color="auto" w:fill="auto"/>
            <w:noWrap/>
            <w:vAlign w:val="bottom"/>
            <w:hideMark/>
          </w:tcPr>
          <w:p w14:paraId="0EEA3FA6"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8.9</w:t>
            </w:r>
          </w:p>
        </w:tc>
        <w:tc>
          <w:tcPr>
            <w:tcW w:w="0" w:type="auto"/>
            <w:tcBorders>
              <w:top w:val="nil"/>
              <w:left w:val="nil"/>
              <w:bottom w:val="single" w:sz="4" w:space="0" w:color="auto"/>
              <w:right w:val="single" w:sz="4" w:space="0" w:color="auto"/>
            </w:tcBorders>
            <w:shd w:val="clear" w:color="auto" w:fill="auto"/>
            <w:noWrap/>
            <w:vAlign w:val="bottom"/>
            <w:hideMark/>
          </w:tcPr>
          <w:p w14:paraId="4B98869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14.8</w:t>
            </w:r>
          </w:p>
        </w:tc>
        <w:tc>
          <w:tcPr>
            <w:tcW w:w="718" w:type="dxa"/>
            <w:tcBorders>
              <w:top w:val="nil"/>
              <w:left w:val="nil"/>
              <w:bottom w:val="single" w:sz="4" w:space="0" w:color="auto"/>
              <w:right w:val="single" w:sz="4" w:space="0" w:color="auto"/>
            </w:tcBorders>
            <w:shd w:val="clear" w:color="auto" w:fill="auto"/>
            <w:noWrap/>
            <w:vAlign w:val="bottom"/>
            <w:hideMark/>
          </w:tcPr>
          <w:p w14:paraId="35702D0B"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90.7</w:t>
            </w:r>
          </w:p>
        </w:tc>
        <w:tc>
          <w:tcPr>
            <w:tcW w:w="755" w:type="dxa"/>
            <w:tcBorders>
              <w:top w:val="nil"/>
              <w:left w:val="nil"/>
              <w:bottom w:val="single" w:sz="4" w:space="0" w:color="auto"/>
              <w:right w:val="single" w:sz="4" w:space="0" w:color="auto"/>
            </w:tcBorders>
            <w:shd w:val="clear" w:color="auto" w:fill="auto"/>
            <w:noWrap/>
            <w:vAlign w:val="bottom"/>
            <w:hideMark/>
          </w:tcPr>
          <w:p w14:paraId="2B7CBED6"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97.9</w:t>
            </w:r>
          </w:p>
        </w:tc>
      </w:tr>
      <w:tr w:rsidR="003909BB" w:rsidRPr="003909BB" w14:paraId="77190F61" w14:textId="77777777" w:rsidTr="003909BB">
        <w:trPr>
          <w:trHeight w:val="300"/>
          <w:jc w:val="center"/>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232942D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27-Jul</w:t>
            </w:r>
          </w:p>
        </w:tc>
        <w:tc>
          <w:tcPr>
            <w:tcW w:w="1356" w:type="dxa"/>
            <w:tcBorders>
              <w:top w:val="nil"/>
              <w:left w:val="nil"/>
              <w:bottom w:val="single" w:sz="4" w:space="0" w:color="auto"/>
              <w:right w:val="single" w:sz="4" w:space="0" w:color="auto"/>
            </w:tcBorders>
            <w:shd w:val="clear" w:color="auto" w:fill="auto"/>
            <w:noWrap/>
            <w:vAlign w:val="bottom"/>
            <w:hideMark/>
          </w:tcPr>
          <w:p w14:paraId="00F5F193" w14:textId="77777777" w:rsidR="003909BB" w:rsidRPr="005A4BB8" w:rsidRDefault="003909BB" w:rsidP="003909BB">
            <w:pPr>
              <w:keepNext/>
              <w:rPr>
                <w:rFonts w:cs="Calibri"/>
                <w:color w:val="000000"/>
                <w:sz w:val="20"/>
                <w:szCs w:val="20"/>
              </w:rPr>
            </w:pPr>
            <w:r w:rsidRPr="005A4BB8">
              <w:rPr>
                <w:rFonts w:cs="Calibri"/>
                <w:color w:val="000000"/>
                <w:sz w:val="20"/>
                <w:szCs w:val="20"/>
              </w:rPr>
              <w:t>7-11:59 p.m.</w:t>
            </w:r>
          </w:p>
        </w:tc>
        <w:tc>
          <w:tcPr>
            <w:tcW w:w="894" w:type="dxa"/>
            <w:tcBorders>
              <w:top w:val="nil"/>
              <w:left w:val="nil"/>
              <w:bottom w:val="single" w:sz="4" w:space="0" w:color="auto"/>
              <w:right w:val="single" w:sz="4" w:space="0" w:color="auto"/>
            </w:tcBorders>
            <w:shd w:val="clear" w:color="auto" w:fill="auto"/>
            <w:noWrap/>
            <w:vAlign w:val="bottom"/>
            <w:hideMark/>
          </w:tcPr>
          <w:p w14:paraId="7641421B"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731</w:t>
            </w:r>
          </w:p>
        </w:tc>
        <w:tc>
          <w:tcPr>
            <w:tcW w:w="975" w:type="dxa"/>
            <w:tcBorders>
              <w:top w:val="nil"/>
              <w:left w:val="nil"/>
              <w:bottom w:val="single" w:sz="4" w:space="0" w:color="auto"/>
              <w:right w:val="single" w:sz="4" w:space="0" w:color="auto"/>
            </w:tcBorders>
            <w:shd w:val="clear" w:color="auto" w:fill="auto"/>
            <w:noWrap/>
            <w:vAlign w:val="bottom"/>
            <w:hideMark/>
          </w:tcPr>
          <w:p w14:paraId="4091FE5F"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4,519</w:t>
            </w:r>
          </w:p>
        </w:tc>
        <w:tc>
          <w:tcPr>
            <w:tcW w:w="989" w:type="dxa"/>
            <w:tcBorders>
              <w:top w:val="nil"/>
              <w:left w:val="nil"/>
              <w:bottom w:val="single" w:sz="4" w:space="0" w:color="auto"/>
              <w:right w:val="single" w:sz="4" w:space="0" w:color="auto"/>
            </w:tcBorders>
            <w:shd w:val="clear" w:color="auto" w:fill="auto"/>
            <w:noWrap/>
            <w:vAlign w:val="bottom"/>
            <w:hideMark/>
          </w:tcPr>
          <w:p w14:paraId="3BD84B91"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4,872</w:t>
            </w:r>
          </w:p>
        </w:tc>
        <w:tc>
          <w:tcPr>
            <w:tcW w:w="613" w:type="dxa"/>
            <w:tcBorders>
              <w:top w:val="nil"/>
              <w:left w:val="nil"/>
              <w:bottom w:val="single" w:sz="4" w:space="0" w:color="auto"/>
              <w:right w:val="single" w:sz="4" w:space="0" w:color="auto"/>
            </w:tcBorders>
            <w:shd w:val="clear" w:color="auto" w:fill="auto"/>
            <w:noWrap/>
            <w:vAlign w:val="bottom"/>
            <w:hideMark/>
          </w:tcPr>
          <w:p w14:paraId="73D7D755"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0.05</w:t>
            </w:r>
          </w:p>
        </w:tc>
        <w:tc>
          <w:tcPr>
            <w:tcW w:w="0" w:type="auto"/>
            <w:tcBorders>
              <w:top w:val="nil"/>
              <w:left w:val="nil"/>
              <w:bottom w:val="single" w:sz="4" w:space="0" w:color="auto"/>
              <w:right w:val="single" w:sz="4" w:space="0" w:color="auto"/>
            </w:tcBorders>
            <w:shd w:val="clear" w:color="auto" w:fill="auto"/>
            <w:noWrap/>
            <w:vAlign w:val="bottom"/>
            <w:hideMark/>
          </w:tcPr>
          <w:p w14:paraId="3A6CDA08"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0.40</w:t>
            </w:r>
          </w:p>
        </w:tc>
        <w:tc>
          <w:tcPr>
            <w:tcW w:w="0" w:type="auto"/>
            <w:tcBorders>
              <w:top w:val="nil"/>
              <w:left w:val="nil"/>
              <w:bottom w:val="single" w:sz="4" w:space="0" w:color="auto"/>
              <w:right w:val="single" w:sz="4" w:space="0" w:color="auto"/>
            </w:tcBorders>
            <w:shd w:val="clear" w:color="auto" w:fill="auto"/>
            <w:noWrap/>
            <w:vAlign w:val="bottom"/>
            <w:hideMark/>
          </w:tcPr>
          <w:p w14:paraId="7CF52C0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64A6576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0.3</w:t>
            </w:r>
          </w:p>
        </w:tc>
        <w:tc>
          <w:tcPr>
            <w:tcW w:w="718" w:type="dxa"/>
            <w:tcBorders>
              <w:top w:val="nil"/>
              <w:left w:val="nil"/>
              <w:bottom w:val="single" w:sz="4" w:space="0" w:color="auto"/>
              <w:right w:val="single" w:sz="4" w:space="0" w:color="auto"/>
            </w:tcBorders>
            <w:shd w:val="clear" w:color="auto" w:fill="auto"/>
            <w:noWrap/>
            <w:vAlign w:val="bottom"/>
            <w:hideMark/>
          </w:tcPr>
          <w:p w14:paraId="5C736B2C"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79.1</w:t>
            </w:r>
          </w:p>
        </w:tc>
        <w:tc>
          <w:tcPr>
            <w:tcW w:w="755" w:type="dxa"/>
            <w:tcBorders>
              <w:top w:val="nil"/>
              <w:left w:val="nil"/>
              <w:bottom w:val="single" w:sz="4" w:space="0" w:color="auto"/>
              <w:right w:val="single" w:sz="4" w:space="0" w:color="auto"/>
            </w:tcBorders>
            <w:shd w:val="clear" w:color="auto" w:fill="auto"/>
            <w:noWrap/>
            <w:vAlign w:val="bottom"/>
            <w:hideMark/>
          </w:tcPr>
          <w:p w14:paraId="52E35AA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95.5</w:t>
            </w:r>
          </w:p>
        </w:tc>
      </w:tr>
      <w:tr w:rsidR="003909BB" w:rsidRPr="003909BB" w14:paraId="7109E6F6" w14:textId="77777777" w:rsidTr="003909BB">
        <w:trPr>
          <w:trHeight w:val="300"/>
          <w:jc w:val="center"/>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176FF939"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8-Aug</w:t>
            </w:r>
          </w:p>
        </w:tc>
        <w:tc>
          <w:tcPr>
            <w:tcW w:w="1356" w:type="dxa"/>
            <w:tcBorders>
              <w:top w:val="nil"/>
              <w:left w:val="nil"/>
              <w:bottom w:val="single" w:sz="4" w:space="0" w:color="auto"/>
              <w:right w:val="single" w:sz="4" w:space="0" w:color="auto"/>
            </w:tcBorders>
            <w:shd w:val="clear" w:color="auto" w:fill="auto"/>
            <w:noWrap/>
            <w:vAlign w:val="bottom"/>
            <w:hideMark/>
          </w:tcPr>
          <w:p w14:paraId="3DB8B249" w14:textId="77777777" w:rsidR="003909BB" w:rsidRPr="005A4BB8" w:rsidRDefault="003909BB" w:rsidP="003909BB">
            <w:pPr>
              <w:keepNext/>
              <w:rPr>
                <w:rFonts w:cs="Calibri"/>
                <w:color w:val="000000"/>
                <w:sz w:val="20"/>
                <w:szCs w:val="20"/>
              </w:rPr>
            </w:pPr>
            <w:r w:rsidRPr="005A4BB8">
              <w:rPr>
                <w:rFonts w:cs="Calibri"/>
                <w:color w:val="000000"/>
                <w:sz w:val="20"/>
                <w:szCs w:val="20"/>
              </w:rPr>
              <w:t>4-7 p.m.</w:t>
            </w:r>
          </w:p>
        </w:tc>
        <w:tc>
          <w:tcPr>
            <w:tcW w:w="894" w:type="dxa"/>
            <w:tcBorders>
              <w:top w:val="nil"/>
              <w:left w:val="nil"/>
              <w:bottom w:val="single" w:sz="4" w:space="0" w:color="auto"/>
              <w:right w:val="single" w:sz="4" w:space="0" w:color="auto"/>
            </w:tcBorders>
            <w:shd w:val="clear" w:color="auto" w:fill="auto"/>
            <w:noWrap/>
            <w:vAlign w:val="bottom"/>
            <w:hideMark/>
          </w:tcPr>
          <w:p w14:paraId="719C654C"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48,210</w:t>
            </w:r>
          </w:p>
        </w:tc>
        <w:tc>
          <w:tcPr>
            <w:tcW w:w="975" w:type="dxa"/>
            <w:tcBorders>
              <w:top w:val="nil"/>
              <w:left w:val="nil"/>
              <w:bottom w:val="single" w:sz="4" w:space="0" w:color="auto"/>
              <w:right w:val="single" w:sz="4" w:space="0" w:color="auto"/>
            </w:tcBorders>
            <w:shd w:val="clear" w:color="auto" w:fill="auto"/>
            <w:noWrap/>
            <w:vAlign w:val="bottom"/>
            <w:hideMark/>
          </w:tcPr>
          <w:p w14:paraId="17E6F91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75,648</w:t>
            </w:r>
          </w:p>
        </w:tc>
        <w:tc>
          <w:tcPr>
            <w:tcW w:w="989" w:type="dxa"/>
            <w:tcBorders>
              <w:top w:val="nil"/>
              <w:left w:val="nil"/>
              <w:bottom w:val="single" w:sz="4" w:space="0" w:color="auto"/>
              <w:right w:val="single" w:sz="4" w:space="0" w:color="auto"/>
            </w:tcBorders>
            <w:shd w:val="clear" w:color="auto" w:fill="auto"/>
            <w:noWrap/>
            <w:vAlign w:val="bottom"/>
            <w:hideMark/>
          </w:tcPr>
          <w:p w14:paraId="12EEB12A"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90,457</w:t>
            </w:r>
          </w:p>
        </w:tc>
        <w:tc>
          <w:tcPr>
            <w:tcW w:w="613" w:type="dxa"/>
            <w:tcBorders>
              <w:top w:val="nil"/>
              <w:left w:val="nil"/>
              <w:bottom w:val="single" w:sz="4" w:space="0" w:color="auto"/>
              <w:right w:val="single" w:sz="4" w:space="0" w:color="auto"/>
            </w:tcBorders>
            <w:shd w:val="clear" w:color="auto" w:fill="auto"/>
            <w:noWrap/>
            <w:vAlign w:val="bottom"/>
            <w:hideMark/>
          </w:tcPr>
          <w:p w14:paraId="6A0F4882"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0.29</w:t>
            </w:r>
          </w:p>
        </w:tc>
        <w:tc>
          <w:tcPr>
            <w:tcW w:w="0" w:type="auto"/>
            <w:tcBorders>
              <w:top w:val="nil"/>
              <w:left w:val="nil"/>
              <w:bottom w:val="single" w:sz="4" w:space="0" w:color="auto"/>
              <w:right w:val="single" w:sz="4" w:space="0" w:color="auto"/>
            </w:tcBorders>
            <w:shd w:val="clear" w:color="auto" w:fill="auto"/>
            <w:noWrap/>
            <w:vAlign w:val="bottom"/>
            <w:hideMark/>
          </w:tcPr>
          <w:p w14:paraId="675DA28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0.48</w:t>
            </w:r>
          </w:p>
        </w:tc>
        <w:tc>
          <w:tcPr>
            <w:tcW w:w="0" w:type="auto"/>
            <w:tcBorders>
              <w:top w:val="nil"/>
              <w:left w:val="nil"/>
              <w:bottom w:val="single" w:sz="4" w:space="0" w:color="auto"/>
              <w:right w:val="single" w:sz="4" w:space="0" w:color="auto"/>
            </w:tcBorders>
            <w:shd w:val="clear" w:color="auto" w:fill="auto"/>
            <w:noWrap/>
            <w:vAlign w:val="bottom"/>
            <w:hideMark/>
          </w:tcPr>
          <w:p w14:paraId="0E310630"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14.0</w:t>
            </w:r>
          </w:p>
        </w:tc>
        <w:tc>
          <w:tcPr>
            <w:tcW w:w="0" w:type="auto"/>
            <w:tcBorders>
              <w:top w:val="nil"/>
              <w:left w:val="nil"/>
              <w:bottom w:val="single" w:sz="4" w:space="0" w:color="auto"/>
              <w:right w:val="single" w:sz="4" w:space="0" w:color="auto"/>
            </w:tcBorders>
            <w:shd w:val="clear" w:color="auto" w:fill="auto"/>
            <w:noWrap/>
            <w:vAlign w:val="bottom"/>
            <w:hideMark/>
          </w:tcPr>
          <w:p w14:paraId="09C71D8F"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23.0</w:t>
            </w:r>
          </w:p>
        </w:tc>
        <w:tc>
          <w:tcPr>
            <w:tcW w:w="718" w:type="dxa"/>
            <w:tcBorders>
              <w:top w:val="nil"/>
              <w:left w:val="nil"/>
              <w:bottom w:val="single" w:sz="4" w:space="0" w:color="auto"/>
              <w:right w:val="single" w:sz="4" w:space="0" w:color="auto"/>
            </w:tcBorders>
            <w:shd w:val="clear" w:color="auto" w:fill="auto"/>
            <w:noWrap/>
            <w:vAlign w:val="bottom"/>
            <w:hideMark/>
          </w:tcPr>
          <w:p w14:paraId="36C59A51"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95.2</w:t>
            </w:r>
          </w:p>
        </w:tc>
        <w:tc>
          <w:tcPr>
            <w:tcW w:w="755" w:type="dxa"/>
            <w:tcBorders>
              <w:top w:val="nil"/>
              <w:left w:val="nil"/>
              <w:bottom w:val="single" w:sz="4" w:space="0" w:color="auto"/>
              <w:right w:val="single" w:sz="4" w:space="0" w:color="auto"/>
            </w:tcBorders>
            <w:shd w:val="clear" w:color="auto" w:fill="auto"/>
            <w:noWrap/>
            <w:vAlign w:val="bottom"/>
            <w:hideMark/>
          </w:tcPr>
          <w:p w14:paraId="55BDE51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97.6</w:t>
            </w:r>
          </w:p>
        </w:tc>
      </w:tr>
      <w:tr w:rsidR="003909BB" w:rsidRPr="003909BB" w14:paraId="3C7BB1D6" w14:textId="77777777" w:rsidTr="003909BB">
        <w:trPr>
          <w:trHeight w:val="300"/>
          <w:jc w:val="center"/>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23EE5C2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9-Aug</w:t>
            </w:r>
          </w:p>
        </w:tc>
        <w:tc>
          <w:tcPr>
            <w:tcW w:w="1356" w:type="dxa"/>
            <w:tcBorders>
              <w:top w:val="nil"/>
              <w:left w:val="nil"/>
              <w:bottom w:val="single" w:sz="4" w:space="0" w:color="auto"/>
              <w:right w:val="single" w:sz="4" w:space="0" w:color="auto"/>
            </w:tcBorders>
            <w:shd w:val="clear" w:color="auto" w:fill="auto"/>
            <w:noWrap/>
            <w:vAlign w:val="bottom"/>
            <w:hideMark/>
          </w:tcPr>
          <w:p w14:paraId="0A516C6E" w14:textId="77777777" w:rsidR="003909BB" w:rsidRPr="005A4BB8" w:rsidRDefault="003909BB" w:rsidP="003909BB">
            <w:pPr>
              <w:keepNext/>
              <w:rPr>
                <w:rFonts w:cs="Calibri"/>
                <w:color w:val="000000"/>
                <w:sz w:val="20"/>
                <w:szCs w:val="20"/>
              </w:rPr>
            </w:pPr>
            <w:r w:rsidRPr="005A4BB8">
              <w:rPr>
                <w:rFonts w:cs="Calibri"/>
                <w:color w:val="000000"/>
                <w:sz w:val="20"/>
                <w:szCs w:val="20"/>
              </w:rPr>
              <w:t>4-7 p.m.</w:t>
            </w:r>
          </w:p>
        </w:tc>
        <w:tc>
          <w:tcPr>
            <w:tcW w:w="894" w:type="dxa"/>
            <w:tcBorders>
              <w:top w:val="nil"/>
              <w:left w:val="nil"/>
              <w:bottom w:val="single" w:sz="4" w:space="0" w:color="auto"/>
              <w:right w:val="single" w:sz="4" w:space="0" w:color="auto"/>
            </w:tcBorders>
            <w:shd w:val="clear" w:color="auto" w:fill="auto"/>
            <w:noWrap/>
            <w:vAlign w:val="bottom"/>
            <w:hideMark/>
          </w:tcPr>
          <w:p w14:paraId="70B976E6"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64,661</w:t>
            </w:r>
          </w:p>
        </w:tc>
        <w:tc>
          <w:tcPr>
            <w:tcW w:w="975" w:type="dxa"/>
            <w:tcBorders>
              <w:top w:val="nil"/>
              <w:left w:val="nil"/>
              <w:bottom w:val="single" w:sz="4" w:space="0" w:color="auto"/>
              <w:right w:val="single" w:sz="4" w:space="0" w:color="auto"/>
            </w:tcBorders>
            <w:shd w:val="clear" w:color="auto" w:fill="auto"/>
            <w:noWrap/>
            <w:vAlign w:val="bottom"/>
            <w:hideMark/>
          </w:tcPr>
          <w:p w14:paraId="1613459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92,090</w:t>
            </w:r>
          </w:p>
        </w:tc>
        <w:tc>
          <w:tcPr>
            <w:tcW w:w="989" w:type="dxa"/>
            <w:tcBorders>
              <w:top w:val="nil"/>
              <w:left w:val="nil"/>
              <w:bottom w:val="single" w:sz="4" w:space="0" w:color="auto"/>
              <w:right w:val="single" w:sz="4" w:space="0" w:color="auto"/>
            </w:tcBorders>
            <w:shd w:val="clear" w:color="auto" w:fill="auto"/>
            <w:noWrap/>
            <w:vAlign w:val="bottom"/>
            <w:hideMark/>
          </w:tcPr>
          <w:p w14:paraId="7C60E128"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109,502</w:t>
            </w:r>
          </w:p>
        </w:tc>
        <w:tc>
          <w:tcPr>
            <w:tcW w:w="613" w:type="dxa"/>
            <w:tcBorders>
              <w:top w:val="nil"/>
              <w:left w:val="nil"/>
              <w:bottom w:val="single" w:sz="4" w:space="0" w:color="auto"/>
              <w:right w:val="single" w:sz="4" w:space="0" w:color="auto"/>
            </w:tcBorders>
            <w:shd w:val="clear" w:color="auto" w:fill="auto"/>
            <w:noWrap/>
            <w:vAlign w:val="bottom"/>
            <w:hideMark/>
          </w:tcPr>
          <w:p w14:paraId="2BAAA3AF"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0.38</w:t>
            </w:r>
          </w:p>
        </w:tc>
        <w:tc>
          <w:tcPr>
            <w:tcW w:w="0" w:type="auto"/>
            <w:tcBorders>
              <w:top w:val="nil"/>
              <w:left w:val="nil"/>
              <w:bottom w:val="single" w:sz="4" w:space="0" w:color="auto"/>
              <w:right w:val="single" w:sz="4" w:space="0" w:color="auto"/>
            </w:tcBorders>
            <w:shd w:val="clear" w:color="auto" w:fill="auto"/>
            <w:noWrap/>
            <w:vAlign w:val="bottom"/>
            <w:hideMark/>
          </w:tcPr>
          <w:p w14:paraId="4C5636A2"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0.48</w:t>
            </w:r>
          </w:p>
        </w:tc>
        <w:tc>
          <w:tcPr>
            <w:tcW w:w="0" w:type="auto"/>
            <w:tcBorders>
              <w:top w:val="nil"/>
              <w:left w:val="nil"/>
              <w:bottom w:val="single" w:sz="4" w:space="0" w:color="auto"/>
              <w:right w:val="single" w:sz="4" w:space="0" w:color="auto"/>
            </w:tcBorders>
            <w:shd w:val="clear" w:color="auto" w:fill="auto"/>
            <w:noWrap/>
            <w:vAlign w:val="bottom"/>
            <w:hideMark/>
          </w:tcPr>
          <w:p w14:paraId="227AB85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24.3</w:t>
            </w:r>
          </w:p>
        </w:tc>
        <w:tc>
          <w:tcPr>
            <w:tcW w:w="0" w:type="auto"/>
            <w:tcBorders>
              <w:top w:val="nil"/>
              <w:left w:val="nil"/>
              <w:bottom w:val="single" w:sz="4" w:space="0" w:color="auto"/>
              <w:right w:val="single" w:sz="4" w:space="0" w:color="auto"/>
            </w:tcBorders>
            <w:shd w:val="clear" w:color="auto" w:fill="auto"/>
            <w:noWrap/>
            <w:vAlign w:val="bottom"/>
            <w:hideMark/>
          </w:tcPr>
          <w:p w14:paraId="58FE08F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31.2</w:t>
            </w:r>
          </w:p>
        </w:tc>
        <w:tc>
          <w:tcPr>
            <w:tcW w:w="718" w:type="dxa"/>
            <w:tcBorders>
              <w:top w:val="nil"/>
              <w:left w:val="nil"/>
              <w:bottom w:val="single" w:sz="4" w:space="0" w:color="auto"/>
              <w:right w:val="single" w:sz="4" w:space="0" w:color="auto"/>
            </w:tcBorders>
            <w:shd w:val="clear" w:color="auto" w:fill="auto"/>
            <w:noWrap/>
            <w:vAlign w:val="bottom"/>
            <w:hideMark/>
          </w:tcPr>
          <w:p w14:paraId="24AACA24"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99.5</w:t>
            </w:r>
          </w:p>
        </w:tc>
        <w:tc>
          <w:tcPr>
            <w:tcW w:w="755" w:type="dxa"/>
            <w:tcBorders>
              <w:top w:val="nil"/>
              <w:left w:val="nil"/>
              <w:bottom w:val="single" w:sz="4" w:space="0" w:color="auto"/>
              <w:right w:val="single" w:sz="4" w:space="0" w:color="auto"/>
            </w:tcBorders>
            <w:shd w:val="clear" w:color="auto" w:fill="auto"/>
            <w:noWrap/>
            <w:vAlign w:val="bottom"/>
            <w:hideMark/>
          </w:tcPr>
          <w:p w14:paraId="47199BD2"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97.7</w:t>
            </w:r>
          </w:p>
        </w:tc>
      </w:tr>
      <w:tr w:rsidR="003909BB" w:rsidRPr="003909BB" w14:paraId="03C3E58E" w14:textId="77777777" w:rsidTr="003909BB">
        <w:trPr>
          <w:trHeight w:val="300"/>
          <w:jc w:val="center"/>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706243D1"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10-Aug</w:t>
            </w:r>
          </w:p>
        </w:tc>
        <w:tc>
          <w:tcPr>
            <w:tcW w:w="1356" w:type="dxa"/>
            <w:tcBorders>
              <w:top w:val="nil"/>
              <w:left w:val="nil"/>
              <w:bottom w:val="single" w:sz="4" w:space="0" w:color="auto"/>
              <w:right w:val="single" w:sz="4" w:space="0" w:color="auto"/>
            </w:tcBorders>
            <w:shd w:val="clear" w:color="auto" w:fill="auto"/>
            <w:noWrap/>
            <w:vAlign w:val="bottom"/>
            <w:hideMark/>
          </w:tcPr>
          <w:p w14:paraId="04D0AA68" w14:textId="77777777" w:rsidR="003909BB" w:rsidRPr="005A4BB8" w:rsidRDefault="003909BB" w:rsidP="003909BB">
            <w:pPr>
              <w:keepNext/>
              <w:rPr>
                <w:rFonts w:cs="Calibri"/>
                <w:color w:val="000000"/>
                <w:sz w:val="20"/>
                <w:szCs w:val="20"/>
              </w:rPr>
            </w:pPr>
            <w:r w:rsidRPr="005A4BB8">
              <w:rPr>
                <w:rFonts w:cs="Calibri"/>
                <w:color w:val="000000"/>
                <w:sz w:val="20"/>
                <w:szCs w:val="20"/>
              </w:rPr>
              <w:t>4-7 p.m.</w:t>
            </w:r>
          </w:p>
        </w:tc>
        <w:tc>
          <w:tcPr>
            <w:tcW w:w="894" w:type="dxa"/>
            <w:tcBorders>
              <w:top w:val="nil"/>
              <w:left w:val="nil"/>
              <w:bottom w:val="single" w:sz="4" w:space="0" w:color="auto"/>
              <w:right w:val="single" w:sz="4" w:space="0" w:color="auto"/>
            </w:tcBorders>
            <w:shd w:val="clear" w:color="auto" w:fill="auto"/>
            <w:noWrap/>
            <w:vAlign w:val="bottom"/>
            <w:hideMark/>
          </w:tcPr>
          <w:p w14:paraId="54260676"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19,559</w:t>
            </w:r>
          </w:p>
        </w:tc>
        <w:tc>
          <w:tcPr>
            <w:tcW w:w="975" w:type="dxa"/>
            <w:tcBorders>
              <w:top w:val="nil"/>
              <w:left w:val="nil"/>
              <w:bottom w:val="single" w:sz="4" w:space="0" w:color="auto"/>
              <w:right w:val="single" w:sz="4" w:space="0" w:color="auto"/>
            </w:tcBorders>
            <w:shd w:val="clear" w:color="auto" w:fill="auto"/>
            <w:noWrap/>
            <w:vAlign w:val="bottom"/>
            <w:hideMark/>
          </w:tcPr>
          <w:p w14:paraId="51D2BCED"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34,645</w:t>
            </w:r>
          </w:p>
        </w:tc>
        <w:tc>
          <w:tcPr>
            <w:tcW w:w="989" w:type="dxa"/>
            <w:tcBorders>
              <w:top w:val="nil"/>
              <w:left w:val="nil"/>
              <w:bottom w:val="single" w:sz="4" w:space="0" w:color="auto"/>
              <w:right w:val="single" w:sz="4" w:space="0" w:color="auto"/>
            </w:tcBorders>
            <w:shd w:val="clear" w:color="auto" w:fill="auto"/>
            <w:noWrap/>
            <w:vAlign w:val="bottom"/>
            <w:hideMark/>
          </w:tcPr>
          <w:p w14:paraId="1CA6A4B2"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44,477</w:t>
            </w:r>
          </w:p>
        </w:tc>
        <w:tc>
          <w:tcPr>
            <w:tcW w:w="613" w:type="dxa"/>
            <w:tcBorders>
              <w:top w:val="nil"/>
              <w:left w:val="nil"/>
              <w:bottom w:val="single" w:sz="4" w:space="0" w:color="auto"/>
              <w:right w:val="single" w:sz="4" w:space="0" w:color="auto"/>
            </w:tcBorders>
            <w:shd w:val="clear" w:color="auto" w:fill="auto"/>
            <w:noWrap/>
            <w:vAlign w:val="bottom"/>
            <w:hideMark/>
          </w:tcPr>
          <w:p w14:paraId="4008F6EA"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0.26</w:t>
            </w:r>
          </w:p>
        </w:tc>
        <w:tc>
          <w:tcPr>
            <w:tcW w:w="0" w:type="auto"/>
            <w:tcBorders>
              <w:top w:val="nil"/>
              <w:left w:val="nil"/>
              <w:bottom w:val="single" w:sz="4" w:space="0" w:color="auto"/>
              <w:right w:val="single" w:sz="4" w:space="0" w:color="auto"/>
            </w:tcBorders>
            <w:shd w:val="clear" w:color="auto" w:fill="auto"/>
            <w:noWrap/>
            <w:vAlign w:val="bottom"/>
            <w:hideMark/>
          </w:tcPr>
          <w:p w14:paraId="32F535F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0.53</w:t>
            </w:r>
          </w:p>
        </w:tc>
        <w:tc>
          <w:tcPr>
            <w:tcW w:w="0" w:type="auto"/>
            <w:tcBorders>
              <w:top w:val="nil"/>
              <w:left w:val="nil"/>
              <w:bottom w:val="single" w:sz="4" w:space="0" w:color="auto"/>
              <w:right w:val="single" w:sz="4" w:space="0" w:color="auto"/>
            </w:tcBorders>
            <w:shd w:val="clear" w:color="auto" w:fill="auto"/>
            <w:noWrap/>
            <w:vAlign w:val="bottom"/>
            <w:hideMark/>
          </w:tcPr>
          <w:p w14:paraId="04241F19"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bottom"/>
            <w:hideMark/>
          </w:tcPr>
          <w:p w14:paraId="78C9B7CD"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10.4</w:t>
            </w:r>
          </w:p>
        </w:tc>
        <w:tc>
          <w:tcPr>
            <w:tcW w:w="718" w:type="dxa"/>
            <w:tcBorders>
              <w:top w:val="nil"/>
              <w:left w:val="nil"/>
              <w:bottom w:val="single" w:sz="4" w:space="0" w:color="auto"/>
              <w:right w:val="single" w:sz="4" w:space="0" w:color="auto"/>
            </w:tcBorders>
            <w:shd w:val="clear" w:color="auto" w:fill="auto"/>
            <w:noWrap/>
            <w:vAlign w:val="bottom"/>
            <w:hideMark/>
          </w:tcPr>
          <w:p w14:paraId="6D9D3CBD"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101.6</w:t>
            </w:r>
          </w:p>
        </w:tc>
        <w:tc>
          <w:tcPr>
            <w:tcW w:w="755" w:type="dxa"/>
            <w:tcBorders>
              <w:top w:val="nil"/>
              <w:left w:val="nil"/>
              <w:bottom w:val="single" w:sz="4" w:space="0" w:color="auto"/>
              <w:right w:val="single" w:sz="4" w:space="0" w:color="auto"/>
            </w:tcBorders>
            <w:shd w:val="clear" w:color="auto" w:fill="auto"/>
            <w:noWrap/>
            <w:vAlign w:val="bottom"/>
            <w:hideMark/>
          </w:tcPr>
          <w:p w14:paraId="443015DF"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101.5</w:t>
            </w:r>
          </w:p>
        </w:tc>
      </w:tr>
      <w:tr w:rsidR="003909BB" w:rsidRPr="003909BB" w14:paraId="5E4E36C7" w14:textId="77777777" w:rsidTr="003909BB">
        <w:trPr>
          <w:trHeight w:val="300"/>
          <w:jc w:val="center"/>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0D4A2E6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26-Sep</w:t>
            </w:r>
          </w:p>
        </w:tc>
        <w:tc>
          <w:tcPr>
            <w:tcW w:w="1356" w:type="dxa"/>
            <w:tcBorders>
              <w:top w:val="nil"/>
              <w:left w:val="nil"/>
              <w:bottom w:val="single" w:sz="4" w:space="0" w:color="auto"/>
              <w:right w:val="single" w:sz="4" w:space="0" w:color="auto"/>
            </w:tcBorders>
            <w:shd w:val="clear" w:color="auto" w:fill="auto"/>
            <w:noWrap/>
            <w:vAlign w:val="bottom"/>
            <w:hideMark/>
          </w:tcPr>
          <w:p w14:paraId="71E24F79" w14:textId="77777777" w:rsidR="003909BB" w:rsidRPr="005A4BB8" w:rsidRDefault="003909BB" w:rsidP="003909BB">
            <w:pPr>
              <w:keepNext/>
              <w:rPr>
                <w:rFonts w:cs="Calibri"/>
                <w:color w:val="000000"/>
                <w:sz w:val="20"/>
                <w:szCs w:val="20"/>
              </w:rPr>
            </w:pPr>
            <w:r w:rsidRPr="005A4BB8">
              <w:rPr>
                <w:rFonts w:cs="Calibri"/>
                <w:color w:val="000000"/>
                <w:sz w:val="20"/>
                <w:szCs w:val="20"/>
              </w:rPr>
              <w:t>4-7 p.m.</w:t>
            </w:r>
          </w:p>
        </w:tc>
        <w:tc>
          <w:tcPr>
            <w:tcW w:w="894" w:type="dxa"/>
            <w:tcBorders>
              <w:top w:val="nil"/>
              <w:left w:val="nil"/>
              <w:bottom w:val="single" w:sz="4" w:space="0" w:color="auto"/>
              <w:right w:val="single" w:sz="4" w:space="0" w:color="auto"/>
            </w:tcBorders>
            <w:shd w:val="clear" w:color="auto" w:fill="auto"/>
            <w:noWrap/>
            <w:vAlign w:val="bottom"/>
            <w:hideMark/>
          </w:tcPr>
          <w:p w14:paraId="120FC80D"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719</w:t>
            </w:r>
          </w:p>
        </w:tc>
        <w:tc>
          <w:tcPr>
            <w:tcW w:w="975" w:type="dxa"/>
            <w:tcBorders>
              <w:top w:val="nil"/>
              <w:left w:val="nil"/>
              <w:bottom w:val="single" w:sz="4" w:space="0" w:color="auto"/>
              <w:right w:val="single" w:sz="4" w:space="0" w:color="auto"/>
            </w:tcBorders>
            <w:shd w:val="clear" w:color="auto" w:fill="auto"/>
            <w:noWrap/>
            <w:vAlign w:val="bottom"/>
            <w:hideMark/>
          </w:tcPr>
          <w:p w14:paraId="027A4E34"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4,468</w:t>
            </w:r>
          </w:p>
        </w:tc>
        <w:tc>
          <w:tcPr>
            <w:tcW w:w="989" w:type="dxa"/>
            <w:tcBorders>
              <w:top w:val="nil"/>
              <w:left w:val="nil"/>
              <w:bottom w:val="single" w:sz="4" w:space="0" w:color="auto"/>
              <w:right w:val="single" w:sz="4" w:space="0" w:color="auto"/>
            </w:tcBorders>
            <w:shd w:val="clear" w:color="auto" w:fill="auto"/>
            <w:noWrap/>
            <w:vAlign w:val="bottom"/>
            <w:hideMark/>
          </w:tcPr>
          <w:p w14:paraId="2916CC3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4,872</w:t>
            </w:r>
          </w:p>
        </w:tc>
        <w:tc>
          <w:tcPr>
            <w:tcW w:w="613" w:type="dxa"/>
            <w:tcBorders>
              <w:top w:val="nil"/>
              <w:left w:val="nil"/>
              <w:bottom w:val="single" w:sz="4" w:space="0" w:color="auto"/>
              <w:right w:val="single" w:sz="4" w:space="0" w:color="auto"/>
            </w:tcBorders>
            <w:shd w:val="clear" w:color="auto" w:fill="auto"/>
            <w:noWrap/>
            <w:vAlign w:val="bottom"/>
            <w:hideMark/>
          </w:tcPr>
          <w:p w14:paraId="6AA499EB"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0.11</w:t>
            </w:r>
          </w:p>
        </w:tc>
        <w:tc>
          <w:tcPr>
            <w:tcW w:w="0" w:type="auto"/>
            <w:tcBorders>
              <w:top w:val="nil"/>
              <w:left w:val="nil"/>
              <w:bottom w:val="single" w:sz="4" w:space="0" w:color="auto"/>
              <w:right w:val="single" w:sz="4" w:space="0" w:color="auto"/>
            </w:tcBorders>
            <w:shd w:val="clear" w:color="auto" w:fill="auto"/>
            <w:noWrap/>
            <w:vAlign w:val="bottom"/>
            <w:hideMark/>
          </w:tcPr>
          <w:p w14:paraId="47B1B199"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0.35</w:t>
            </w:r>
          </w:p>
        </w:tc>
        <w:tc>
          <w:tcPr>
            <w:tcW w:w="0" w:type="auto"/>
            <w:tcBorders>
              <w:top w:val="nil"/>
              <w:left w:val="nil"/>
              <w:bottom w:val="single" w:sz="4" w:space="0" w:color="auto"/>
              <w:right w:val="single" w:sz="4" w:space="0" w:color="auto"/>
            </w:tcBorders>
            <w:shd w:val="clear" w:color="auto" w:fill="auto"/>
            <w:noWrap/>
            <w:vAlign w:val="bottom"/>
            <w:hideMark/>
          </w:tcPr>
          <w:p w14:paraId="06F723A3"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521ECAA7"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0.3</w:t>
            </w:r>
          </w:p>
        </w:tc>
        <w:tc>
          <w:tcPr>
            <w:tcW w:w="718" w:type="dxa"/>
            <w:tcBorders>
              <w:top w:val="nil"/>
              <w:left w:val="nil"/>
              <w:bottom w:val="single" w:sz="4" w:space="0" w:color="auto"/>
              <w:right w:val="single" w:sz="4" w:space="0" w:color="auto"/>
            </w:tcBorders>
            <w:shd w:val="clear" w:color="auto" w:fill="auto"/>
            <w:noWrap/>
            <w:vAlign w:val="bottom"/>
            <w:hideMark/>
          </w:tcPr>
          <w:p w14:paraId="0251497B"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94.1</w:t>
            </w:r>
          </w:p>
        </w:tc>
        <w:tc>
          <w:tcPr>
            <w:tcW w:w="755" w:type="dxa"/>
            <w:tcBorders>
              <w:top w:val="nil"/>
              <w:left w:val="nil"/>
              <w:bottom w:val="single" w:sz="4" w:space="0" w:color="auto"/>
              <w:right w:val="single" w:sz="4" w:space="0" w:color="auto"/>
            </w:tcBorders>
            <w:shd w:val="clear" w:color="auto" w:fill="auto"/>
            <w:noWrap/>
            <w:vAlign w:val="bottom"/>
            <w:hideMark/>
          </w:tcPr>
          <w:p w14:paraId="037C9AE0" w14:textId="77777777" w:rsidR="003909BB" w:rsidRPr="005A4BB8" w:rsidRDefault="003909BB" w:rsidP="003909BB">
            <w:pPr>
              <w:keepNext/>
              <w:jc w:val="right"/>
              <w:rPr>
                <w:rFonts w:cs="Calibri"/>
                <w:color w:val="000000"/>
                <w:sz w:val="20"/>
                <w:szCs w:val="20"/>
              </w:rPr>
            </w:pPr>
            <w:r w:rsidRPr="005A4BB8">
              <w:rPr>
                <w:rFonts w:cs="Calibri"/>
                <w:color w:val="000000"/>
                <w:sz w:val="20"/>
                <w:szCs w:val="20"/>
              </w:rPr>
              <w:t>93.5</w:t>
            </w:r>
          </w:p>
        </w:tc>
      </w:tr>
    </w:tbl>
    <w:p w14:paraId="5C29C53F" w14:textId="1B3DE72E" w:rsidR="008D4A3E" w:rsidRDefault="008D4A3E" w:rsidP="00EC1D16">
      <w:pPr>
        <w:tabs>
          <w:tab w:val="left" w:pos="1290"/>
        </w:tabs>
      </w:pPr>
    </w:p>
    <w:p w14:paraId="264344D3" w14:textId="2D7DF6BF" w:rsidR="00DB7E33" w:rsidRDefault="00DB7E33" w:rsidP="004C54C7">
      <w:pPr>
        <w:pStyle w:val="Heading2"/>
        <w:spacing w:before="0" w:after="120"/>
      </w:pPr>
      <w:bookmarkStart w:id="167" w:name="_Toc4578166"/>
      <w:bookmarkEnd w:id="161"/>
      <w:bookmarkEnd w:id="162"/>
      <w:bookmarkEnd w:id="163"/>
      <w:r w:rsidRPr="00DB7E33">
        <w:t xml:space="preserve">Current </w:t>
      </w:r>
      <w:r>
        <w:t>E</w:t>
      </w:r>
      <w:r w:rsidRPr="00DB7E33">
        <w:t>x-</w:t>
      </w:r>
      <w:r>
        <w:t>P</w:t>
      </w:r>
      <w:r w:rsidRPr="00DB7E33">
        <w:t>ost v</w:t>
      </w:r>
      <w:r>
        <w:t>s.</w:t>
      </w:r>
      <w:r w:rsidRPr="00DB7E33">
        <w:t xml:space="preserve"> </w:t>
      </w:r>
      <w:r>
        <w:t>C</w:t>
      </w:r>
      <w:r w:rsidRPr="00DB7E33">
        <w:t xml:space="preserve">urrent </w:t>
      </w:r>
      <w:r>
        <w:t>E</w:t>
      </w:r>
      <w:r w:rsidRPr="00DB7E33">
        <w:t>x-</w:t>
      </w:r>
      <w:r>
        <w:t>A</w:t>
      </w:r>
      <w:r w:rsidRPr="00DB7E33">
        <w:t>nte</w:t>
      </w:r>
      <w:bookmarkEnd w:id="167"/>
    </w:p>
    <w:p w14:paraId="0E5C9DD6" w14:textId="425BDF9E" w:rsidR="0047304C" w:rsidRDefault="0047304C" w:rsidP="006260DA">
      <w:pPr>
        <w:spacing w:after="120"/>
      </w:pPr>
      <w:r>
        <w:t xml:space="preserve">In this section, we compare the </w:t>
      </w:r>
      <w:r w:rsidRPr="00933F01">
        <w:rPr>
          <w:i/>
        </w:rPr>
        <w:t>ex-</w:t>
      </w:r>
      <w:r>
        <w:rPr>
          <w:i/>
        </w:rPr>
        <w:t>post</w:t>
      </w:r>
      <w:r>
        <w:t xml:space="preserve"> findings from the current study to the </w:t>
      </w:r>
      <w:r w:rsidRPr="00933F01">
        <w:rPr>
          <w:i/>
        </w:rPr>
        <w:t>ex-ante</w:t>
      </w:r>
      <w:r>
        <w:t xml:space="preserve"> forecast contained in the current study</w:t>
      </w:r>
      <w:r w:rsidR="00D548FB">
        <w:t xml:space="preserve"> in a similar fashion as the previous comparison</w:t>
      </w:r>
      <w:r>
        <w:t xml:space="preserve">. For the </w:t>
      </w:r>
      <w:r w:rsidRPr="003D0347">
        <w:rPr>
          <w:i/>
        </w:rPr>
        <w:t>ex-</w:t>
      </w:r>
      <w:r w:rsidR="00D548FB" w:rsidRPr="003D0347">
        <w:rPr>
          <w:i/>
        </w:rPr>
        <w:t>ante</w:t>
      </w:r>
      <w:r>
        <w:t xml:space="preserve"> load impacts, we take the </w:t>
      </w:r>
      <w:r w:rsidR="00D548FB">
        <w:t xml:space="preserve">RA window load impacts from the appropriate peak month in 2019 and make comparable LCA </w:t>
      </w:r>
      <w:r>
        <w:t>average</w:t>
      </w:r>
      <w:r w:rsidR="00D548FB">
        <w:t>s for each event in PY2018 based on the LCAs that had a least one sub-LAP called for the event</w:t>
      </w:r>
      <w:r>
        <w:t xml:space="preserve">. </w:t>
      </w:r>
      <w:r w:rsidR="004F2465">
        <w:t xml:space="preserve">Both the </w:t>
      </w:r>
      <w:r w:rsidR="004F2465" w:rsidRPr="004F2465">
        <w:rPr>
          <w:i/>
        </w:rPr>
        <w:t>ex-post</w:t>
      </w:r>
      <w:r w:rsidR="004F2465">
        <w:t xml:space="preserve"> and </w:t>
      </w:r>
      <w:r w:rsidR="004F2465" w:rsidRPr="004F2465">
        <w:rPr>
          <w:i/>
        </w:rPr>
        <w:t>ex-ante</w:t>
      </w:r>
      <w:r w:rsidR="004F2465">
        <w:t xml:space="preserve"> results include Kern for events where PGKN was called.</w:t>
      </w:r>
    </w:p>
    <w:p w14:paraId="5337ADE6" w14:textId="4A894AE5" w:rsidR="006133B6" w:rsidRDefault="008D4A3E" w:rsidP="00515466">
      <w:pPr>
        <w:spacing w:after="120"/>
      </w:pPr>
      <w:r>
        <w:fldChar w:fldCharType="begin"/>
      </w:r>
      <w:r>
        <w:instrText xml:space="preserve"> REF _Ref507077622 \h </w:instrText>
      </w:r>
      <w:r>
        <w:fldChar w:fldCharType="separate"/>
      </w:r>
      <w:r w:rsidR="00445DF3">
        <w:t xml:space="preserve">Table </w:t>
      </w:r>
      <w:r w:rsidR="00445DF3">
        <w:rPr>
          <w:noProof/>
        </w:rPr>
        <w:t>5</w:t>
      </w:r>
      <w:r w:rsidR="00445DF3">
        <w:noBreakHyphen/>
      </w:r>
      <w:r w:rsidR="00445DF3">
        <w:rPr>
          <w:noProof/>
        </w:rPr>
        <w:t>4</w:t>
      </w:r>
      <w:r>
        <w:fldChar w:fldCharType="end"/>
      </w:r>
      <w:r>
        <w:t xml:space="preserve"> compares the </w:t>
      </w:r>
      <w:r w:rsidRPr="005926F0">
        <w:rPr>
          <w:i/>
        </w:rPr>
        <w:t>ex-post</w:t>
      </w:r>
      <w:r>
        <w:t xml:space="preserve"> and </w:t>
      </w:r>
      <w:r w:rsidRPr="005926F0">
        <w:rPr>
          <w:i/>
        </w:rPr>
        <w:t>ex-ante</w:t>
      </w:r>
      <w:r>
        <w:t xml:space="preserve"> load impacts from th</w:t>
      </w:r>
      <w:r w:rsidR="00D548FB">
        <w:t>e current</w:t>
      </w:r>
      <w:r>
        <w:t xml:space="preserve"> study. The </w:t>
      </w:r>
      <w:r w:rsidRPr="005926F0">
        <w:rPr>
          <w:i/>
        </w:rPr>
        <w:t>ex-ante</w:t>
      </w:r>
      <w:r>
        <w:t xml:space="preserve"> load impacts in the table represent the </w:t>
      </w:r>
      <w:r w:rsidR="00313804">
        <w:t>PG&amp;E</w:t>
      </w:r>
      <w:r>
        <w:t xml:space="preserve"> 1-in-2 weather conditions</w:t>
      </w:r>
      <w:r w:rsidR="00E43379">
        <w:t xml:space="preserve"> for 2019</w:t>
      </w:r>
      <w:r>
        <w:t xml:space="preserve">. </w:t>
      </w:r>
      <w:r w:rsidR="003B2E7F">
        <w:t>Once again, ther</w:t>
      </w:r>
      <w:r w:rsidR="00515466">
        <w:t xml:space="preserve">e is a difference between the number of customers called for the event and the number of customers in the LCAs that had at least one sub-LAP called for the event. </w:t>
      </w:r>
      <w:r w:rsidR="003B2E7F">
        <w:t xml:space="preserve">Comparing LCA enrollments to forecast enrollments, </w:t>
      </w:r>
      <w:r w:rsidR="006133B6">
        <w:t xml:space="preserve">the forecast enrollments are higher. </w:t>
      </w:r>
      <w:r w:rsidR="00515466">
        <w:t>The per-customer load impacts are</w:t>
      </w:r>
      <w:r w:rsidR="006133B6">
        <w:t xml:space="preserve"> significantly higher in the current forecast compared to the </w:t>
      </w:r>
      <w:r w:rsidR="006133B6" w:rsidRPr="003D0347">
        <w:rPr>
          <w:i/>
        </w:rPr>
        <w:t>ex-post</w:t>
      </w:r>
      <w:r w:rsidR="006133B6">
        <w:t xml:space="preserve"> load impacts, because the </w:t>
      </w:r>
      <w:r w:rsidR="006133B6" w:rsidRPr="003D0347">
        <w:rPr>
          <w:i/>
        </w:rPr>
        <w:t>ex-ante</w:t>
      </w:r>
      <w:r w:rsidR="006133B6">
        <w:t xml:space="preserve"> forecast is based on serial group event load impacts</w:t>
      </w:r>
      <w:r w:rsidR="004F2465">
        <w:t xml:space="preserve">, while the </w:t>
      </w:r>
      <w:r w:rsidR="004F2465" w:rsidRPr="0064016C">
        <w:rPr>
          <w:i/>
        </w:rPr>
        <w:t>ex-post</w:t>
      </w:r>
      <w:r w:rsidR="004F2465">
        <w:t xml:space="preserve"> results are from sub-LAP events</w:t>
      </w:r>
      <w:r w:rsidR="006133B6">
        <w:t xml:space="preserve">. </w:t>
      </w:r>
      <w:r w:rsidR="00515466">
        <w:t xml:space="preserve">There are large differences in the event temperatures </w:t>
      </w:r>
      <w:r w:rsidR="006133B6">
        <w:t>for most events</w:t>
      </w:r>
      <w:r w:rsidR="00A00902">
        <w:t xml:space="preserve"> due to differences in event hours and changes in the forecasted distribution of customers across LCAs</w:t>
      </w:r>
      <w:r w:rsidR="006133B6">
        <w:t>.</w:t>
      </w:r>
      <w:r w:rsidR="00A00902">
        <w:t xml:space="preserve">  </w:t>
      </w:r>
    </w:p>
    <w:p w14:paraId="6BA3265C" w14:textId="449B07EB" w:rsidR="00A00902" w:rsidRDefault="00A00902" w:rsidP="00A00902">
      <w:pPr>
        <w:spacing w:after="120"/>
      </w:pPr>
      <w:r>
        <w:t xml:space="preserve">Aggregate load impacts, </w:t>
      </w:r>
      <w:r w:rsidR="00515466">
        <w:t xml:space="preserve">based on the number of customers </w:t>
      </w:r>
      <w:r>
        <w:t xml:space="preserve">called for events </w:t>
      </w:r>
      <w:r w:rsidR="00515466">
        <w:t>in PY2018,</w:t>
      </w:r>
      <w:r>
        <w:t xml:space="preserve"> are driven by the difference between per-customer load impacts from serial number events and sub-LAP events.</w:t>
      </w:r>
      <w:r w:rsidR="00515466">
        <w:t xml:space="preserve"> </w:t>
      </w:r>
      <w:r>
        <w:t xml:space="preserve">It is for this reason that </w:t>
      </w:r>
      <w:r w:rsidRPr="00FE7EEA">
        <w:rPr>
          <w:i/>
        </w:rPr>
        <w:t>ex-ante</w:t>
      </w:r>
      <w:r>
        <w:t xml:space="preserve"> forecasts are not </w:t>
      </w:r>
      <w:r w:rsidR="00333EC2">
        <w:t xml:space="preserve">closely aligned with the PY2018 </w:t>
      </w:r>
      <w:r w:rsidR="00333EC2" w:rsidRPr="003D0347">
        <w:rPr>
          <w:i/>
        </w:rPr>
        <w:t>ex-post</w:t>
      </w:r>
      <w:r w:rsidR="00C57734">
        <w:t xml:space="preserve"> impact</w:t>
      </w:r>
      <w:r>
        <w:t>s.</w:t>
      </w:r>
    </w:p>
    <w:p w14:paraId="4281CD70" w14:textId="77777777" w:rsidR="00E43379" w:rsidRDefault="00E43379" w:rsidP="006260DA">
      <w:pPr>
        <w:spacing w:after="120"/>
      </w:pPr>
    </w:p>
    <w:p w14:paraId="3F65DCDF" w14:textId="4C4CCA0E" w:rsidR="008D4A3E" w:rsidRDefault="008D4A3E" w:rsidP="00C5376A">
      <w:pPr>
        <w:pStyle w:val="TableCaption"/>
        <w:keepLines/>
      </w:pPr>
      <w:bookmarkStart w:id="168" w:name="_Ref507077622"/>
      <w:bookmarkStart w:id="169" w:name="_Toc507081212"/>
      <w:bookmarkStart w:id="170" w:name="_Toc4578189"/>
      <w:r>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5</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4</w:t>
      </w:r>
      <w:r w:rsidR="005D5F52">
        <w:rPr>
          <w:noProof/>
        </w:rPr>
        <w:fldChar w:fldCharType="end"/>
      </w:r>
      <w:bookmarkEnd w:id="168"/>
      <w:r>
        <w:t xml:space="preserve">: </w:t>
      </w:r>
      <w:r w:rsidRPr="00376F46">
        <w:t xml:space="preserve">Comparison of </w:t>
      </w:r>
      <w:r>
        <w:t xml:space="preserve">Current </w:t>
      </w:r>
      <w:r>
        <w:rPr>
          <w:i/>
        </w:rPr>
        <w:t>Ex-Post</w:t>
      </w:r>
      <w:r>
        <w:t xml:space="preserve"> and </w:t>
      </w:r>
      <w:r>
        <w:rPr>
          <w:i/>
        </w:rPr>
        <w:t>Ex-Ante</w:t>
      </w:r>
      <w:r>
        <w:t xml:space="preserve"> Load </w:t>
      </w:r>
      <w:r w:rsidRPr="00376F46">
        <w:t>Impacts</w:t>
      </w:r>
      <w:bookmarkEnd w:id="169"/>
      <w:bookmarkEnd w:id="170"/>
    </w:p>
    <w:tbl>
      <w:tblPr>
        <w:tblW w:w="8802" w:type="dxa"/>
        <w:jc w:val="center"/>
        <w:tblLook w:val="04A0" w:firstRow="1" w:lastRow="0" w:firstColumn="1" w:lastColumn="0" w:noHBand="0" w:noVBand="1"/>
      </w:tblPr>
      <w:tblGrid>
        <w:gridCol w:w="796"/>
        <w:gridCol w:w="1250"/>
        <w:gridCol w:w="898"/>
        <w:gridCol w:w="977"/>
        <w:gridCol w:w="994"/>
        <w:gridCol w:w="601"/>
        <w:gridCol w:w="635"/>
        <w:gridCol w:w="592"/>
        <w:gridCol w:w="626"/>
        <w:gridCol w:w="682"/>
        <w:gridCol w:w="751"/>
      </w:tblGrid>
      <w:tr w:rsidR="00C27485" w:rsidRPr="00C27485" w14:paraId="68A8023D" w14:textId="77777777" w:rsidTr="00C27485">
        <w:trPr>
          <w:trHeight w:val="585"/>
          <w:jc w:val="center"/>
        </w:trPr>
        <w:tc>
          <w:tcPr>
            <w:tcW w:w="0" w:type="auto"/>
            <w:vMerge w:val="restart"/>
            <w:tcBorders>
              <w:top w:val="nil"/>
              <w:left w:val="nil"/>
              <w:bottom w:val="single" w:sz="4" w:space="0" w:color="000000"/>
              <w:right w:val="single" w:sz="4" w:space="0" w:color="FFFFFF"/>
            </w:tcBorders>
            <w:shd w:val="clear" w:color="000000" w:fill="0C2577"/>
            <w:vAlign w:val="bottom"/>
            <w:hideMark/>
          </w:tcPr>
          <w:p w14:paraId="33EA595A" w14:textId="77777777" w:rsidR="00C27485" w:rsidRPr="005A4BB8" w:rsidRDefault="00C27485" w:rsidP="00C27485">
            <w:pPr>
              <w:jc w:val="center"/>
              <w:rPr>
                <w:rFonts w:cs="Calibri"/>
                <w:b/>
                <w:bCs/>
                <w:color w:val="FFFFFF"/>
                <w:sz w:val="20"/>
                <w:szCs w:val="20"/>
              </w:rPr>
            </w:pPr>
            <w:r w:rsidRPr="005A4BB8">
              <w:rPr>
                <w:rFonts w:cs="Calibri"/>
                <w:b/>
                <w:bCs/>
                <w:color w:val="FFFFFF"/>
                <w:sz w:val="20"/>
                <w:szCs w:val="20"/>
              </w:rPr>
              <w:t>Date</w:t>
            </w:r>
          </w:p>
        </w:tc>
        <w:tc>
          <w:tcPr>
            <w:tcW w:w="0" w:type="auto"/>
            <w:vMerge w:val="restart"/>
            <w:tcBorders>
              <w:top w:val="nil"/>
              <w:left w:val="single" w:sz="4" w:space="0" w:color="FFFFFF"/>
              <w:bottom w:val="single" w:sz="4" w:space="0" w:color="000000"/>
              <w:right w:val="single" w:sz="4" w:space="0" w:color="FFFFFF"/>
            </w:tcBorders>
            <w:shd w:val="clear" w:color="000000" w:fill="0C2577"/>
            <w:vAlign w:val="bottom"/>
            <w:hideMark/>
          </w:tcPr>
          <w:p w14:paraId="40729488" w14:textId="77777777" w:rsidR="00C27485" w:rsidRPr="005A4BB8" w:rsidRDefault="00C27485" w:rsidP="00C27485">
            <w:pPr>
              <w:jc w:val="center"/>
              <w:rPr>
                <w:rFonts w:cs="Calibri"/>
                <w:b/>
                <w:bCs/>
                <w:color w:val="FFFFFF"/>
                <w:sz w:val="20"/>
                <w:szCs w:val="20"/>
              </w:rPr>
            </w:pPr>
            <w:r w:rsidRPr="005A4BB8">
              <w:rPr>
                <w:rFonts w:cs="Calibri"/>
                <w:b/>
                <w:bCs/>
                <w:color w:val="FFFFFF"/>
                <w:sz w:val="20"/>
                <w:szCs w:val="20"/>
              </w:rPr>
              <w:t>Event Hours</w:t>
            </w:r>
          </w:p>
        </w:tc>
        <w:tc>
          <w:tcPr>
            <w:tcW w:w="0" w:type="auto"/>
            <w:vMerge w:val="restart"/>
            <w:tcBorders>
              <w:top w:val="nil"/>
              <w:left w:val="nil"/>
              <w:bottom w:val="nil"/>
              <w:right w:val="nil"/>
            </w:tcBorders>
            <w:shd w:val="clear" w:color="000000" w:fill="0C2577"/>
            <w:vAlign w:val="bottom"/>
            <w:hideMark/>
          </w:tcPr>
          <w:p w14:paraId="06B90026" w14:textId="77777777" w:rsidR="00C27485" w:rsidRPr="005A4BB8" w:rsidRDefault="00C27485" w:rsidP="00C27485">
            <w:pPr>
              <w:jc w:val="center"/>
              <w:rPr>
                <w:rFonts w:cs="Calibri"/>
                <w:b/>
                <w:bCs/>
                <w:color w:val="FFFFFF"/>
                <w:sz w:val="20"/>
                <w:szCs w:val="20"/>
              </w:rPr>
            </w:pPr>
            <w:r w:rsidRPr="005A4BB8">
              <w:rPr>
                <w:rFonts w:cs="Calibri"/>
                <w:b/>
                <w:bCs/>
                <w:color w:val="FFFFFF"/>
                <w:sz w:val="20"/>
                <w:szCs w:val="20"/>
              </w:rPr>
              <w:t># Called in LCA PY2018</w:t>
            </w:r>
          </w:p>
        </w:tc>
        <w:tc>
          <w:tcPr>
            <w:tcW w:w="0" w:type="auto"/>
            <w:vMerge w:val="restart"/>
            <w:tcBorders>
              <w:top w:val="nil"/>
              <w:left w:val="single" w:sz="4" w:space="0" w:color="FFFFFF"/>
              <w:bottom w:val="single" w:sz="4" w:space="0" w:color="000000"/>
              <w:right w:val="single" w:sz="4" w:space="0" w:color="FFFFFF"/>
            </w:tcBorders>
            <w:shd w:val="clear" w:color="000000" w:fill="0C2577"/>
            <w:vAlign w:val="bottom"/>
            <w:hideMark/>
          </w:tcPr>
          <w:p w14:paraId="02476403" w14:textId="77777777" w:rsidR="00C27485" w:rsidRPr="005A4BB8" w:rsidRDefault="00C27485" w:rsidP="00C27485">
            <w:pPr>
              <w:jc w:val="center"/>
              <w:rPr>
                <w:rFonts w:cs="Calibri"/>
                <w:b/>
                <w:bCs/>
                <w:color w:val="FFFFFF"/>
                <w:sz w:val="20"/>
                <w:szCs w:val="20"/>
              </w:rPr>
            </w:pPr>
            <w:r w:rsidRPr="005A4BB8">
              <w:rPr>
                <w:rFonts w:cs="Calibri"/>
                <w:b/>
                <w:bCs/>
                <w:color w:val="FFFFFF"/>
                <w:sz w:val="20"/>
                <w:szCs w:val="20"/>
              </w:rPr>
              <w:t># Enrolled in LCA PY2018</w:t>
            </w:r>
          </w:p>
        </w:tc>
        <w:tc>
          <w:tcPr>
            <w:tcW w:w="0" w:type="auto"/>
            <w:vMerge w:val="restart"/>
            <w:tcBorders>
              <w:top w:val="nil"/>
              <w:left w:val="single" w:sz="4" w:space="0" w:color="FFFFFF"/>
              <w:bottom w:val="single" w:sz="4" w:space="0" w:color="000000"/>
              <w:right w:val="single" w:sz="4" w:space="0" w:color="FFFFFF"/>
            </w:tcBorders>
            <w:shd w:val="clear" w:color="000000" w:fill="0C2577"/>
            <w:vAlign w:val="bottom"/>
            <w:hideMark/>
          </w:tcPr>
          <w:p w14:paraId="07D46F08" w14:textId="77777777" w:rsidR="00C27485" w:rsidRPr="005A4BB8" w:rsidRDefault="00C27485" w:rsidP="00C27485">
            <w:pPr>
              <w:jc w:val="center"/>
              <w:rPr>
                <w:rFonts w:cs="Calibri"/>
                <w:b/>
                <w:bCs/>
                <w:color w:val="FFFFFF"/>
                <w:sz w:val="20"/>
                <w:szCs w:val="20"/>
              </w:rPr>
            </w:pPr>
            <w:r w:rsidRPr="005A4BB8">
              <w:rPr>
                <w:rFonts w:cs="Calibri"/>
                <w:b/>
                <w:bCs/>
                <w:color w:val="FFFFFF"/>
                <w:sz w:val="20"/>
                <w:szCs w:val="20"/>
              </w:rPr>
              <w:t>Forecast # Enrolled in LCA</w:t>
            </w:r>
          </w:p>
        </w:tc>
        <w:tc>
          <w:tcPr>
            <w:tcW w:w="0" w:type="auto"/>
            <w:gridSpan w:val="2"/>
            <w:tcBorders>
              <w:top w:val="nil"/>
              <w:left w:val="nil"/>
              <w:bottom w:val="single" w:sz="4" w:space="0" w:color="FFFFFF"/>
              <w:right w:val="single" w:sz="4" w:space="0" w:color="FFFFFF"/>
            </w:tcBorders>
            <w:shd w:val="clear" w:color="000000" w:fill="0C2577"/>
            <w:vAlign w:val="center"/>
            <w:hideMark/>
          </w:tcPr>
          <w:p w14:paraId="7BB43243" w14:textId="77777777" w:rsidR="00C27485" w:rsidRPr="005A4BB8" w:rsidRDefault="00C27485" w:rsidP="00C27485">
            <w:pPr>
              <w:jc w:val="center"/>
              <w:rPr>
                <w:rFonts w:cs="Calibri"/>
                <w:b/>
                <w:bCs/>
                <w:color w:val="FFFFFF"/>
                <w:sz w:val="20"/>
                <w:szCs w:val="20"/>
              </w:rPr>
            </w:pPr>
            <w:r w:rsidRPr="005A4BB8">
              <w:rPr>
                <w:rFonts w:cs="Calibri"/>
                <w:b/>
                <w:bCs/>
                <w:color w:val="FFFFFF"/>
                <w:sz w:val="20"/>
                <w:szCs w:val="20"/>
              </w:rPr>
              <w:t>Load Impact (kW/cust)</w:t>
            </w:r>
          </w:p>
        </w:tc>
        <w:tc>
          <w:tcPr>
            <w:tcW w:w="0" w:type="auto"/>
            <w:gridSpan w:val="2"/>
            <w:tcBorders>
              <w:top w:val="nil"/>
              <w:left w:val="nil"/>
              <w:bottom w:val="single" w:sz="4" w:space="0" w:color="FFFFFF"/>
              <w:right w:val="single" w:sz="4" w:space="0" w:color="FFFFFF"/>
            </w:tcBorders>
            <w:shd w:val="clear" w:color="000000" w:fill="0C2577"/>
            <w:vAlign w:val="center"/>
            <w:hideMark/>
          </w:tcPr>
          <w:p w14:paraId="4AF9398D" w14:textId="77777777" w:rsidR="00C27485" w:rsidRPr="005A4BB8" w:rsidRDefault="00C27485" w:rsidP="00C27485">
            <w:pPr>
              <w:jc w:val="center"/>
              <w:rPr>
                <w:rFonts w:cs="Calibri"/>
                <w:b/>
                <w:bCs/>
                <w:color w:val="FFFFFF"/>
                <w:sz w:val="20"/>
                <w:szCs w:val="20"/>
              </w:rPr>
            </w:pPr>
            <w:r w:rsidRPr="005A4BB8">
              <w:rPr>
                <w:rFonts w:cs="Calibri"/>
                <w:b/>
                <w:bCs/>
                <w:color w:val="FFFFFF"/>
                <w:sz w:val="20"/>
                <w:szCs w:val="20"/>
              </w:rPr>
              <w:t>Load Impact (MW)</w:t>
            </w:r>
          </w:p>
        </w:tc>
        <w:tc>
          <w:tcPr>
            <w:tcW w:w="1448" w:type="dxa"/>
            <w:gridSpan w:val="2"/>
            <w:tcBorders>
              <w:top w:val="nil"/>
              <w:left w:val="nil"/>
              <w:bottom w:val="nil"/>
              <w:right w:val="nil"/>
            </w:tcBorders>
            <w:shd w:val="clear" w:color="000000" w:fill="0C2577"/>
            <w:vAlign w:val="center"/>
            <w:hideMark/>
          </w:tcPr>
          <w:p w14:paraId="5621C5A4" w14:textId="77777777" w:rsidR="00C27485" w:rsidRPr="005A4BB8" w:rsidRDefault="00C27485" w:rsidP="00C27485">
            <w:pPr>
              <w:jc w:val="center"/>
              <w:rPr>
                <w:rFonts w:cs="Calibri"/>
                <w:b/>
                <w:bCs/>
                <w:color w:val="FFFFFF"/>
                <w:sz w:val="20"/>
                <w:szCs w:val="20"/>
              </w:rPr>
            </w:pPr>
            <w:r w:rsidRPr="005A4BB8">
              <w:rPr>
                <w:rFonts w:cs="Calibri"/>
                <w:b/>
                <w:bCs/>
                <w:color w:val="FFFFFF"/>
                <w:sz w:val="20"/>
                <w:szCs w:val="20"/>
              </w:rPr>
              <w:t>Avg. Temp (°F)</w:t>
            </w:r>
          </w:p>
        </w:tc>
      </w:tr>
      <w:tr w:rsidR="00C27485" w:rsidRPr="00C27485" w14:paraId="13AF8773" w14:textId="77777777" w:rsidTr="00C27485">
        <w:trPr>
          <w:trHeight w:val="660"/>
          <w:jc w:val="center"/>
        </w:trPr>
        <w:tc>
          <w:tcPr>
            <w:tcW w:w="0" w:type="auto"/>
            <w:vMerge/>
            <w:tcBorders>
              <w:top w:val="nil"/>
              <w:left w:val="nil"/>
              <w:bottom w:val="single" w:sz="4" w:space="0" w:color="000000"/>
              <w:right w:val="single" w:sz="4" w:space="0" w:color="FFFFFF"/>
            </w:tcBorders>
            <w:vAlign w:val="center"/>
            <w:hideMark/>
          </w:tcPr>
          <w:p w14:paraId="106AB9F3" w14:textId="77777777" w:rsidR="00C27485" w:rsidRPr="005A4BB8" w:rsidRDefault="00C27485" w:rsidP="00C27485">
            <w:pPr>
              <w:rPr>
                <w:rFonts w:cs="Calibri"/>
                <w:b/>
                <w:bCs/>
                <w:color w:val="FFFFFF"/>
                <w:sz w:val="20"/>
                <w:szCs w:val="20"/>
              </w:rPr>
            </w:pPr>
          </w:p>
        </w:tc>
        <w:tc>
          <w:tcPr>
            <w:tcW w:w="0" w:type="auto"/>
            <w:vMerge/>
            <w:tcBorders>
              <w:top w:val="nil"/>
              <w:left w:val="single" w:sz="4" w:space="0" w:color="FFFFFF"/>
              <w:bottom w:val="single" w:sz="4" w:space="0" w:color="000000"/>
              <w:right w:val="single" w:sz="4" w:space="0" w:color="FFFFFF"/>
            </w:tcBorders>
            <w:vAlign w:val="center"/>
            <w:hideMark/>
          </w:tcPr>
          <w:p w14:paraId="696C664F" w14:textId="77777777" w:rsidR="00C27485" w:rsidRPr="005A4BB8" w:rsidRDefault="00C27485" w:rsidP="00C27485">
            <w:pPr>
              <w:rPr>
                <w:rFonts w:cs="Calibri"/>
                <w:b/>
                <w:bCs/>
                <w:color w:val="FFFFFF"/>
                <w:sz w:val="20"/>
                <w:szCs w:val="20"/>
              </w:rPr>
            </w:pPr>
          </w:p>
        </w:tc>
        <w:tc>
          <w:tcPr>
            <w:tcW w:w="0" w:type="auto"/>
            <w:vMerge/>
            <w:tcBorders>
              <w:top w:val="nil"/>
              <w:left w:val="nil"/>
              <w:bottom w:val="nil"/>
              <w:right w:val="nil"/>
            </w:tcBorders>
            <w:vAlign w:val="center"/>
            <w:hideMark/>
          </w:tcPr>
          <w:p w14:paraId="7E9DC607" w14:textId="77777777" w:rsidR="00C27485" w:rsidRPr="005A4BB8" w:rsidRDefault="00C27485" w:rsidP="00C27485">
            <w:pPr>
              <w:rPr>
                <w:rFonts w:cs="Calibri"/>
                <w:b/>
                <w:bCs/>
                <w:color w:val="FFFFFF"/>
                <w:sz w:val="20"/>
                <w:szCs w:val="20"/>
              </w:rPr>
            </w:pPr>
          </w:p>
        </w:tc>
        <w:tc>
          <w:tcPr>
            <w:tcW w:w="0" w:type="auto"/>
            <w:vMerge/>
            <w:tcBorders>
              <w:top w:val="nil"/>
              <w:left w:val="single" w:sz="4" w:space="0" w:color="FFFFFF"/>
              <w:bottom w:val="single" w:sz="4" w:space="0" w:color="000000"/>
              <w:right w:val="single" w:sz="4" w:space="0" w:color="FFFFFF"/>
            </w:tcBorders>
            <w:vAlign w:val="center"/>
            <w:hideMark/>
          </w:tcPr>
          <w:p w14:paraId="05C2F8E0" w14:textId="77777777" w:rsidR="00C27485" w:rsidRPr="005A4BB8" w:rsidRDefault="00C27485" w:rsidP="00C27485">
            <w:pPr>
              <w:rPr>
                <w:rFonts w:cs="Calibri"/>
                <w:b/>
                <w:bCs/>
                <w:color w:val="FFFFFF"/>
                <w:sz w:val="20"/>
                <w:szCs w:val="20"/>
              </w:rPr>
            </w:pPr>
          </w:p>
        </w:tc>
        <w:tc>
          <w:tcPr>
            <w:tcW w:w="0" w:type="auto"/>
            <w:vMerge/>
            <w:tcBorders>
              <w:top w:val="nil"/>
              <w:left w:val="single" w:sz="4" w:space="0" w:color="FFFFFF"/>
              <w:bottom w:val="single" w:sz="4" w:space="0" w:color="000000"/>
              <w:right w:val="single" w:sz="4" w:space="0" w:color="FFFFFF"/>
            </w:tcBorders>
            <w:vAlign w:val="center"/>
            <w:hideMark/>
          </w:tcPr>
          <w:p w14:paraId="23D26672" w14:textId="77777777" w:rsidR="00C27485" w:rsidRPr="005A4BB8" w:rsidRDefault="00C27485" w:rsidP="00C27485">
            <w:pPr>
              <w:rPr>
                <w:rFonts w:cs="Calibri"/>
                <w:b/>
                <w:bCs/>
                <w:color w:val="FFFFFF"/>
                <w:sz w:val="20"/>
                <w:szCs w:val="20"/>
              </w:rPr>
            </w:pPr>
          </w:p>
        </w:tc>
        <w:tc>
          <w:tcPr>
            <w:tcW w:w="0" w:type="auto"/>
            <w:tcBorders>
              <w:top w:val="nil"/>
              <w:left w:val="nil"/>
              <w:bottom w:val="single" w:sz="4" w:space="0" w:color="auto"/>
              <w:right w:val="single" w:sz="4" w:space="0" w:color="FFFFFF"/>
            </w:tcBorders>
            <w:shd w:val="clear" w:color="000000" w:fill="0C2577"/>
            <w:vAlign w:val="bottom"/>
            <w:hideMark/>
          </w:tcPr>
          <w:p w14:paraId="59B0D850" w14:textId="77777777" w:rsidR="00C27485" w:rsidRPr="005A4BB8" w:rsidRDefault="00C27485" w:rsidP="00C27485">
            <w:pPr>
              <w:jc w:val="center"/>
              <w:rPr>
                <w:rFonts w:cs="Calibri"/>
                <w:b/>
                <w:bCs/>
                <w:i/>
                <w:iCs/>
                <w:color w:val="FFFFFF"/>
                <w:sz w:val="20"/>
                <w:szCs w:val="20"/>
              </w:rPr>
            </w:pPr>
            <w:r w:rsidRPr="005A4BB8">
              <w:rPr>
                <w:rFonts w:cs="Calibri"/>
                <w:b/>
                <w:bCs/>
                <w:i/>
                <w:iCs/>
                <w:color w:val="FFFFFF"/>
                <w:sz w:val="20"/>
                <w:szCs w:val="20"/>
              </w:rPr>
              <w:t xml:space="preserve"> Ex-Post</w:t>
            </w:r>
          </w:p>
        </w:tc>
        <w:tc>
          <w:tcPr>
            <w:tcW w:w="0" w:type="auto"/>
            <w:tcBorders>
              <w:top w:val="nil"/>
              <w:left w:val="nil"/>
              <w:bottom w:val="single" w:sz="4" w:space="0" w:color="auto"/>
              <w:right w:val="single" w:sz="4" w:space="0" w:color="FFFFFF"/>
            </w:tcBorders>
            <w:shd w:val="clear" w:color="000000" w:fill="0C2577"/>
            <w:vAlign w:val="bottom"/>
            <w:hideMark/>
          </w:tcPr>
          <w:p w14:paraId="7067580A" w14:textId="77777777" w:rsidR="00C27485" w:rsidRPr="005A4BB8" w:rsidRDefault="00C27485" w:rsidP="00C27485">
            <w:pPr>
              <w:jc w:val="center"/>
              <w:rPr>
                <w:rFonts w:cs="Calibri"/>
                <w:b/>
                <w:bCs/>
                <w:i/>
                <w:iCs/>
                <w:color w:val="FFFFFF"/>
                <w:sz w:val="20"/>
                <w:szCs w:val="20"/>
              </w:rPr>
            </w:pPr>
            <w:r w:rsidRPr="005A4BB8">
              <w:rPr>
                <w:rFonts w:cs="Calibri"/>
                <w:b/>
                <w:bCs/>
                <w:i/>
                <w:iCs/>
                <w:color w:val="FFFFFF"/>
                <w:sz w:val="20"/>
                <w:szCs w:val="20"/>
              </w:rPr>
              <w:t xml:space="preserve"> Ex-Ante</w:t>
            </w:r>
          </w:p>
        </w:tc>
        <w:tc>
          <w:tcPr>
            <w:tcW w:w="0" w:type="auto"/>
            <w:tcBorders>
              <w:top w:val="nil"/>
              <w:left w:val="nil"/>
              <w:bottom w:val="single" w:sz="4" w:space="0" w:color="auto"/>
              <w:right w:val="single" w:sz="4" w:space="0" w:color="FFFFFF"/>
            </w:tcBorders>
            <w:shd w:val="clear" w:color="000000" w:fill="0C2577"/>
            <w:vAlign w:val="bottom"/>
            <w:hideMark/>
          </w:tcPr>
          <w:p w14:paraId="47A975D0" w14:textId="77777777" w:rsidR="00C27485" w:rsidRPr="005A4BB8" w:rsidRDefault="00C27485" w:rsidP="00C27485">
            <w:pPr>
              <w:jc w:val="center"/>
              <w:rPr>
                <w:rFonts w:cs="Calibri"/>
                <w:b/>
                <w:bCs/>
                <w:i/>
                <w:iCs/>
                <w:color w:val="FFFFFF"/>
                <w:sz w:val="20"/>
                <w:szCs w:val="20"/>
              </w:rPr>
            </w:pPr>
            <w:r w:rsidRPr="005A4BB8">
              <w:rPr>
                <w:rFonts w:cs="Calibri"/>
                <w:b/>
                <w:bCs/>
                <w:i/>
                <w:iCs/>
                <w:color w:val="FFFFFF"/>
                <w:sz w:val="20"/>
                <w:szCs w:val="20"/>
              </w:rPr>
              <w:t xml:space="preserve"> Ex-Post</w:t>
            </w:r>
          </w:p>
        </w:tc>
        <w:tc>
          <w:tcPr>
            <w:tcW w:w="0" w:type="auto"/>
            <w:tcBorders>
              <w:top w:val="nil"/>
              <w:left w:val="nil"/>
              <w:bottom w:val="single" w:sz="4" w:space="0" w:color="auto"/>
              <w:right w:val="single" w:sz="4" w:space="0" w:color="FFFFFF"/>
            </w:tcBorders>
            <w:shd w:val="clear" w:color="000000" w:fill="0C2577"/>
            <w:vAlign w:val="bottom"/>
            <w:hideMark/>
          </w:tcPr>
          <w:p w14:paraId="4B1981E8" w14:textId="77777777" w:rsidR="00C27485" w:rsidRPr="005A4BB8" w:rsidRDefault="00C27485" w:rsidP="00C27485">
            <w:pPr>
              <w:jc w:val="center"/>
              <w:rPr>
                <w:rFonts w:cs="Calibri"/>
                <w:b/>
                <w:bCs/>
                <w:i/>
                <w:iCs/>
                <w:color w:val="FFFFFF"/>
                <w:sz w:val="20"/>
                <w:szCs w:val="20"/>
              </w:rPr>
            </w:pPr>
            <w:r w:rsidRPr="005A4BB8">
              <w:rPr>
                <w:rFonts w:cs="Calibri"/>
                <w:b/>
                <w:bCs/>
                <w:i/>
                <w:iCs/>
                <w:color w:val="FFFFFF"/>
                <w:sz w:val="20"/>
                <w:szCs w:val="20"/>
              </w:rPr>
              <w:t xml:space="preserve"> Ex-Ante</w:t>
            </w:r>
          </w:p>
        </w:tc>
        <w:tc>
          <w:tcPr>
            <w:tcW w:w="0" w:type="auto"/>
            <w:tcBorders>
              <w:top w:val="single" w:sz="4" w:space="0" w:color="FFFFFF"/>
              <w:left w:val="nil"/>
              <w:bottom w:val="single" w:sz="4" w:space="0" w:color="auto"/>
              <w:right w:val="single" w:sz="4" w:space="0" w:color="FFFFFF"/>
            </w:tcBorders>
            <w:shd w:val="clear" w:color="000000" w:fill="0C2577"/>
            <w:vAlign w:val="bottom"/>
            <w:hideMark/>
          </w:tcPr>
          <w:p w14:paraId="2C9976DA" w14:textId="77777777" w:rsidR="00C27485" w:rsidRPr="005A4BB8" w:rsidRDefault="00C27485" w:rsidP="00C27485">
            <w:pPr>
              <w:jc w:val="center"/>
              <w:rPr>
                <w:rFonts w:cs="Calibri"/>
                <w:b/>
                <w:bCs/>
                <w:i/>
                <w:iCs/>
                <w:color w:val="FFFFFF"/>
                <w:sz w:val="20"/>
                <w:szCs w:val="20"/>
              </w:rPr>
            </w:pPr>
            <w:r w:rsidRPr="005A4BB8">
              <w:rPr>
                <w:rFonts w:cs="Calibri"/>
                <w:b/>
                <w:bCs/>
                <w:i/>
                <w:iCs/>
                <w:color w:val="FFFFFF"/>
                <w:sz w:val="20"/>
                <w:szCs w:val="20"/>
              </w:rPr>
              <w:t xml:space="preserve"> Ex-Post</w:t>
            </w:r>
          </w:p>
        </w:tc>
        <w:tc>
          <w:tcPr>
            <w:tcW w:w="751" w:type="dxa"/>
            <w:tcBorders>
              <w:top w:val="single" w:sz="4" w:space="0" w:color="FFFFFF"/>
              <w:left w:val="nil"/>
              <w:bottom w:val="single" w:sz="4" w:space="0" w:color="auto"/>
              <w:right w:val="single" w:sz="4" w:space="0" w:color="FFFFFF"/>
            </w:tcBorders>
            <w:shd w:val="clear" w:color="000000" w:fill="0C2577"/>
            <w:vAlign w:val="bottom"/>
            <w:hideMark/>
          </w:tcPr>
          <w:p w14:paraId="16714D4F" w14:textId="77777777" w:rsidR="00C27485" w:rsidRPr="005A4BB8" w:rsidRDefault="00C27485" w:rsidP="00C27485">
            <w:pPr>
              <w:jc w:val="center"/>
              <w:rPr>
                <w:rFonts w:cs="Calibri"/>
                <w:b/>
                <w:bCs/>
                <w:i/>
                <w:iCs/>
                <w:color w:val="FFFFFF"/>
                <w:sz w:val="20"/>
                <w:szCs w:val="20"/>
              </w:rPr>
            </w:pPr>
            <w:r w:rsidRPr="005A4BB8">
              <w:rPr>
                <w:rFonts w:cs="Calibri"/>
                <w:b/>
                <w:bCs/>
                <w:i/>
                <w:iCs/>
                <w:color w:val="FFFFFF"/>
                <w:sz w:val="20"/>
                <w:szCs w:val="20"/>
              </w:rPr>
              <w:t xml:space="preserve"> Ex-Ante</w:t>
            </w:r>
          </w:p>
        </w:tc>
      </w:tr>
      <w:tr w:rsidR="00C27485" w:rsidRPr="00C27485" w14:paraId="511C60BE" w14:textId="77777777" w:rsidTr="00C274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EBFFA6" w14:textId="77777777" w:rsidR="00C27485" w:rsidRPr="005A4BB8" w:rsidRDefault="00C27485" w:rsidP="00C27485">
            <w:pPr>
              <w:jc w:val="right"/>
              <w:rPr>
                <w:rFonts w:cs="Calibri"/>
                <w:color w:val="000000"/>
                <w:sz w:val="20"/>
                <w:szCs w:val="20"/>
              </w:rPr>
            </w:pPr>
            <w:r w:rsidRPr="005A4BB8">
              <w:rPr>
                <w:rFonts w:cs="Calibri"/>
                <w:color w:val="000000"/>
                <w:sz w:val="20"/>
                <w:szCs w:val="20"/>
              </w:rPr>
              <w:t>23-Jul</w:t>
            </w:r>
          </w:p>
        </w:tc>
        <w:tc>
          <w:tcPr>
            <w:tcW w:w="0" w:type="auto"/>
            <w:tcBorders>
              <w:top w:val="nil"/>
              <w:left w:val="nil"/>
              <w:bottom w:val="single" w:sz="4" w:space="0" w:color="auto"/>
              <w:right w:val="single" w:sz="4" w:space="0" w:color="auto"/>
            </w:tcBorders>
            <w:shd w:val="clear" w:color="auto" w:fill="auto"/>
            <w:noWrap/>
            <w:vAlign w:val="bottom"/>
            <w:hideMark/>
          </w:tcPr>
          <w:p w14:paraId="2BBB57FA" w14:textId="77777777" w:rsidR="00C27485" w:rsidRPr="005A4BB8" w:rsidRDefault="00C27485" w:rsidP="00C27485">
            <w:pPr>
              <w:rPr>
                <w:rFonts w:cs="Calibri"/>
                <w:color w:val="000000"/>
                <w:sz w:val="20"/>
                <w:szCs w:val="20"/>
              </w:rPr>
            </w:pPr>
            <w:r w:rsidRPr="005A4BB8">
              <w:rPr>
                <w:rFonts w:cs="Calibri"/>
                <w:color w:val="000000"/>
                <w:sz w:val="20"/>
                <w:szCs w:val="20"/>
              </w:rPr>
              <w:t>4-8 p.m.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2ACF09" w14:textId="77777777" w:rsidR="00C27485" w:rsidRPr="005A4BB8" w:rsidRDefault="00C27485" w:rsidP="00C27485">
            <w:pPr>
              <w:jc w:val="right"/>
              <w:rPr>
                <w:rFonts w:cs="Calibri"/>
                <w:color w:val="000000"/>
                <w:sz w:val="20"/>
                <w:szCs w:val="20"/>
              </w:rPr>
            </w:pPr>
            <w:r w:rsidRPr="005A4BB8">
              <w:rPr>
                <w:rFonts w:cs="Calibri"/>
                <w:color w:val="000000"/>
                <w:sz w:val="20"/>
                <w:szCs w:val="20"/>
              </w:rPr>
              <w:t>55,003</w:t>
            </w:r>
          </w:p>
        </w:tc>
        <w:tc>
          <w:tcPr>
            <w:tcW w:w="0" w:type="auto"/>
            <w:tcBorders>
              <w:top w:val="nil"/>
              <w:left w:val="nil"/>
              <w:bottom w:val="single" w:sz="4" w:space="0" w:color="auto"/>
              <w:right w:val="single" w:sz="4" w:space="0" w:color="auto"/>
            </w:tcBorders>
            <w:shd w:val="clear" w:color="auto" w:fill="auto"/>
            <w:noWrap/>
            <w:vAlign w:val="bottom"/>
            <w:hideMark/>
          </w:tcPr>
          <w:p w14:paraId="7E557577" w14:textId="77777777" w:rsidR="00C27485" w:rsidRPr="005A4BB8" w:rsidRDefault="00C27485" w:rsidP="00C27485">
            <w:pPr>
              <w:jc w:val="right"/>
              <w:rPr>
                <w:rFonts w:cs="Calibri"/>
                <w:color w:val="000000"/>
                <w:sz w:val="20"/>
                <w:szCs w:val="20"/>
              </w:rPr>
            </w:pPr>
            <w:r w:rsidRPr="005A4BB8">
              <w:rPr>
                <w:rFonts w:cs="Calibri"/>
                <w:color w:val="000000"/>
                <w:sz w:val="20"/>
                <w:szCs w:val="20"/>
              </w:rPr>
              <w:t>51,667</w:t>
            </w:r>
          </w:p>
        </w:tc>
        <w:tc>
          <w:tcPr>
            <w:tcW w:w="0" w:type="auto"/>
            <w:tcBorders>
              <w:top w:val="nil"/>
              <w:left w:val="nil"/>
              <w:bottom w:val="single" w:sz="4" w:space="0" w:color="auto"/>
              <w:right w:val="single" w:sz="4" w:space="0" w:color="auto"/>
            </w:tcBorders>
            <w:shd w:val="clear" w:color="auto" w:fill="auto"/>
            <w:noWrap/>
            <w:vAlign w:val="bottom"/>
            <w:hideMark/>
          </w:tcPr>
          <w:p w14:paraId="2F885755" w14:textId="77777777" w:rsidR="00C27485" w:rsidRPr="005A4BB8" w:rsidRDefault="00C27485" w:rsidP="00C27485">
            <w:pPr>
              <w:jc w:val="right"/>
              <w:rPr>
                <w:rFonts w:cs="Calibri"/>
                <w:color w:val="000000"/>
                <w:sz w:val="20"/>
                <w:szCs w:val="20"/>
              </w:rPr>
            </w:pPr>
            <w:r w:rsidRPr="005A4BB8">
              <w:rPr>
                <w:rFonts w:cs="Calibri"/>
                <w:color w:val="000000"/>
                <w:sz w:val="20"/>
                <w:szCs w:val="20"/>
              </w:rPr>
              <w:t>59,291</w:t>
            </w:r>
          </w:p>
        </w:tc>
        <w:tc>
          <w:tcPr>
            <w:tcW w:w="0" w:type="auto"/>
            <w:tcBorders>
              <w:top w:val="nil"/>
              <w:left w:val="nil"/>
              <w:bottom w:val="single" w:sz="4" w:space="0" w:color="auto"/>
              <w:right w:val="single" w:sz="4" w:space="0" w:color="auto"/>
            </w:tcBorders>
            <w:shd w:val="clear" w:color="auto" w:fill="auto"/>
            <w:noWrap/>
            <w:vAlign w:val="bottom"/>
            <w:hideMark/>
          </w:tcPr>
          <w:p w14:paraId="1C8B3086" w14:textId="77777777" w:rsidR="00C27485" w:rsidRPr="005A4BB8" w:rsidRDefault="00C27485" w:rsidP="00C27485">
            <w:pPr>
              <w:jc w:val="right"/>
              <w:rPr>
                <w:rFonts w:cs="Calibri"/>
                <w:color w:val="000000"/>
                <w:sz w:val="20"/>
                <w:szCs w:val="20"/>
              </w:rPr>
            </w:pPr>
            <w:r w:rsidRPr="005A4BB8">
              <w:rPr>
                <w:rFonts w:cs="Calibri"/>
                <w:color w:val="000000"/>
                <w:sz w:val="20"/>
                <w:szCs w:val="20"/>
              </w:rPr>
              <w:t>0.28</w:t>
            </w:r>
          </w:p>
        </w:tc>
        <w:tc>
          <w:tcPr>
            <w:tcW w:w="0" w:type="auto"/>
            <w:tcBorders>
              <w:top w:val="nil"/>
              <w:left w:val="nil"/>
              <w:bottom w:val="single" w:sz="4" w:space="0" w:color="auto"/>
              <w:right w:val="single" w:sz="4" w:space="0" w:color="auto"/>
            </w:tcBorders>
            <w:shd w:val="clear" w:color="auto" w:fill="auto"/>
            <w:noWrap/>
            <w:vAlign w:val="bottom"/>
            <w:hideMark/>
          </w:tcPr>
          <w:p w14:paraId="22D13396" w14:textId="77777777" w:rsidR="00C27485" w:rsidRPr="005A4BB8" w:rsidRDefault="00C27485" w:rsidP="00C27485">
            <w:pPr>
              <w:jc w:val="right"/>
              <w:rPr>
                <w:rFonts w:cs="Calibri"/>
                <w:color w:val="000000"/>
                <w:sz w:val="20"/>
                <w:szCs w:val="20"/>
              </w:rPr>
            </w:pPr>
            <w:r w:rsidRPr="005A4BB8">
              <w:rPr>
                <w:rFonts w:cs="Calibri"/>
                <w:color w:val="000000"/>
                <w:sz w:val="20"/>
                <w:szCs w:val="20"/>
              </w:rPr>
              <w:t>0.51</w:t>
            </w:r>
          </w:p>
        </w:tc>
        <w:tc>
          <w:tcPr>
            <w:tcW w:w="0" w:type="auto"/>
            <w:tcBorders>
              <w:top w:val="nil"/>
              <w:left w:val="nil"/>
              <w:bottom w:val="single" w:sz="4" w:space="0" w:color="auto"/>
              <w:right w:val="single" w:sz="4" w:space="0" w:color="auto"/>
            </w:tcBorders>
            <w:shd w:val="clear" w:color="auto" w:fill="auto"/>
            <w:noWrap/>
            <w:vAlign w:val="bottom"/>
            <w:hideMark/>
          </w:tcPr>
          <w:p w14:paraId="4EB4D017" w14:textId="77777777" w:rsidR="00C27485" w:rsidRPr="005A4BB8" w:rsidRDefault="00C27485" w:rsidP="00C27485">
            <w:pPr>
              <w:jc w:val="right"/>
              <w:rPr>
                <w:rFonts w:cs="Calibri"/>
                <w:color w:val="000000"/>
                <w:sz w:val="20"/>
                <w:szCs w:val="20"/>
              </w:rPr>
            </w:pPr>
            <w:r w:rsidRPr="005A4BB8">
              <w:rPr>
                <w:rFonts w:cs="Calibri"/>
                <w:color w:val="000000"/>
                <w:sz w:val="20"/>
                <w:szCs w:val="20"/>
              </w:rPr>
              <w:t>15.3</w:t>
            </w:r>
          </w:p>
        </w:tc>
        <w:tc>
          <w:tcPr>
            <w:tcW w:w="0" w:type="auto"/>
            <w:tcBorders>
              <w:top w:val="nil"/>
              <w:left w:val="nil"/>
              <w:bottom w:val="single" w:sz="4" w:space="0" w:color="auto"/>
              <w:right w:val="single" w:sz="4" w:space="0" w:color="auto"/>
            </w:tcBorders>
            <w:shd w:val="clear" w:color="auto" w:fill="auto"/>
            <w:noWrap/>
            <w:vAlign w:val="bottom"/>
            <w:hideMark/>
          </w:tcPr>
          <w:p w14:paraId="099FF0F4" w14:textId="77777777" w:rsidR="00C27485" w:rsidRPr="005A4BB8" w:rsidRDefault="00C27485" w:rsidP="00C27485">
            <w:pPr>
              <w:jc w:val="right"/>
              <w:rPr>
                <w:rFonts w:cs="Calibri"/>
                <w:color w:val="000000"/>
                <w:sz w:val="20"/>
                <w:szCs w:val="20"/>
              </w:rPr>
            </w:pPr>
            <w:r w:rsidRPr="005A4BB8">
              <w:rPr>
                <w:rFonts w:cs="Calibri"/>
                <w:color w:val="000000"/>
                <w:sz w:val="20"/>
                <w:szCs w:val="20"/>
              </w:rPr>
              <w:t>28.1</w:t>
            </w:r>
          </w:p>
        </w:tc>
        <w:tc>
          <w:tcPr>
            <w:tcW w:w="0" w:type="auto"/>
            <w:tcBorders>
              <w:top w:val="nil"/>
              <w:left w:val="nil"/>
              <w:bottom w:val="single" w:sz="4" w:space="0" w:color="auto"/>
              <w:right w:val="single" w:sz="4" w:space="0" w:color="auto"/>
            </w:tcBorders>
            <w:shd w:val="clear" w:color="auto" w:fill="auto"/>
            <w:noWrap/>
            <w:vAlign w:val="bottom"/>
            <w:hideMark/>
          </w:tcPr>
          <w:p w14:paraId="57EB7803" w14:textId="77777777" w:rsidR="00C27485" w:rsidRPr="005A4BB8" w:rsidRDefault="00C27485" w:rsidP="00C27485">
            <w:pPr>
              <w:jc w:val="right"/>
              <w:rPr>
                <w:rFonts w:cs="Calibri"/>
                <w:color w:val="000000"/>
                <w:sz w:val="20"/>
                <w:szCs w:val="20"/>
              </w:rPr>
            </w:pPr>
            <w:r w:rsidRPr="005A4BB8">
              <w:rPr>
                <w:rFonts w:cs="Calibri"/>
                <w:color w:val="000000"/>
                <w:sz w:val="20"/>
                <w:szCs w:val="20"/>
              </w:rPr>
              <w:t>98.2</w:t>
            </w:r>
          </w:p>
        </w:tc>
        <w:tc>
          <w:tcPr>
            <w:tcW w:w="751" w:type="dxa"/>
            <w:tcBorders>
              <w:top w:val="nil"/>
              <w:left w:val="nil"/>
              <w:bottom w:val="single" w:sz="4" w:space="0" w:color="auto"/>
              <w:right w:val="single" w:sz="4" w:space="0" w:color="auto"/>
            </w:tcBorders>
            <w:shd w:val="clear" w:color="auto" w:fill="auto"/>
            <w:noWrap/>
            <w:vAlign w:val="bottom"/>
            <w:hideMark/>
          </w:tcPr>
          <w:p w14:paraId="7F67EDD7" w14:textId="77777777" w:rsidR="00C27485" w:rsidRPr="005A4BB8" w:rsidRDefault="00C27485" w:rsidP="00C27485">
            <w:pPr>
              <w:jc w:val="right"/>
              <w:rPr>
                <w:rFonts w:cs="Calibri"/>
                <w:color w:val="000000"/>
                <w:sz w:val="20"/>
                <w:szCs w:val="20"/>
              </w:rPr>
            </w:pPr>
            <w:r w:rsidRPr="005A4BB8">
              <w:rPr>
                <w:rFonts w:cs="Calibri"/>
                <w:color w:val="000000"/>
                <w:sz w:val="20"/>
                <w:szCs w:val="20"/>
              </w:rPr>
              <w:t>101.0</w:t>
            </w:r>
          </w:p>
        </w:tc>
      </w:tr>
      <w:tr w:rsidR="00C27485" w:rsidRPr="00C27485" w14:paraId="10B39068" w14:textId="77777777" w:rsidTr="00C274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B83ACE" w14:textId="77777777" w:rsidR="00C27485" w:rsidRPr="005A4BB8" w:rsidRDefault="00C27485" w:rsidP="00C27485">
            <w:pPr>
              <w:jc w:val="right"/>
              <w:rPr>
                <w:rFonts w:cs="Calibri"/>
                <w:color w:val="000000"/>
                <w:sz w:val="20"/>
                <w:szCs w:val="20"/>
              </w:rPr>
            </w:pPr>
            <w:r w:rsidRPr="005A4BB8">
              <w:rPr>
                <w:rFonts w:cs="Calibri"/>
                <w:color w:val="000000"/>
                <w:sz w:val="20"/>
                <w:szCs w:val="20"/>
              </w:rPr>
              <w:t>24-Jul</w:t>
            </w:r>
          </w:p>
        </w:tc>
        <w:tc>
          <w:tcPr>
            <w:tcW w:w="0" w:type="auto"/>
            <w:tcBorders>
              <w:top w:val="nil"/>
              <w:left w:val="nil"/>
              <w:bottom w:val="single" w:sz="4" w:space="0" w:color="auto"/>
              <w:right w:val="single" w:sz="4" w:space="0" w:color="auto"/>
            </w:tcBorders>
            <w:shd w:val="clear" w:color="auto" w:fill="auto"/>
            <w:noWrap/>
            <w:vAlign w:val="bottom"/>
            <w:hideMark/>
          </w:tcPr>
          <w:p w14:paraId="5EB4CC3F" w14:textId="77777777" w:rsidR="00C27485" w:rsidRPr="005A4BB8" w:rsidRDefault="00C27485" w:rsidP="00C27485">
            <w:pPr>
              <w:rPr>
                <w:rFonts w:cs="Calibri"/>
                <w:color w:val="000000"/>
                <w:sz w:val="20"/>
                <w:szCs w:val="20"/>
              </w:rPr>
            </w:pPr>
            <w:r w:rsidRPr="005A4BB8">
              <w:rPr>
                <w:rFonts w:cs="Calibri"/>
                <w:color w:val="000000"/>
                <w:sz w:val="20"/>
                <w:szCs w:val="20"/>
              </w:rPr>
              <w:t>3-8 p.m.</w:t>
            </w:r>
          </w:p>
        </w:tc>
        <w:tc>
          <w:tcPr>
            <w:tcW w:w="0" w:type="auto"/>
            <w:tcBorders>
              <w:top w:val="nil"/>
              <w:left w:val="nil"/>
              <w:bottom w:val="single" w:sz="4" w:space="0" w:color="auto"/>
              <w:right w:val="single" w:sz="4" w:space="0" w:color="auto"/>
            </w:tcBorders>
            <w:shd w:val="clear" w:color="auto" w:fill="auto"/>
            <w:noWrap/>
            <w:vAlign w:val="bottom"/>
            <w:hideMark/>
          </w:tcPr>
          <w:p w14:paraId="590C7DCD" w14:textId="77777777" w:rsidR="00C27485" w:rsidRPr="005A4BB8" w:rsidRDefault="00C27485" w:rsidP="00C27485">
            <w:pPr>
              <w:jc w:val="right"/>
              <w:rPr>
                <w:rFonts w:cs="Calibri"/>
                <w:color w:val="000000"/>
                <w:sz w:val="20"/>
                <w:szCs w:val="20"/>
              </w:rPr>
            </w:pPr>
            <w:r w:rsidRPr="005A4BB8">
              <w:rPr>
                <w:rFonts w:cs="Calibri"/>
                <w:color w:val="000000"/>
                <w:sz w:val="20"/>
                <w:szCs w:val="20"/>
              </w:rPr>
              <w:t>57,897</w:t>
            </w:r>
          </w:p>
        </w:tc>
        <w:tc>
          <w:tcPr>
            <w:tcW w:w="0" w:type="auto"/>
            <w:tcBorders>
              <w:top w:val="nil"/>
              <w:left w:val="nil"/>
              <w:bottom w:val="single" w:sz="4" w:space="0" w:color="auto"/>
              <w:right w:val="single" w:sz="4" w:space="0" w:color="auto"/>
            </w:tcBorders>
            <w:shd w:val="clear" w:color="auto" w:fill="auto"/>
            <w:noWrap/>
            <w:vAlign w:val="bottom"/>
            <w:hideMark/>
          </w:tcPr>
          <w:p w14:paraId="4F431769" w14:textId="77777777" w:rsidR="00C27485" w:rsidRPr="005A4BB8" w:rsidRDefault="00C27485" w:rsidP="00C27485">
            <w:pPr>
              <w:jc w:val="right"/>
              <w:rPr>
                <w:rFonts w:cs="Calibri"/>
                <w:color w:val="000000"/>
                <w:sz w:val="20"/>
                <w:szCs w:val="20"/>
              </w:rPr>
            </w:pPr>
            <w:r w:rsidRPr="005A4BB8">
              <w:rPr>
                <w:rFonts w:cs="Calibri"/>
                <w:color w:val="000000"/>
                <w:sz w:val="20"/>
                <w:szCs w:val="20"/>
              </w:rPr>
              <w:t>56,068</w:t>
            </w:r>
          </w:p>
        </w:tc>
        <w:tc>
          <w:tcPr>
            <w:tcW w:w="0" w:type="auto"/>
            <w:tcBorders>
              <w:top w:val="nil"/>
              <w:left w:val="nil"/>
              <w:bottom w:val="single" w:sz="4" w:space="0" w:color="auto"/>
              <w:right w:val="single" w:sz="4" w:space="0" w:color="auto"/>
            </w:tcBorders>
            <w:shd w:val="clear" w:color="auto" w:fill="auto"/>
            <w:noWrap/>
            <w:vAlign w:val="bottom"/>
            <w:hideMark/>
          </w:tcPr>
          <w:p w14:paraId="5BE5ED3C" w14:textId="77777777" w:rsidR="00C27485" w:rsidRPr="005A4BB8" w:rsidRDefault="00C27485" w:rsidP="00C27485">
            <w:pPr>
              <w:jc w:val="right"/>
              <w:rPr>
                <w:rFonts w:cs="Calibri"/>
                <w:color w:val="000000"/>
                <w:sz w:val="20"/>
                <w:szCs w:val="20"/>
              </w:rPr>
            </w:pPr>
            <w:r w:rsidRPr="005A4BB8">
              <w:rPr>
                <w:rFonts w:cs="Calibri"/>
                <w:color w:val="000000"/>
                <w:sz w:val="20"/>
                <w:szCs w:val="20"/>
              </w:rPr>
              <w:t>63,430</w:t>
            </w:r>
          </w:p>
        </w:tc>
        <w:tc>
          <w:tcPr>
            <w:tcW w:w="0" w:type="auto"/>
            <w:tcBorders>
              <w:top w:val="nil"/>
              <w:left w:val="nil"/>
              <w:bottom w:val="single" w:sz="4" w:space="0" w:color="auto"/>
              <w:right w:val="single" w:sz="4" w:space="0" w:color="auto"/>
            </w:tcBorders>
            <w:shd w:val="clear" w:color="auto" w:fill="auto"/>
            <w:noWrap/>
            <w:vAlign w:val="bottom"/>
            <w:hideMark/>
          </w:tcPr>
          <w:p w14:paraId="1ECB0BB0" w14:textId="77777777" w:rsidR="00C27485" w:rsidRPr="005A4BB8" w:rsidRDefault="00C27485" w:rsidP="00C27485">
            <w:pPr>
              <w:jc w:val="right"/>
              <w:rPr>
                <w:rFonts w:cs="Calibri"/>
                <w:color w:val="000000"/>
                <w:sz w:val="20"/>
                <w:szCs w:val="20"/>
              </w:rPr>
            </w:pPr>
            <w:r w:rsidRPr="005A4BB8">
              <w:rPr>
                <w:rFonts w:cs="Calibri"/>
                <w:color w:val="000000"/>
                <w:sz w:val="20"/>
                <w:szCs w:val="20"/>
              </w:rPr>
              <w:t>0.29</w:t>
            </w:r>
          </w:p>
        </w:tc>
        <w:tc>
          <w:tcPr>
            <w:tcW w:w="0" w:type="auto"/>
            <w:tcBorders>
              <w:top w:val="nil"/>
              <w:left w:val="nil"/>
              <w:bottom w:val="single" w:sz="4" w:space="0" w:color="auto"/>
              <w:right w:val="single" w:sz="4" w:space="0" w:color="auto"/>
            </w:tcBorders>
            <w:shd w:val="clear" w:color="auto" w:fill="auto"/>
            <w:noWrap/>
            <w:vAlign w:val="bottom"/>
            <w:hideMark/>
          </w:tcPr>
          <w:p w14:paraId="6E8C2033" w14:textId="77777777" w:rsidR="00C27485" w:rsidRPr="005A4BB8" w:rsidRDefault="00C27485" w:rsidP="00C27485">
            <w:pPr>
              <w:jc w:val="right"/>
              <w:rPr>
                <w:rFonts w:cs="Calibri"/>
                <w:color w:val="000000"/>
                <w:sz w:val="20"/>
                <w:szCs w:val="20"/>
              </w:rPr>
            </w:pPr>
            <w:r w:rsidRPr="005A4BB8">
              <w:rPr>
                <w:rFonts w:cs="Calibri"/>
                <w:color w:val="000000"/>
                <w:sz w:val="20"/>
                <w:szCs w:val="20"/>
              </w:rPr>
              <w:t>0.51</w:t>
            </w:r>
          </w:p>
        </w:tc>
        <w:tc>
          <w:tcPr>
            <w:tcW w:w="0" w:type="auto"/>
            <w:tcBorders>
              <w:top w:val="nil"/>
              <w:left w:val="nil"/>
              <w:bottom w:val="single" w:sz="4" w:space="0" w:color="auto"/>
              <w:right w:val="single" w:sz="4" w:space="0" w:color="auto"/>
            </w:tcBorders>
            <w:shd w:val="clear" w:color="auto" w:fill="auto"/>
            <w:noWrap/>
            <w:vAlign w:val="bottom"/>
            <w:hideMark/>
          </w:tcPr>
          <w:p w14:paraId="10BC2663" w14:textId="77777777" w:rsidR="00C27485" w:rsidRPr="005A4BB8" w:rsidRDefault="00C27485" w:rsidP="00C27485">
            <w:pPr>
              <w:jc w:val="right"/>
              <w:rPr>
                <w:rFonts w:cs="Calibri"/>
                <w:color w:val="000000"/>
                <w:sz w:val="20"/>
                <w:szCs w:val="20"/>
              </w:rPr>
            </w:pPr>
            <w:r w:rsidRPr="005A4BB8">
              <w:rPr>
                <w:rFonts w:cs="Calibri"/>
                <w:color w:val="000000"/>
                <w:sz w:val="20"/>
                <w:szCs w:val="20"/>
              </w:rPr>
              <w:t>17.0</w:t>
            </w:r>
          </w:p>
        </w:tc>
        <w:tc>
          <w:tcPr>
            <w:tcW w:w="0" w:type="auto"/>
            <w:tcBorders>
              <w:top w:val="nil"/>
              <w:left w:val="nil"/>
              <w:bottom w:val="single" w:sz="4" w:space="0" w:color="auto"/>
              <w:right w:val="single" w:sz="4" w:space="0" w:color="auto"/>
            </w:tcBorders>
            <w:shd w:val="clear" w:color="auto" w:fill="auto"/>
            <w:noWrap/>
            <w:vAlign w:val="bottom"/>
            <w:hideMark/>
          </w:tcPr>
          <w:p w14:paraId="1D196022" w14:textId="77777777" w:rsidR="00C27485" w:rsidRPr="005A4BB8" w:rsidRDefault="00C27485" w:rsidP="00C27485">
            <w:pPr>
              <w:jc w:val="right"/>
              <w:rPr>
                <w:rFonts w:cs="Calibri"/>
                <w:color w:val="000000"/>
                <w:sz w:val="20"/>
                <w:szCs w:val="20"/>
              </w:rPr>
            </w:pPr>
            <w:r w:rsidRPr="005A4BB8">
              <w:rPr>
                <w:rFonts w:cs="Calibri"/>
                <w:color w:val="000000"/>
                <w:sz w:val="20"/>
                <w:szCs w:val="20"/>
              </w:rPr>
              <w:t>29.3</w:t>
            </w:r>
          </w:p>
        </w:tc>
        <w:tc>
          <w:tcPr>
            <w:tcW w:w="0" w:type="auto"/>
            <w:tcBorders>
              <w:top w:val="nil"/>
              <w:left w:val="nil"/>
              <w:bottom w:val="single" w:sz="4" w:space="0" w:color="auto"/>
              <w:right w:val="single" w:sz="4" w:space="0" w:color="auto"/>
            </w:tcBorders>
            <w:shd w:val="clear" w:color="auto" w:fill="auto"/>
            <w:noWrap/>
            <w:vAlign w:val="bottom"/>
            <w:hideMark/>
          </w:tcPr>
          <w:p w14:paraId="7189CCB8" w14:textId="77777777" w:rsidR="00C27485" w:rsidRPr="005A4BB8" w:rsidRDefault="00C27485" w:rsidP="00C27485">
            <w:pPr>
              <w:jc w:val="right"/>
              <w:rPr>
                <w:rFonts w:cs="Calibri"/>
                <w:color w:val="000000"/>
                <w:sz w:val="20"/>
                <w:szCs w:val="20"/>
              </w:rPr>
            </w:pPr>
            <w:r w:rsidRPr="005A4BB8">
              <w:rPr>
                <w:rFonts w:cs="Calibri"/>
                <w:color w:val="000000"/>
                <w:sz w:val="20"/>
                <w:szCs w:val="20"/>
              </w:rPr>
              <w:t>100.8</w:t>
            </w:r>
          </w:p>
        </w:tc>
        <w:tc>
          <w:tcPr>
            <w:tcW w:w="751" w:type="dxa"/>
            <w:tcBorders>
              <w:top w:val="nil"/>
              <w:left w:val="nil"/>
              <w:bottom w:val="single" w:sz="4" w:space="0" w:color="auto"/>
              <w:right w:val="single" w:sz="4" w:space="0" w:color="auto"/>
            </w:tcBorders>
            <w:shd w:val="clear" w:color="auto" w:fill="auto"/>
            <w:noWrap/>
            <w:vAlign w:val="bottom"/>
            <w:hideMark/>
          </w:tcPr>
          <w:p w14:paraId="4E7F9CEA" w14:textId="77777777" w:rsidR="00C27485" w:rsidRPr="005A4BB8" w:rsidRDefault="00C27485" w:rsidP="00C27485">
            <w:pPr>
              <w:jc w:val="right"/>
              <w:rPr>
                <w:rFonts w:cs="Calibri"/>
                <w:color w:val="000000"/>
                <w:sz w:val="20"/>
                <w:szCs w:val="20"/>
              </w:rPr>
            </w:pPr>
            <w:r w:rsidRPr="005A4BB8">
              <w:rPr>
                <w:rFonts w:cs="Calibri"/>
                <w:color w:val="000000"/>
                <w:sz w:val="20"/>
                <w:szCs w:val="20"/>
              </w:rPr>
              <w:t>100.2</w:t>
            </w:r>
          </w:p>
        </w:tc>
      </w:tr>
      <w:tr w:rsidR="00C27485" w:rsidRPr="00C27485" w14:paraId="7144FFDB" w14:textId="77777777" w:rsidTr="00C274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B79FA0" w14:textId="77777777" w:rsidR="00C27485" w:rsidRPr="005A4BB8" w:rsidRDefault="00C27485" w:rsidP="00C27485">
            <w:pPr>
              <w:jc w:val="right"/>
              <w:rPr>
                <w:rFonts w:cs="Calibri"/>
                <w:color w:val="000000"/>
                <w:sz w:val="20"/>
                <w:szCs w:val="20"/>
              </w:rPr>
            </w:pPr>
            <w:r w:rsidRPr="005A4BB8">
              <w:rPr>
                <w:rFonts w:cs="Calibri"/>
                <w:color w:val="000000"/>
                <w:sz w:val="20"/>
                <w:szCs w:val="20"/>
              </w:rPr>
              <w:t>25-Jul</w:t>
            </w:r>
          </w:p>
        </w:tc>
        <w:tc>
          <w:tcPr>
            <w:tcW w:w="0" w:type="auto"/>
            <w:tcBorders>
              <w:top w:val="nil"/>
              <w:left w:val="nil"/>
              <w:bottom w:val="single" w:sz="4" w:space="0" w:color="auto"/>
              <w:right w:val="single" w:sz="4" w:space="0" w:color="auto"/>
            </w:tcBorders>
            <w:shd w:val="clear" w:color="auto" w:fill="auto"/>
            <w:noWrap/>
            <w:vAlign w:val="bottom"/>
            <w:hideMark/>
          </w:tcPr>
          <w:p w14:paraId="46739FA8" w14:textId="77777777" w:rsidR="00C27485" w:rsidRPr="005A4BB8" w:rsidRDefault="00C27485" w:rsidP="00C27485">
            <w:pPr>
              <w:rPr>
                <w:rFonts w:cs="Calibri"/>
                <w:color w:val="000000"/>
                <w:sz w:val="20"/>
                <w:szCs w:val="20"/>
              </w:rPr>
            </w:pPr>
            <w:r w:rsidRPr="005A4BB8">
              <w:rPr>
                <w:rFonts w:cs="Calibri"/>
                <w:color w:val="000000"/>
                <w:sz w:val="20"/>
                <w:szCs w:val="20"/>
              </w:rPr>
              <w:t>4-7 p.m.</w:t>
            </w:r>
          </w:p>
        </w:tc>
        <w:tc>
          <w:tcPr>
            <w:tcW w:w="0" w:type="auto"/>
            <w:tcBorders>
              <w:top w:val="nil"/>
              <w:left w:val="nil"/>
              <w:bottom w:val="single" w:sz="4" w:space="0" w:color="auto"/>
              <w:right w:val="single" w:sz="4" w:space="0" w:color="auto"/>
            </w:tcBorders>
            <w:shd w:val="clear" w:color="auto" w:fill="auto"/>
            <w:noWrap/>
            <w:vAlign w:val="bottom"/>
            <w:hideMark/>
          </w:tcPr>
          <w:p w14:paraId="5CC0C466" w14:textId="77777777" w:rsidR="00C27485" w:rsidRPr="005A4BB8" w:rsidRDefault="00C27485" w:rsidP="00C27485">
            <w:pPr>
              <w:jc w:val="right"/>
              <w:rPr>
                <w:rFonts w:cs="Calibri"/>
                <w:color w:val="000000"/>
                <w:sz w:val="20"/>
                <w:szCs w:val="20"/>
              </w:rPr>
            </w:pPr>
            <w:r w:rsidRPr="005A4BB8">
              <w:rPr>
                <w:rFonts w:cs="Calibri"/>
                <w:color w:val="000000"/>
                <w:sz w:val="20"/>
                <w:szCs w:val="20"/>
              </w:rPr>
              <w:t>20,269</w:t>
            </w:r>
          </w:p>
        </w:tc>
        <w:tc>
          <w:tcPr>
            <w:tcW w:w="0" w:type="auto"/>
            <w:tcBorders>
              <w:top w:val="nil"/>
              <w:left w:val="nil"/>
              <w:bottom w:val="single" w:sz="4" w:space="0" w:color="auto"/>
              <w:right w:val="single" w:sz="4" w:space="0" w:color="auto"/>
            </w:tcBorders>
            <w:shd w:val="clear" w:color="auto" w:fill="auto"/>
            <w:noWrap/>
            <w:vAlign w:val="bottom"/>
            <w:hideMark/>
          </w:tcPr>
          <w:p w14:paraId="6A3B6B1F" w14:textId="77777777" w:rsidR="00C27485" w:rsidRPr="005A4BB8" w:rsidRDefault="00C27485" w:rsidP="00C27485">
            <w:pPr>
              <w:jc w:val="right"/>
              <w:rPr>
                <w:rFonts w:cs="Calibri"/>
                <w:color w:val="000000"/>
                <w:sz w:val="20"/>
                <w:szCs w:val="20"/>
              </w:rPr>
            </w:pPr>
            <w:r w:rsidRPr="005A4BB8">
              <w:rPr>
                <w:rFonts w:cs="Calibri"/>
                <w:color w:val="000000"/>
                <w:sz w:val="20"/>
                <w:szCs w:val="20"/>
              </w:rPr>
              <w:t>20,269</w:t>
            </w:r>
          </w:p>
        </w:tc>
        <w:tc>
          <w:tcPr>
            <w:tcW w:w="0" w:type="auto"/>
            <w:tcBorders>
              <w:top w:val="nil"/>
              <w:left w:val="nil"/>
              <w:bottom w:val="single" w:sz="4" w:space="0" w:color="auto"/>
              <w:right w:val="single" w:sz="4" w:space="0" w:color="auto"/>
            </w:tcBorders>
            <w:shd w:val="clear" w:color="auto" w:fill="auto"/>
            <w:noWrap/>
            <w:vAlign w:val="bottom"/>
            <w:hideMark/>
          </w:tcPr>
          <w:p w14:paraId="04897DF3" w14:textId="77777777" w:rsidR="00C27485" w:rsidRPr="005A4BB8" w:rsidRDefault="00C27485" w:rsidP="00C27485">
            <w:pPr>
              <w:jc w:val="right"/>
              <w:rPr>
                <w:rFonts w:cs="Calibri"/>
                <w:color w:val="000000"/>
                <w:sz w:val="20"/>
                <w:szCs w:val="20"/>
              </w:rPr>
            </w:pPr>
            <w:r w:rsidRPr="005A4BB8">
              <w:rPr>
                <w:rFonts w:cs="Calibri"/>
                <w:color w:val="000000"/>
                <w:sz w:val="20"/>
                <w:szCs w:val="20"/>
              </w:rPr>
              <w:t>24,902</w:t>
            </w:r>
          </w:p>
        </w:tc>
        <w:tc>
          <w:tcPr>
            <w:tcW w:w="0" w:type="auto"/>
            <w:tcBorders>
              <w:top w:val="nil"/>
              <w:left w:val="nil"/>
              <w:bottom w:val="single" w:sz="4" w:space="0" w:color="auto"/>
              <w:right w:val="single" w:sz="4" w:space="0" w:color="auto"/>
            </w:tcBorders>
            <w:shd w:val="clear" w:color="auto" w:fill="auto"/>
            <w:noWrap/>
            <w:vAlign w:val="bottom"/>
            <w:hideMark/>
          </w:tcPr>
          <w:p w14:paraId="29B18628" w14:textId="77777777" w:rsidR="00C27485" w:rsidRPr="005A4BB8" w:rsidRDefault="00C27485" w:rsidP="00C27485">
            <w:pPr>
              <w:jc w:val="right"/>
              <w:rPr>
                <w:rFonts w:cs="Calibri"/>
                <w:color w:val="000000"/>
                <w:sz w:val="20"/>
                <w:szCs w:val="20"/>
              </w:rPr>
            </w:pPr>
            <w:r w:rsidRPr="005A4BB8">
              <w:rPr>
                <w:rFonts w:cs="Calibri"/>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hideMark/>
          </w:tcPr>
          <w:p w14:paraId="1A746CD3" w14:textId="77777777" w:rsidR="00C27485" w:rsidRPr="005A4BB8" w:rsidRDefault="00C27485" w:rsidP="00C27485">
            <w:pPr>
              <w:jc w:val="right"/>
              <w:rPr>
                <w:rFonts w:cs="Calibri"/>
                <w:color w:val="000000"/>
                <w:sz w:val="20"/>
                <w:szCs w:val="20"/>
              </w:rPr>
            </w:pPr>
            <w:r w:rsidRPr="005A4BB8">
              <w:rPr>
                <w:rFonts w:cs="Calibri"/>
                <w:color w:val="000000"/>
                <w:sz w:val="20"/>
                <w:szCs w:val="20"/>
              </w:rPr>
              <w:t>0.57</w:t>
            </w:r>
          </w:p>
        </w:tc>
        <w:tc>
          <w:tcPr>
            <w:tcW w:w="0" w:type="auto"/>
            <w:tcBorders>
              <w:top w:val="nil"/>
              <w:left w:val="nil"/>
              <w:bottom w:val="single" w:sz="4" w:space="0" w:color="auto"/>
              <w:right w:val="single" w:sz="4" w:space="0" w:color="auto"/>
            </w:tcBorders>
            <w:shd w:val="clear" w:color="auto" w:fill="auto"/>
            <w:noWrap/>
            <w:vAlign w:val="bottom"/>
            <w:hideMark/>
          </w:tcPr>
          <w:p w14:paraId="7F7F8848" w14:textId="77777777" w:rsidR="00C27485" w:rsidRPr="005A4BB8" w:rsidRDefault="00C27485" w:rsidP="00C27485">
            <w:pPr>
              <w:jc w:val="right"/>
              <w:rPr>
                <w:rFonts w:cs="Calibri"/>
                <w:color w:val="000000"/>
                <w:sz w:val="20"/>
                <w:szCs w:val="20"/>
              </w:rPr>
            </w:pPr>
            <w:r w:rsidRPr="005A4BB8">
              <w:rPr>
                <w:rFonts w:cs="Calibri"/>
                <w:color w:val="000000"/>
                <w:sz w:val="20"/>
                <w:szCs w:val="20"/>
              </w:rPr>
              <w:t>8.8</w:t>
            </w:r>
          </w:p>
        </w:tc>
        <w:tc>
          <w:tcPr>
            <w:tcW w:w="0" w:type="auto"/>
            <w:tcBorders>
              <w:top w:val="nil"/>
              <w:left w:val="nil"/>
              <w:bottom w:val="single" w:sz="4" w:space="0" w:color="auto"/>
              <w:right w:val="single" w:sz="4" w:space="0" w:color="auto"/>
            </w:tcBorders>
            <w:shd w:val="clear" w:color="auto" w:fill="auto"/>
            <w:noWrap/>
            <w:vAlign w:val="bottom"/>
            <w:hideMark/>
          </w:tcPr>
          <w:p w14:paraId="5A9C23BF" w14:textId="77777777" w:rsidR="00C27485" w:rsidRPr="005A4BB8" w:rsidRDefault="00C27485" w:rsidP="00C27485">
            <w:pPr>
              <w:jc w:val="right"/>
              <w:rPr>
                <w:rFonts w:cs="Calibri"/>
                <w:color w:val="000000"/>
                <w:sz w:val="20"/>
                <w:szCs w:val="20"/>
              </w:rPr>
            </w:pPr>
            <w:r w:rsidRPr="005A4BB8">
              <w:rPr>
                <w:rFonts w:cs="Calibri"/>
                <w:color w:val="000000"/>
                <w:sz w:val="20"/>
                <w:szCs w:val="20"/>
              </w:rPr>
              <w:t>11.6</w:t>
            </w:r>
          </w:p>
        </w:tc>
        <w:tc>
          <w:tcPr>
            <w:tcW w:w="0" w:type="auto"/>
            <w:tcBorders>
              <w:top w:val="nil"/>
              <w:left w:val="nil"/>
              <w:bottom w:val="single" w:sz="4" w:space="0" w:color="auto"/>
              <w:right w:val="single" w:sz="4" w:space="0" w:color="auto"/>
            </w:tcBorders>
            <w:shd w:val="clear" w:color="auto" w:fill="auto"/>
            <w:noWrap/>
            <w:vAlign w:val="bottom"/>
            <w:hideMark/>
          </w:tcPr>
          <w:p w14:paraId="33143E50" w14:textId="77777777" w:rsidR="00C27485" w:rsidRPr="005A4BB8" w:rsidRDefault="00C27485" w:rsidP="00C27485">
            <w:pPr>
              <w:jc w:val="right"/>
              <w:rPr>
                <w:rFonts w:cs="Calibri"/>
                <w:color w:val="000000"/>
                <w:sz w:val="20"/>
                <w:szCs w:val="20"/>
              </w:rPr>
            </w:pPr>
            <w:r w:rsidRPr="005A4BB8">
              <w:rPr>
                <w:rFonts w:cs="Calibri"/>
                <w:color w:val="000000"/>
                <w:sz w:val="20"/>
                <w:szCs w:val="20"/>
              </w:rPr>
              <w:t>100.9</w:t>
            </w:r>
          </w:p>
        </w:tc>
        <w:tc>
          <w:tcPr>
            <w:tcW w:w="751" w:type="dxa"/>
            <w:tcBorders>
              <w:top w:val="nil"/>
              <w:left w:val="nil"/>
              <w:bottom w:val="single" w:sz="4" w:space="0" w:color="auto"/>
              <w:right w:val="single" w:sz="4" w:space="0" w:color="auto"/>
            </w:tcBorders>
            <w:shd w:val="clear" w:color="auto" w:fill="auto"/>
            <w:noWrap/>
            <w:vAlign w:val="bottom"/>
            <w:hideMark/>
          </w:tcPr>
          <w:p w14:paraId="2AA75A6E" w14:textId="77777777" w:rsidR="00C27485" w:rsidRPr="005A4BB8" w:rsidRDefault="00C27485" w:rsidP="00C27485">
            <w:pPr>
              <w:jc w:val="right"/>
              <w:rPr>
                <w:rFonts w:cs="Calibri"/>
                <w:color w:val="000000"/>
                <w:sz w:val="20"/>
                <w:szCs w:val="20"/>
              </w:rPr>
            </w:pPr>
            <w:r w:rsidRPr="005A4BB8">
              <w:rPr>
                <w:rFonts w:cs="Calibri"/>
                <w:color w:val="000000"/>
                <w:sz w:val="20"/>
                <w:szCs w:val="20"/>
              </w:rPr>
              <w:t>98.8</w:t>
            </w:r>
          </w:p>
        </w:tc>
      </w:tr>
      <w:tr w:rsidR="00C27485" w:rsidRPr="00C27485" w14:paraId="79F91E2E" w14:textId="77777777" w:rsidTr="00C274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1862D9" w14:textId="77777777" w:rsidR="00C27485" w:rsidRPr="005A4BB8" w:rsidRDefault="00C27485" w:rsidP="00C27485">
            <w:pPr>
              <w:jc w:val="right"/>
              <w:rPr>
                <w:rFonts w:cs="Calibri"/>
                <w:color w:val="000000"/>
                <w:sz w:val="20"/>
                <w:szCs w:val="20"/>
              </w:rPr>
            </w:pPr>
            <w:r w:rsidRPr="005A4BB8">
              <w:rPr>
                <w:rFonts w:cs="Calibri"/>
                <w:color w:val="000000"/>
                <w:sz w:val="20"/>
                <w:szCs w:val="20"/>
              </w:rPr>
              <w:t>26-Jul</w:t>
            </w:r>
          </w:p>
        </w:tc>
        <w:tc>
          <w:tcPr>
            <w:tcW w:w="0" w:type="auto"/>
            <w:tcBorders>
              <w:top w:val="nil"/>
              <w:left w:val="nil"/>
              <w:bottom w:val="single" w:sz="4" w:space="0" w:color="auto"/>
              <w:right w:val="single" w:sz="4" w:space="0" w:color="auto"/>
            </w:tcBorders>
            <w:shd w:val="clear" w:color="auto" w:fill="auto"/>
            <w:noWrap/>
            <w:vAlign w:val="bottom"/>
            <w:hideMark/>
          </w:tcPr>
          <w:p w14:paraId="65952D6B" w14:textId="77777777" w:rsidR="00C27485" w:rsidRPr="005A4BB8" w:rsidRDefault="00C27485" w:rsidP="00C27485">
            <w:pPr>
              <w:rPr>
                <w:rFonts w:cs="Calibri"/>
                <w:color w:val="000000"/>
                <w:sz w:val="20"/>
                <w:szCs w:val="20"/>
              </w:rPr>
            </w:pPr>
            <w:r w:rsidRPr="005A4BB8">
              <w:rPr>
                <w:rFonts w:cs="Calibri"/>
                <w:color w:val="000000"/>
                <w:sz w:val="20"/>
                <w:szCs w:val="20"/>
              </w:rPr>
              <w:t>3-7 p.m.</w:t>
            </w:r>
          </w:p>
        </w:tc>
        <w:tc>
          <w:tcPr>
            <w:tcW w:w="0" w:type="auto"/>
            <w:tcBorders>
              <w:top w:val="nil"/>
              <w:left w:val="nil"/>
              <w:bottom w:val="single" w:sz="4" w:space="0" w:color="auto"/>
              <w:right w:val="single" w:sz="4" w:space="0" w:color="auto"/>
            </w:tcBorders>
            <w:shd w:val="clear" w:color="auto" w:fill="auto"/>
            <w:noWrap/>
            <w:vAlign w:val="bottom"/>
            <w:hideMark/>
          </w:tcPr>
          <w:p w14:paraId="26FC5530" w14:textId="77777777" w:rsidR="00C27485" w:rsidRPr="005A4BB8" w:rsidRDefault="00C27485" w:rsidP="00C27485">
            <w:pPr>
              <w:jc w:val="right"/>
              <w:rPr>
                <w:rFonts w:cs="Calibri"/>
                <w:color w:val="000000"/>
                <w:sz w:val="20"/>
                <w:szCs w:val="20"/>
              </w:rPr>
            </w:pPr>
            <w:r w:rsidRPr="005A4BB8">
              <w:rPr>
                <w:rFonts w:cs="Calibri"/>
                <w:color w:val="000000"/>
                <w:sz w:val="20"/>
                <w:szCs w:val="20"/>
              </w:rPr>
              <w:t>28,088</w:t>
            </w:r>
          </w:p>
        </w:tc>
        <w:tc>
          <w:tcPr>
            <w:tcW w:w="0" w:type="auto"/>
            <w:tcBorders>
              <w:top w:val="nil"/>
              <w:left w:val="nil"/>
              <w:bottom w:val="single" w:sz="4" w:space="0" w:color="auto"/>
              <w:right w:val="single" w:sz="4" w:space="0" w:color="auto"/>
            </w:tcBorders>
            <w:shd w:val="clear" w:color="auto" w:fill="auto"/>
            <w:noWrap/>
            <w:vAlign w:val="bottom"/>
            <w:hideMark/>
          </w:tcPr>
          <w:p w14:paraId="395CDAD2" w14:textId="77777777" w:rsidR="00C27485" w:rsidRPr="005A4BB8" w:rsidRDefault="00C27485" w:rsidP="00C27485">
            <w:pPr>
              <w:jc w:val="right"/>
              <w:rPr>
                <w:rFonts w:cs="Calibri"/>
                <w:color w:val="000000"/>
                <w:sz w:val="20"/>
                <w:szCs w:val="20"/>
              </w:rPr>
            </w:pPr>
            <w:r w:rsidRPr="005A4BB8">
              <w:rPr>
                <w:rFonts w:cs="Calibri"/>
                <w:color w:val="000000"/>
                <w:sz w:val="20"/>
                <w:szCs w:val="20"/>
              </w:rPr>
              <w:t>50,717</w:t>
            </w:r>
          </w:p>
        </w:tc>
        <w:tc>
          <w:tcPr>
            <w:tcW w:w="0" w:type="auto"/>
            <w:tcBorders>
              <w:top w:val="nil"/>
              <w:left w:val="nil"/>
              <w:bottom w:val="single" w:sz="4" w:space="0" w:color="auto"/>
              <w:right w:val="single" w:sz="4" w:space="0" w:color="auto"/>
            </w:tcBorders>
            <w:shd w:val="clear" w:color="auto" w:fill="auto"/>
            <w:noWrap/>
            <w:vAlign w:val="bottom"/>
            <w:hideMark/>
          </w:tcPr>
          <w:p w14:paraId="3A436F99" w14:textId="77777777" w:rsidR="00C27485" w:rsidRPr="005A4BB8" w:rsidRDefault="00C27485" w:rsidP="00C27485">
            <w:pPr>
              <w:jc w:val="right"/>
              <w:rPr>
                <w:rFonts w:cs="Calibri"/>
                <w:color w:val="000000"/>
                <w:sz w:val="20"/>
                <w:szCs w:val="20"/>
              </w:rPr>
            </w:pPr>
            <w:r w:rsidRPr="005A4BB8">
              <w:rPr>
                <w:rFonts w:cs="Calibri"/>
                <w:color w:val="000000"/>
                <w:sz w:val="20"/>
                <w:szCs w:val="20"/>
              </w:rPr>
              <w:t>62,397</w:t>
            </w:r>
          </w:p>
        </w:tc>
        <w:tc>
          <w:tcPr>
            <w:tcW w:w="0" w:type="auto"/>
            <w:tcBorders>
              <w:top w:val="nil"/>
              <w:left w:val="nil"/>
              <w:bottom w:val="single" w:sz="4" w:space="0" w:color="auto"/>
              <w:right w:val="single" w:sz="4" w:space="0" w:color="auto"/>
            </w:tcBorders>
            <w:shd w:val="clear" w:color="auto" w:fill="auto"/>
            <w:noWrap/>
            <w:vAlign w:val="bottom"/>
            <w:hideMark/>
          </w:tcPr>
          <w:p w14:paraId="481D1B18" w14:textId="77777777" w:rsidR="00C27485" w:rsidRPr="005A4BB8" w:rsidRDefault="00C27485" w:rsidP="00C27485">
            <w:pPr>
              <w:jc w:val="right"/>
              <w:rPr>
                <w:rFonts w:cs="Calibri"/>
                <w:color w:val="000000"/>
                <w:sz w:val="20"/>
                <w:szCs w:val="20"/>
              </w:rPr>
            </w:pPr>
            <w:r w:rsidRPr="005A4BB8">
              <w:rPr>
                <w:rFonts w:cs="Calibri"/>
                <w:color w:val="000000"/>
                <w:sz w:val="20"/>
                <w:szCs w:val="20"/>
              </w:rPr>
              <w:t>0.32</w:t>
            </w:r>
          </w:p>
        </w:tc>
        <w:tc>
          <w:tcPr>
            <w:tcW w:w="0" w:type="auto"/>
            <w:tcBorders>
              <w:top w:val="nil"/>
              <w:left w:val="nil"/>
              <w:bottom w:val="single" w:sz="4" w:space="0" w:color="auto"/>
              <w:right w:val="single" w:sz="4" w:space="0" w:color="auto"/>
            </w:tcBorders>
            <w:shd w:val="clear" w:color="auto" w:fill="auto"/>
            <w:noWrap/>
            <w:vAlign w:val="bottom"/>
            <w:hideMark/>
          </w:tcPr>
          <w:p w14:paraId="1FA551BF" w14:textId="77777777" w:rsidR="00C27485" w:rsidRPr="005A4BB8" w:rsidRDefault="00C27485" w:rsidP="00C27485">
            <w:pPr>
              <w:jc w:val="right"/>
              <w:rPr>
                <w:rFonts w:cs="Calibri"/>
                <w:color w:val="000000"/>
                <w:sz w:val="20"/>
                <w:szCs w:val="20"/>
              </w:rPr>
            </w:pPr>
            <w:r w:rsidRPr="005A4BB8">
              <w:rPr>
                <w:rFonts w:cs="Calibri"/>
                <w:color w:val="000000"/>
                <w:sz w:val="20"/>
                <w:szCs w:val="20"/>
              </w:rPr>
              <w:t>0.55</w:t>
            </w:r>
          </w:p>
        </w:tc>
        <w:tc>
          <w:tcPr>
            <w:tcW w:w="0" w:type="auto"/>
            <w:tcBorders>
              <w:top w:val="nil"/>
              <w:left w:val="nil"/>
              <w:bottom w:val="single" w:sz="4" w:space="0" w:color="auto"/>
              <w:right w:val="single" w:sz="4" w:space="0" w:color="auto"/>
            </w:tcBorders>
            <w:shd w:val="clear" w:color="auto" w:fill="auto"/>
            <w:noWrap/>
            <w:vAlign w:val="bottom"/>
            <w:hideMark/>
          </w:tcPr>
          <w:p w14:paraId="243DC0B0" w14:textId="77777777" w:rsidR="00C27485" w:rsidRPr="005A4BB8" w:rsidRDefault="00C27485" w:rsidP="00C27485">
            <w:pPr>
              <w:jc w:val="right"/>
              <w:rPr>
                <w:rFonts w:cs="Calibri"/>
                <w:color w:val="000000"/>
                <w:sz w:val="20"/>
                <w:szCs w:val="20"/>
              </w:rPr>
            </w:pPr>
            <w:r w:rsidRPr="005A4BB8">
              <w:rPr>
                <w:rFonts w:cs="Calibri"/>
                <w:color w:val="000000"/>
                <w:sz w:val="20"/>
                <w:szCs w:val="20"/>
              </w:rPr>
              <w:t>8.9</w:t>
            </w:r>
          </w:p>
        </w:tc>
        <w:tc>
          <w:tcPr>
            <w:tcW w:w="0" w:type="auto"/>
            <w:tcBorders>
              <w:top w:val="nil"/>
              <w:left w:val="nil"/>
              <w:bottom w:val="single" w:sz="4" w:space="0" w:color="auto"/>
              <w:right w:val="single" w:sz="4" w:space="0" w:color="auto"/>
            </w:tcBorders>
            <w:shd w:val="clear" w:color="auto" w:fill="auto"/>
            <w:noWrap/>
            <w:vAlign w:val="bottom"/>
            <w:hideMark/>
          </w:tcPr>
          <w:p w14:paraId="7015F188" w14:textId="77777777" w:rsidR="00C27485" w:rsidRPr="005A4BB8" w:rsidRDefault="00C27485" w:rsidP="00C27485">
            <w:pPr>
              <w:jc w:val="right"/>
              <w:rPr>
                <w:rFonts w:cs="Calibri"/>
                <w:color w:val="000000"/>
                <w:sz w:val="20"/>
                <w:szCs w:val="20"/>
              </w:rPr>
            </w:pPr>
            <w:r w:rsidRPr="005A4BB8">
              <w:rPr>
                <w:rFonts w:cs="Calibri"/>
                <w:color w:val="000000"/>
                <w:sz w:val="20"/>
                <w:szCs w:val="20"/>
              </w:rPr>
              <w:t>15.5</w:t>
            </w:r>
          </w:p>
        </w:tc>
        <w:tc>
          <w:tcPr>
            <w:tcW w:w="0" w:type="auto"/>
            <w:tcBorders>
              <w:top w:val="nil"/>
              <w:left w:val="nil"/>
              <w:bottom w:val="single" w:sz="4" w:space="0" w:color="auto"/>
              <w:right w:val="single" w:sz="4" w:space="0" w:color="auto"/>
            </w:tcBorders>
            <w:shd w:val="clear" w:color="auto" w:fill="auto"/>
            <w:noWrap/>
            <w:vAlign w:val="bottom"/>
            <w:hideMark/>
          </w:tcPr>
          <w:p w14:paraId="14DFE732" w14:textId="77777777" w:rsidR="00C27485" w:rsidRPr="005A4BB8" w:rsidRDefault="00C27485" w:rsidP="00C27485">
            <w:pPr>
              <w:jc w:val="right"/>
              <w:rPr>
                <w:rFonts w:cs="Calibri"/>
                <w:color w:val="000000"/>
                <w:sz w:val="20"/>
                <w:szCs w:val="20"/>
              </w:rPr>
            </w:pPr>
            <w:r w:rsidRPr="005A4BB8">
              <w:rPr>
                <w:rFonts w:cs="Calibri"/>
                <w:color w:val="000000"/>
                <w:sz w:val="20"/>
                <w:szCs w:val="20"/>
              </w:rPr>
              <w:t>90.7</w:t>
            </w:r>
          </w:p>
        </w:tc>
        <w:tc>
          <w:tcPr>
            <w:tcW w:w="751" w:type="dxa"/>
            <w:tcBorders>
              <w:top w:val="nil"/>
              <w:left w:val="nil"/>
              <w:bottom w:val="single" w:sz="4" w:space="0" w:color="auto"/>
              <w:right w:val="single" w:sz="4" w:space="0" w:color="auto"/>
            </w:tcBorders>
            <w:shd w:val="clear" w:color="auto" w:fill="auto"/>
            <w:noWrap/>
            <w:vAlign w:val="bottom"/>
            <w:hideMark/>
          </w:tcPr>
          <w:p w14:paraId="6CB51525" w14:textId="77777777" w:rsidR="00C27485" w:rsidRPr="005A4BB8" w:rsidRDefault="00C27485" w:rsidP="00C27485">
            <w:pPr>
              <w:jc w:val="right"/>
              <w:rPr>
                <w:rFonts w:cs="Calibri"/>
                <w:color w:val="000000"/>
                <w:sz w:val="20"/>
                <w:szCs w:val="20"/>
              </w:rPr>
            </w:pPr>
            <w:r w:rsidRPr="005A4BB8">
              <w:rPr>
                <w:rFonts w:cs="Calibri"/>
                <w:color w:val="000000"/>
                <w:sz w:val="20"/>
                <w:szCs w:val="20"/>
              </w:rPr>
              <w:t>94.6</w:t>
            </w:r>
          </w:p>
        </w:tc>
      </w:tr>
      <w:tr w:rsidR="00C27485" w:rsidRPr="00C27485" w14:paraId="4E4E1988" w14:textId="77777777" w:rsidTr="00C274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07C0B9" w14:textId="77777777" w:rsidR="00C27485" w:rsidRPr="005A4BB8" w:rsidRDefault="00C27485" w:rsidP="00C27485">
            <w:pPr>
              <w:jc w:val="right"/>
              <w:rPr>
                <w:rFonts w:cs="Calibri"/>
                <w:color w:val="000000"/>
                <w:sz w:val="20"/>
                <w:szCs w:val="20"/>
              </w:rPr>
            </w:pPr>
            <w:r w:rsidRPr="005A4BB8">
              <w:rPr>
                <w:rFonts w:cs="Calibri"/>
                <w:color w:val="000000"/>
                <w:sz w:val="20"/>
                <w:szCs w:val="20"/>
              </w:rPr>
              <w:t>27-Jul</w:t>
            </w:r>
          </w:p>
        </w:tc>
        <w:tc>
          <w:tcPr>
            <w:tcW w:w="0" w:type="auto"/>
            <w:tcBorders>
              <w:top w:val="nil"/>
              <w:left w:val="nil"/>
              <w:bottom w:val="single" w:sz="4" w:space="0" w:color="auto"/>
              <w:right w:val="single" w:sz="4" w:space="0" w:color="auto"/>
            </w:tcBorders>
            <w:shd w:val="clear" w:color="auto" w:fill="auto"/>
            <w:noWrap/>
            <w:vAlign w:val="bottom"/>
            <w:hideMark/>
          </w:tcPr>
          <w:p w14:paraId="75795657" w14:textId="77777777" w:rsidR="00C27485" w:rsidRPr="005A4BB8" w:rsidRDefault="00C27485" w:rsidP="00C27485">
            <w:pPr>
              <w:rPr>
                <w:rFonts w:cs="Calibri"/>
                <w:color w:val="000000"/>
                <w:sz w:val="20"/>
                <w:szCs w:val="20"/>
              </w:rPr>
            </w:pPr>
            <w:r w:rsidRPr="005A4BB8">
              <w:rPr>
                <w:rFonts w:cs="Calibri"/>
                <w:color w:val="000000"/>
                <w:sz w:val="20"/>
                <w:szCs w:val="20"/>
              </w:rPr>
              <w:t>7-11:59 p.m.</w:t>
            </w:r>
          </w:p>
        </w:tc>
        <w:tc>
          <w:tcPr>
            <w:tcW w:w="0" w:type="auto"/>
            <w:tcBorders>
              <w:top w:val="nil"/>
              <w:left w:val="nil"/>
              <w:bottom w:val="single" w:sz="4" w:space="0" w:color="auto"/>
              <w:right w:val="single" w:sz="4" w:space="0" w:color="auto"/>
            </w:tcBorders>
            <w:shd w:val="clear" w:color="auto" w:fill="auto"/>
            <w:noWrap/>
            <w:vAlign w:val="bottom"/>
            <w:hideMark/>
          </w:tcPr>
          <w:p w14:paraId="4AF23F57" w14:textId="77777777" w:rsidR="00C27485" w:rsidRPr="005A4BB8" w:rsidRDefault="00C27485" w:rsidP="00C27485">
            <w:pPr>
              <w:jc w:val="right"/>
              <w:rPr>
                <w:rFonts w:cs="Calibri"/>
                <w:color w:val="000000"/>
                <w:sz w:val="20"/>
                <w:szCs w:val="20"/>
              </w:rPr>
            </w:pPr>
            <w:r w:rsidRPr="005A4BB8">
              <w:rPr>
                <w:rFonts w:cs="Calibri"/>
                <w:color w:val="000000"/>
                <w:sz w:val="20"/>
                <w:szCs w:val="20"/>
              </w:rPr>
              <w:t>731</w:t>
            </w:r>
          </w:p>
        </w:tc>
        <w:tc>
          <w:tcPr>
            <w:tcW w:w="0" w:type="auto"/>
            <w:tcBorders>
              <w:top w:val="nil"/>
              <w:left w:val="nil"/>
              <w:bottom w:val="single" w:sz="4" w:space="0" w:color="auto"/>
              <w:right w:val="single" w:sz="4" w:space="0" w:color="auto"/>
            </w:tcBorders>
            <w:shd w:val="clear" w:color="auto" w:fill="auto"/>
            <w:noWrap/>
            <w:vAlign w:val="bottom"/>
            <w:hideMark/>
          </w:tcPr>
          <w:p w14:paraId="4A74D0A2" w14:textId="77777777" w:rsidR="00C27485" w:rsidRPr="005A4BB8" w:rsidRDefault="00C27485" w:rsidP="00C27485">
            <w:pPr>
              <w:jc w:val="right"/>
              <w:rPr>
                <w:rFonts w:cs="Calibri"/>
                <w:color w:val="000000"/>
                <w:sz w:val="20"/>
                <w:szCs w:val="20"/>
              </w:rPr>
            </w:pPr>
            <w:r w:rsidRPr="005A4BB8">
              <w:rPr>
                <w:rFonts w:cs="Calibri"/>
                <w:color w:val="000000"/>
                <w:sz w:val="20"/>
                <w:szCs w:val="20"/>
              </w:rPr>
              <w:t>4,519</w:t>
            </w:r>
          </w:p>
        </w:tc>
        <w:tc>
          <w:tcPr>
            <w:tcW w:w="0" w:type="auto"/>
            <w:tcBorders>
              <w:top w:val="nil"/>
              <w:left w:val="nil"/>
              <w:bottom w:val="single" w:sz="4" w:space="0" w:color="auto"/>
              <w:right w:val="single" w:sz="4" w:space="0" w:color="auto"/>
            </w:tcBorders>
            <w:shd w:val="clear" w:color="auto" w:fill="auto"/>
            <w:noWrap/>
            <w:vAlign w:val="bottom"/>
            <w:hideMark/>
          </w:tcPr>
          <w:p w14:paraId="7E74C37E" w14:textId="77777777" w:rsidR="00C27485" w:rsidRPr="005A4BB8" w:rsidRDefault="00C27485" w:rsidP="00C27485">
            <w:pPr>
              <w:jc w:val="right"/>
              <w:rPr>
                <w:rFonts w:cs="Calibri"/>
                <w:color w:val="000000"/>
                <w:sz w:val="20"/>
                <w:szCs w:val="20"/>
              </w:rPr>
            </w:pPr>
            <w:r w:rsidRPr="005A4BB8">
              <w:rPr>
                <w:rFonts w:cs="Calibri"/>
                <w:color w:val="000000"/>
                <w:sz w:val="20"/>
                <w:szCs w:val="20"/>
              </w:rPr>
              <w:t>4,139</w:t>
            </w:r>
          </w:p>
        </w:tc>
        <w:tc>
          <w:tcPr>
            <w:tcW w:w="0" w:type="auto"/>
            <w:tcBorders>
              <w:top w:val="nil"/>
              <w:left w:val="nil"/>
              <w:bottom w:val="single" w:sz="4" w:space="0" w:color="auto"/>
              <w:right w:val="single" w:sz="4" w:space="0" w:color="auto"/>
            </w:tcBorders>
            <w:shd w:val="clear" w:color="auto" w:fill="auto"/>
            <w:noWrap/>
            <w:vAlign w:val="bottom"/>
            <w:hideMark/>
          </w:tcPr>
          <w:p w14:paraId="607CC783" w14:textId="77777777" w:rsidR="00C27485" w:rsidRPr="005A4BB8" w:rsidRDefault="00C27485" w:rsidP="00C27485">
            <w:pPr>
              <w:jc w:val="right"/>
              <w:rPr>
                <w:rFonts w:cs="Calibri"/>
                <w:color w:val="000000"/>
                <w:sz w:val="20"/>
                <w:szCs w:val="20"/>
              </w:rPr>
            </w:pPr>
            <w:r w:rsidRPr="005A4BB8">
              <w:rPr>
                <w:rFonts w:cs="Calibri"/>
                <w:color w:val="000000"/>
                <w:sz w:val="20"/>
                <w:szCs w:val="20"/>
              </w:rPr>
              <w:t>0.05</w:t>
            </w:r>
          </w:p>
        </w:tc>
        <w:tc>
          <w:tcPr>
            <w:tcW w:w="0" w:type="auto"/>
            <w:tcBorders>
              <w:top w:val="nil"/>
              <w:left w:val="nil"/>
              <w:bottom w:val="single" w:sz="4" w:space="0" w:color="auto"/>
              <w:right w:val="single" w:sz="4" w:space="0" w:color="auto"/>
            </w:tcBorders>
            <w:shd w:val="clear" w:color="auto" w:fill="auto"/>
            <w:noWrap/>
            <w:vAlign w:val="bottom"/>
            <w:hideMark/>
          </w:tcPr>
          <w:p w14:paraId="2DFEC77B" w14:textId="77777777" w:rsidR="00C27485" w:rsidRPr="005A4BB8" w:rsidRDefault="00C27485" w:rsidP="00C27485">
            <w:pPr>
              <w:jc w:val="right"/>
              <w:rPr>
                <w:rFonts w:cs="Calibri"/>
                <w:color w:val="000000"/>
                <w:sz w:val="20"/>
                <w:szCs w:val="20"/>
              </w:rPr>
            </w:pPr>
            <w:r w:rsidRPr="005A4BB8">
              <w:rPr>
                <w:rFonts w:cs="Calibri"/>
                <w:color w:val="000000"/>
                <w:sz w:val="20"/>
                <w:szCs w:val="20"/>
              </w:rPr>
              <w:t>0.45</w:t>
            </w:r>
          </w:p>
        </w:tc>
        <w:tc>
          <w:tcPr>
            <w:tcW w:w="0" w:type="auto"/>
            <w:tcBorders>
              <w:top w:val="nil"/>
              <w:left w:val="nil"/>
              <w:bottom w:val="single" w:sz="4" w:space="0" w:color="auto"/>
              <w:right w:val="single" w:sz="4" w:space="0" w:color="auto"/>
            </w:tcBorders>
            <w:shd w:val="clear" w:color="auto" w:fill="auto"/>
            <w:noWrap/>
            <w:vAlign w:val="bottom"/>
            <w:hideMark/>
          </w:tcPr>
          <w:p w14:paraId="223779D3" w14:textId="77777777" w:rsidR="00C27485" w:rsidRPr="005A4BB8" w:rsidRDefault="00C27485" w:rsidP="00C27485">
            <w:pPr>
              <w:jc w:val="right"/>
              <w:rPr>
                <w:rFonts w:cs="Calibri"/>
                <w:color w:val="000000"/>
                <w:sz w:val="20"/>
                <w:szCs w:val="20"/>
              </w:rPr>
            </w:pPr>
            <w:r w:rsidRPr="005A4BB8">
              <w:rPr>
                <w:rFonts w:cs="Calibri"/>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454959B6" w14:textId="77777777" w:rsidR="00C27485" w:rsidRPr="005A4BB8" w:rsidRDefault="00C27485" w:rsidP="00C27485">
            <w:pPr>
              <w:jc w:val="right"/>
              <w:rPr>
                <w:rFonts w:cs="Calibri"/>
                <w:color w:val="000000"/>
                <w:sz w:val="20"/>
                <w:szCs w:val="20"/>
              </w:rPr>
            </w:pPr>
            <w:r w:rsidRPr="005A4BB8">
              <w:rPr>
                <w:rFonts w:cs="Calibri"/>
                <w:color w:val="000000"/>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14:paraId="2A036E97" w14:textId="77777777" w:rsidR="00C27485" w:rsidRPr="005A4BB8" w:rsidRDefault="00C27485" w:rsidP="00C27485">
            <w:pPr>
              <w:jc w:val="right"/>
              <w:rPr>
                <w:rFonts w:cs="Calibri"/>
                <w:color w:val="000000"/>
                <w:sz w:val="20"/>
                <w:szCs w:val="20"/>
              </w:rPr>
            </w:pPr>
            <w:r w:rsidRPr="005A4BB8">
              <w:rPr>
                <w:rFonts w:cs="Calibri"/>
                <w:color w:val="000000"/>
                <w:sz w:val="20"/>
                <w:szCs w:val="20"/>
              </w:rPr>
              <w:t>79.1</w:t>
            </w:r>
          </w:p>
        </w:tc>
        <w:tc>
          <w:tcPr>
            <w:tcW w:w="751" w:type="dxa"/>
            <w:tcBorders>
              <w:top w:val="nil"/>
              <w:left w:val="nil"/>
              <w:bottom w:val="single" w:sz="4" w:space="0" w:color="auto"/>
              <w:right w:val="single" w:sz="4" w:space="0" w:color="auto"/>
            </w:tcBorders>
            <w:shd w:val="clear" w:color="auto" w:fill="auto"/>
            <w:noWrap/>
            <w:vAlign w:val="bottom"/>
            <w:hideMark/>
          </w:tcPr>
          <w:p w14:paraId="60B657AB" w14:textId="77777777" w:rsidR="00C27485" w:rsidRPr="005A4BB8" w:rsidRDefault="00C27485" w:rsidP="00C27485">
            <w:pPr>
              <w:jc w:val="right"/>
              <w:rPr>
                <w:rFonts w:cs="Calibri"/>
                <w:color w:val="000000"/>
                <w:sz w:val="20"/>
                <w:szCs w:val="20"/>
              </w:rPr>
            </w:pPr>
            <w:r w:rsidRPr="005A4BB8">
              <w:rPr>
                <w:rFonts w:cs="Calibri"/>
                <w:color w:val="000000"/>
                <w:sz w:val="20"/>
                <w:szCs w:val="20"/>
              </w:rPr>
              <w:t>89.0</w:t>
            </w:r>
          </w:p>
        </w:tc>
      </w:tr>
      <w:tr w:rsidR="00C27485" w:rsidRPr="00C27485" w14:paraId="0F4991EA" w14:textId="77777777" w:rsidTr="00C274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364B27" w14:textId="77777777" w:rsidR="00C27485" w:rsidRPr="005A4BB8" w:rsidRDefault="00C27485" w:rsidP="00C27485">
            <w:pPr>
              <w:jc w:val="right"/>
              <w:rPr>
                <w:rFonts w:cs="Calibri"/>
                <w:color w:val="000000"/>
                <w:sz w:val="20"/>
                <w:szCs w:val="20"/>
              </w:rPr>
            </w:pPr>
            <w:r w:rsidRPr="005A4BB8">
              <w:rPr>
                <w:rFonts w:cs="Calibri"/>
                <w:color w:val="000000"/>
                <w:sz w:val="20"/>
                <w:szCs w:val="20"/>
              </w:rPr>
              <w:t>8-Aug</w:t>
            </w:r>
          </w:p>
        </w:tc>
        <w:tc>
          <w:tcPr>
            <w:tcW w:w="0" w:type="auto"/>
            <w:tcBorders>
              <w:top w:val="nil"/>
              <w:left w:val="nil"/>
              <w:bottom w:val="single" w:sz="4" w:space="0" w:color="auto"/>
              <w:right w:val="single" w:sz="4" w:space="0" w:color="auto"/>
            </w:tcBorders>
            <w:shd w:val="clear" w:color="auto" w:fill="auto"/>
            <w:noWrap/>
            <w:vAlign w:val="bottom"/>
            <w:hideMark/>
          </w:tcPr>
          <w:p w14:paraId="2EEDDB5B" w14:textId="77777777" w:rsidR="00C27485" w:rsidRPr="005A4BB8" w:rsidRDefault="00C27485" w:rsidP="00C27485">
            <w:pPr>
              <w:rPr>
                <w:rFonts w:cs="Calibri"/>
                <w:color w:val="000000"/>
                <w:sz w:val="20"/>
                <w:szCs w:val="20"/>
              </w:rPr>
            </w:pPr>
            <w:r w:rsidRPr="005A4BB8">
              <w:rPr>
                <w:rFonts w:cs="Calibri"/>
                <w:color w:val="000000"/>
                <w:sz w:val="20"/>
                <w:szCs w:val="20"/>
              </w:rPr>
              <w:t>4-7 p.m.</w:t>
            </w:r>
          </w:p>
        </w:tc>
        <w:tc>
          <w:tcPr>
            <w:tcW w:w="0" w:type="auto"/>
            <w:tcBorders>
              <w:top w:val="nil"/>
              <w:left w:val="nil"/>
              <w:bottom w:val="single" w:sz="4" w:space="0" w:color="auto"/>
              <w:right w:val="single" w:sz="4" w:space="0" w:color="auto"/>
            </w:tcBorders>
            <w:shd w:val="clear" w:color="auto" w:fill="auto"/>
            <w:noWrap/>
            <w:vAlign w:val="bottom"/>
            <w:hideMark/>
          </w:tcPr>
          <w:p w14:paraId="7604F0C5" w14:textId="77777777" w:rsidR="00C27485" w:rsidRPr="005A4BB8" w:rsidRDefault="00C27485" w:rsidP="00C27485">
            <w:pPr>
              <w:jc w:val="right"/>
              <w:rPr>
                <w:rFonts w:cs="Calibri"/>
                <w:color w:val="000000"/>
                <w:sz w:val="20"/>
                <w:szCs w:val="20"/>
              </w:rPr>
            </w:pPr>
            <w:r w:rsidRPr="005A4BB8">
              <w:rPr>
                <w:rFonts w:cs="Calibri"/>
                <w:color w:val="000000"/>
                <w:sz w:val="20"/>
                <w:szCs w:val="20"/>
              </w:rPr>
              <w:t>53,802</w:t>
            </w:r>
          </w:p>
        </w:tc>
        <w:tc>
          <w:tcPr>
            <w:tcW w:w="0" w:type="auto"/>
            <w:tcBorders>
              <w:top w:val="nil"/>
              <w:left w:val="nil"/>
              <w:bottom w:val="single" w:sz="4" w:space="0" w:color="auto"/>
              <w:right w:val="single" w:sz="4" w:space="0" w:color="auto"/>
            </w:tcBorders>
            <w:shd w:val="clear" w:color="auto" w:fill="auto"/>
            <w:noWrap/>
            <w:vAlign w:val="bottom"/>
            <w:hideMark/>
          </w:tcPr>
          <w:p w14:paraId="3695B70B" w14:textId="77777777" w:rsidR="00C27485" w:rsidRPr="005A4BB8" w:rsidRDefault="00C27485" w:rsidP="00C27485">
            <w:pPr>
              <w:jc w:val="right"/>
              <w:rPr>
                <w:rFonts w:cs="Calibri"/>
                <w:color w:val="000000"/>
                <w:sz w:val="20"/>
                <w:szCs w:val="20"/>
              </w:rPr>
            </w:pPr>
            <w:r w:rsidRPr="005A4BB8">
              <w:rPr>
                <w:rFonts w:cs="Calibri"/>
                <w:color w:val="000000"/>
                <w:sz w:val="20"/>
                <w:szCs w:val="20"/>
              </w:rPr>
              <w:t>75,648</w:t>
            </w:r>
          </w:p>
        </w:tc>
        <w:tc>
          <w:tcPr>
            <w:tcW w:w="0" w:type="auto"/>
            <w:tcBorders>
              <w:top w:val="nil"/>
              <w:left w:val="nil"/>
              <w:bottom w:val="single" w:sz="4" w:space="0" w:color="auto"/>
              <w:right w:val="single" w:sz="4" w:space="0" w:color="auto"/>
            </w:tcBorders>
            <w:shd w:val="clear" w:color="auto" w:fill="auto"/>
            <w:noWrap/>
            <w:vAlign w:val="bottom"/>
            <w:hideMark/>
          </w:tcPr>
          <w:p w14:paraId="289BF60B" w14:textId="77777777" w:rsidR="00C27485" w:rsidRPr="005A4BB8" w:rsidRDefault="00C27485" w:rsidP="00C27485">
            <w:pPr>
              <w:jc w:val="right"/>
              <w:rPr>
                <w:rFonts w:cs="Calibri"/>
                <w:color w:val="000000"/>
                <w:sz w:val="20"/>
                <w:szCs w:val="20"/>
              </w:rPr>
            </w:pPr>
            <w:r w:rsidRPr="005A4BB8">
              <w:rPr>
                <w:rFonts w:cs="Calibri"/>
                <w:color w:val="000000"/>
                <w:sz w:val="20"/>
                <w:szCs w:val="20"/>
              </w:rPr>
              <w:t>82,578</w:t>
            </w:r>
          </w:p>
        </w:tc>
        <w:tc>
          <w:tcPr>
            <w:tcW w:w="0" w:type="auto"/>
            <w:tcBorders>
              <w:top w:val="nil"/>
              <w:left w:val="nil"/>
              <w:bottom w:val="single" w:sz="4" w:space="0" w:color="auto"/>
              <w:right w:val="single" w:sz="4" w:space="0" w:color="auto"/>
            </w:tcBorders>
            <w:shd w:val="clear" w:color="auto" w:fill="auto"/>
            <w:noWrap/>
            <w:vAlign w:val="bottom"/>
            <w:hideMark/>
          </w:tcPr>
          <w:p w14:paraId="023ABDB2" w14:textId="77777777" w:rsidR="00C27485" w:rsidRPr="005A4BB8" w:rsidRDefault="00C27485" w:rsidP="00C27485">
            <w:pPr>
              <w:jc w:val="right"/>
              <w:rPr>
                <w:rFonts w:cs="Calibri"/>
                <w:color w:val="000000"/>
                <w:sz w:val="20"/>
                <w:szCs w:val="20"/>
              </w:rPr>
            </w:pPr>
            <w:r w:rsidRPr="005A4BB8">
              <w:rPr>
                <w:rFonts w:cs="Calibri"/>
                <w:color w:val="000000"/>
                <w:sz w:val="20"/>
                <w:szCs w:val="20"/>
              </w:rPr>
              <w:t>0.26</w:t>
            </w:r>
          </w:p>
        </w:tc>
        <w:tc>
          <w:tcPr>
            <w:tcW w:w="0" w:type="auto"/>
            <w:tcBorders>
              <w:top w:val="nil"/>
              <w:left w:val="nil"/>
              <w:bottom w:val="single" w:sz="4" w:space="0" w:color="auto"/>
              <w:right w:val="single" w:sz="4" w:space="0" w:color="auto"/>
            </w:tcBorders>
            <w:shd w:val="clear" w:color="auto" w:fill="auto"/>
            <w:noWrap/>
            <w:vAlign w:val="bottom"/>
            <w:hideMark/>
          </w:tcPr>
          <w:p w14:paraId="228C03E6" w14:textId="77777777" w:rsidR="00C27485" w:rsidRPr="005A4BB8" w:rsidRDefault="00C27485" w:rsidP="00C27485">
            <w:pPr>
              <w:jc w:val="right"/>
              <w:rPr>
                <w:rFonts w:cs="Calibri"/>
                <w:color w:val="000000"/>
                <w:sz w:val="20"/>
                <w:szCs w:val="20"/>
              </w:rPr>
            </w:pPr>
            <w:r w:rsidRPr="005A4BB8">
              <w:rPr>
                <w:rFonts w:cs="Calibri"/>
                <w:color w:val="000000"/>
                <w:sz w:val="20"/>
                <w:szCs w:val="20"/>
              </w:rPr>
              <w:t>0.49</w:t>
            </w:r>
          </w:p>
        </w:tc>
        <w:tc>
          <w:tcPr>
            <w:tcW w:w="0" w:type="auto"/>
            <w:tcBorders>
              <w:top w:val="nil"/>
              <w:left w:val="nil"/>
              <w:bottom w:val="single" w:sz="4" w:space="0" w:color="auto"/>
              <w:right w:val="single" w:sz="4" w:space="0" w:color="auto"/>
            </w:tcBorders>
            <w:shd w:val="clear" w:color="auto" w:fill="auto"/>
            <w:noWrap/>
            <w:vAlign w:val="bottom"/>
            <w:hideMark/>
          </w:tcPr>
          <w:p w14:paraId="707E44CD" w14:textId="77777777" w:rsidR="00C27485" w:rsidRPr="005A4BB8" w:rsidRDefault="00C27485" w:rsidP="00C27485">
            <w:pPr>
              <w:jc w:val="right"/>
              <w:rPr>
                <w:rFonts w:cs="Calibri"/>
                <w:color w:val="000000"/>
                <w:sz w:val="20"/>
                <w:szCs w:val="20"/>
              </w:rPr>
            </w:pPr>
            <w:r w:rsidRPr="005A4BB8">
              <w:rPr>
                <w:rFonts w:cs="Calibri"/>
                <w:color w:val="000000"/>
                <w:sz w:val="20"/>
                <w:szCs w:val="20"/>
              </w:rPr>
              <w:t>14.1</w:t>
            </w:r>
          </w:p>
        </w:tc>
        <w:tc>
          <w:tcPr>
            <w:tcW w:w="0" w:type="auto"/>
            <w:tcBorders>
              <w:top w:val="nil"/>
              <w:left w:val="nil"/>
              <w:bottom w:val="single" w:sz="4" w:space="0" w:color="auto"/>
              <w:right w:val="single" w:sz="4" w:space="0" w:color="auto"/>
            </w:tcBorders>
            <w:shd w:val="clear" w:color="auto" w:fill="auto"/>
            <w:noWrap/>
            <w:vAlign w:val="bottom"/>
            <w:hideMark/>
          </w:tcPr>
          <w:p w14:paraId="372270CC" w14:textId="77777777" w:rsidR="00C27485" w:rsidRPr="005A4BB8" w:rsidRDefault="00C27485" w:rsidP="00C27485">
            <w:pPr>
              <w:jc w:val="right"/>
              <w:rPr>
                <w:rFonts w:cs="Calibri"/>
                <w:color w:val="000000"/>
                <w:sz w:val="20"/>
                <w:szCs w:val="20"/>
              </w:rPr>
            </w:pPr>
            <w:r w:rsidRPr="005A4BB8">
              <w:rPr>
                <w:rFonts w:cs="Calibri"/>
                <w:color w:val="000000"/>
                <w:sz w:val="20"/>
                <w:szCs w:val="20"/>
              </w:rPr>
              <w:t>26.1</w:t>
            </w:r>
          </w:p>
        </w:tc>
        <w:tc>
          <w:tcPr>
            <w:tcW w:w="0" w:type="auto"/>
            <w:tcBorders>
              <w:top w:val="nil"/>
              <w:left w:val="nil"/>
              <w:bottom w:val="single" w:sz="4" w:space="0" w:color="auto"/>
              <w:right w:val="single" w:sz="4" w:space="0" w:color="auto"/>
            </w:tcBorders>
            <w:shd w:val="clear" w:color="auto" w:fill="auto"/>
            <w:noWrap/>
            <w:vAlign w:val="bottom"/>
            <w:hideMark/>
          </w:tcPr>
          <w:p w14:paraId="3F4E138F" w14:textId="77777777" w:rsidR="00C27485" w:rsidRPr="005A4BB8" w:rsidRDefault="00C27485" w:rsidP="00C27485">
            <w:pPr>
              <w:jc w:val="right"/>
              <w:rPr>
                <w:rFonts w:cs="Calibri"/>
                <w:color w:val="000000"/>
                <w:sz w:val="20"/>
                <w:szCs w:val="20"/>
              </w:rPr>
            </w:pPr>
            <w:r w:rsidRPr="005A4BB8">
              <w:rPr>
                <w:rFonts w:cs="Calibri"/>
                <w:color w:val="000000"/>
                <w:sz w:val="20"/>
                <w:szCs w:val="20"/>
              </w:rPr>
              <w:t>96.1</w:t>
            </w:r>
          </w:p>
        </w:tc>
        <w:tc>
          <w:tcPr>
            <w:tcW w:w="751" w:type="dxa"/>
            <w:tcBorders>
              <w:top w:val="nil"/>
              <w:left w:val="nil"/>
              <w:bottom w:val="single" w:sz="4" w:space="0" w:color="auto"/>
              <w:right w:val="single" w:sz="4" w:space="0" w:color="auto"/>
            </w:tcBorders>
            <w:shd w:val="clear" w:color="auto" w:fill="auto"/>
            <w:noWrap/>
            <w:vAlign w:val="bottom"/>
            <w:hideMark/>
          </w:tcPr>
          <w:p w14:paraId="3151196F" w14:textId="77777777" w:rsidR="00C27485" w:rsidRPr="005A4BB8" w:rsidRDefault="00C27485" w:rsidP="00C27485">
            <w:pPr>
              <w:jc w:val="right"/>
              <w:rPr>
                <w:rFonts w:cs="Calibri"/>
                <w:color w:val="000000"/>
                <w:sz w:val="20"/>
                <w:szCs w:val="20"/>
              </w:rPr>
            </w:pPr>
            <w:r w:rsidRPr="005A4BB8">
              <w:rPr>
                <w:rFonts w:cs="Calibri"/>
                <w:color w:val="000000"/>
                <w:sz w:val="20"/>
                <w:szCs w:val="20"/>
              </w:rPr>
              <w:t>94.3</w:t>
            </w:r>
          </w:p>
        </w:tc>
      </w:tr>
      <w:tr w:rsidR="00C27485" w:rsidRPr="00C27485" w14:paraId="2993154F" w14:textId="77777777" w:rsidTr="00C274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F88A4" w14:textId="77777777" w:rsidR="00C27485" w:rsidRPr="005A4BB8" w:rsidRDefault="00C27485" w:rsidP="00C27485">
            <w:pPr>
              <w:jc w:val="right"/>
              <w:rPr>
                <w:rFonts w:cs="Calibri"/>
                <w:color w:val="000000"/>
                <w:sz w:val="20"/>
                <w:szCs w:val="20"/>
              </w:rPr>
            </w:pPr>
            <w:r w:rsidRPr="005A4BB8">
              <w:rPr>
                <w:rFonts w:cs="Calibri"/>
                <w:color w:val="000000"/>
                <w:sz w:val="20"/>
                <w:szCs w:val="20"/>
              </w:rPr>
              <w:t>9-Aug</w:t>
            </w:r>
          </w:p>
        </w:tc>
        <w:tc>
          <w:tcPr>
            <w:tcW w:w="0" w:type="auto"/>
            <w:tcBorders>
              <w:top w:val="nil"/>
              <w:left w:val="nil"/>
              <w:bottom w:val="single" w:sz="4" w:space="0" w:color="auto"/>
              <w:right w:val="single" w:sz="4" w:space="0" w:color="auto"/>
            </w:tcBorders>
            <w:shd w:val="clear" w:color="auto" w:fill="auto"/>
            <w:noWrap/>
            <w:vAlign w:val="bottom"/>
            <w:hideMark/>
          </w:tcPr>
          <w:p w14:paraId="15D9ABC3" w14:textId="77777777" w:rsidR="00C27485" w:rsidRPr="005A4BB8" w:rsidRDefault="00C27485" w:rsidP="00C27485">
            <w:pPr>
              <w:rPr>
                <w:rFonts w:cs="Calibri"/>
                <w:color w:val="000000"/>
                <w:sz w:val="20"/>
                <w:szCs w:val="20"/>
              </w:rPr>
            </w:pPr>
            <w:r w:rsidRPr="005A4BB8">
              <w:rPr>
                <w:rFonts w:cs="Calibri"/>
                <w:color w:val="000000"/>
                <w:sz w:val="20"/>
                <w:szCs w:val="20"/>
              </w:rPr>
              <w:t>4-7 p.m.</w:t>
            </w:r>
          </w:p>
        </w:tc>
        <w:tc>
          <w:tcPr>
            <w:tcW w:w="0" w:type="auto"/>
            <w:tcBorders>
              <w:top w:val="nil"/>
              <w:left w:val="nil"/>
              <w:bottom w:val="single" w:sz="4" w:space="0" w:color="auto"/>
              <w:right w:val="single" w:sz="4" w:space="0" w:color="auto"/>
            </w:tcBorders>
            <w:shd w:val="clear" w:color="auto" w:fill="auto"/>
            <w:noWrap/>
            <w:vAlign w:val="bottom"/>
            <w:hideMark/>
          </w:tcPr>
          <w:p w14:paraId="5A9F0372" w14:textId="77777777" w:rsidR="00C27485" w:rsidRPr="005A4BB8" w:rsidRDefault="00C27485" w:rsidP="00C27485">
            <w:pPr>
              <w:jc w:val="right"/>
              <w:rPr>
                <w:rFonts w:cs="Calibri"/>
                <w:color w:val="000000"/>
                <w:sz w:val="20"/>
                <w:szCs w:val="20"/>
              </w:rPr>
            </w:pPr>
            <w:r w:rsidRPr="005A4BB8">
              <w:rPr>
                <w:rFonts w:cs="Calibri"/>
                <w:color w:val="000000"/>
                <w:sz w:val="20"/>
                <w:szCs w:val="20"/>
              </w:rPr>
              <w:t>70,251</w:t>
            </w:r>
          </w:p>
        </w:tc>
        <w:tc>
          <w:tcPr>
            <w:tcW w:w="0" w:type="auto"/>
            <w:tcBorders>
              <w:top w:val="nil"/>
              <w:left w:val="nil"/>
              <w:bottom w:val="single" w:sz="4" w:space="0" w:color="auto"/>
              <w:right w:val="single" w:sz="4" w:space="0" w:color="auto"/>
            </w:tcBorders>
            <w:shd w:val="clear" w:color="auto" w:fill="auto"/>
            <w:noWrap/>
            <w:vAlign w:val="bottom"/>
            <w:hideMark/>
          </w:tcPr>
          <w:p w14:paraId="215421AE" w14:textId="77777777" w:rsidR="00C27485" w:rsidRPr="005A4BB8" w:rsidRDefault="00C27485" w:rsidP="00C27485">
            <w:pPr>
              <w:jc w:val="right"/>
              <w:rPr>
                <w:rFonts w:cs="Calibri"/>
                <w:color w:val="000000"/>
                <w:sz w:val="20"/>
                <w:szCs w:val="20"/>
              </w:rPr>
            </w:pPr>
            <w:r w:rsidRPr="005A4BB8">
              <w:rPr>
                <w:rFonts w:cs="Calibri"/>
                <w:color w:val="000000"/>
                <w:sz w:val="20"/>
                <w:szCs w:val="20"/>
              </w:rPr>
              <w:t>92,090</w:t>
            </w:r>
          </w:p>
        </w:tc>
        <w:tc>
          <w:tcPr>
            <w:tcW w:w="0" w:type="auto"/>
            <w:tcBorders>
              <w:top w:val="nil"/>
              <w:left w:val="nil"/>
              <w:bottom w:val="single" w:sz="4" w:space="0" w:color="auto"/>
              <w:right w:val="single" w:sz="4" w:space="0" w:color="auto"/>
            </w:tcBorders>
            <w:shd w:val="clear" w:color="auto" w:fill="auto"/>
            <w:noWrap/>
            <w:vAlign w:val="bottom"/>
            <w:hideMark/>
          </w:tcPr>
          <w:p w14:paraId="339CCDF4" w14:textId="77777777" w:rsidR="00C27485" w:rsidRPr="005A4BB8" w:rsidRDefault="00C27485" w:rsidP="00C27485">
            <w:pPr>
              <w:jc w:val="right"/>
              <w:rPr>
                <w:rFonts w:cs="Calibri"/>
                <w:color w:val="000000"/>
                <w:sz w:val="20"/>
                <w:szCs w:val="20"/>
              </w:rPr>
            </w:pPr>
            <w:r w:rsidRPr="005A4BB8">
              <w:rPr>
                <w:rFonts w:cs="Calibri"/>
                <w:color w:val="000000"/>
                <w:sz w:val="20"/>
                <w:szCs w:val="20"/>
              </w:rPr>
              <w:t>99,330</w:t>
            </w:r>
          </w:p>
        </w:tc>
        <w:tc>
          <w:tcPr>
            <w:tcW w:w="0" w:type="auto"/>
            <w:tcBorders>
              <w:top w:val="nil"/>
              <w:left w:val="nil"/>
              <w:bottom w:val="single" w:sz="4" w:space="0" w:color="auto"/>
              <w:right w:val="single" w:sz="4" w:space="0" w:color="auto"/>
            </w:tcBorders>
            <w:shd w:val="clear" w:color="auto" w:fill="auto"/>
            <w:noWrap/>
            <w:vAlign w:val="bottom"/>
            <w:hideMark/>
          </w:tcPr>
          <w:p w14:paraId="2195D6E5" w14:textId="77777777" w:rsidR="00C27485" w:rsidRPr="005A4BB8" w:rsidRDefault="00C27485" w:rsidP="00C27485">
            <w:pPr>
              <w:jc w:val="right"/>
              <w:rPr>
                <w:rFonts w:cs="Calibri"/>
                <w:color w:val="000000"/>
                <w:sz w:val="20"/>
                <w:szCs w:val="20"/>
              </w:rPr>
            </w:pPr>
            <w:r w:rsidRPr="005A4BB8">
              <w:rPr>
                <w:rFonts w:cs="Calibri"/>
                <w:color w:val="000000"/>
                <w:sz w:val="20"/>
                <w:szCs w:val="20"/>
              </w:rPr>
              <w:t>0.35</w:t>
            </w:r>
          </w:p>
        </w:tc>
        <w:tc>
          <w:tcPr>
            <w:tcW w:w="0" w:type="auto"/>
            <w:tcBorders>
              <w:top w:val="nil"/>
              <w:left w:val="nil"/>
              <w:bottom w:val="single" w:sz="4" w:space="0" w:color="auto"/>
              <w:right w:val="single" w:sz="4" w:space="0" w:color="auto"/>
            </w:tcBorders>
            <w:shd w:val="clear" w:color="auto" w:fill="auto"/>
            <w:noWrap/>
            <w:vAlign w:val="bottom"/>
            <w:hideMark/>
          </w:tcPr>
          <w:p w14:paraId="0C61CD16" w14:textId="77777777" w:rsidR="00C27485" w:rsidRPr="005A4BB8" w:rsidRDefault="00C27485" w:rsidP="00C27485">
            <w:pPr>
              <w:jc w:val="right"/>
              <w:rPr>
                <w:rFonts w:cs="Calibri"/>
                <w:color w:val="000000"/>
                <w:sz w:val="20"/>
                <w:szCs w:val="20"/>
              </w:rPr>
            </w:pPr>
            <w:r w:rsidRPr="005A4BB8">
              <w:rPr>
                <w:rFonts w:cs="Calibri"/>
                <w:color w:val="000000"/>
                <w:sz w:val="20"/>
                <w:szCs w:val="20"/>
              </w:rPr>
              <w:t>0.49</w:t>
            </w:r>
          </w:p>
        </w:tc>
        <w:tc>
          <w:tcPr>
            <w:tcW w:w="0" w:type="auto"/>
            <w:tcBorders>
              <w:top w:val="nil"/>
              <w:left w:val="nil"/>
              <w:bottom w:val="single" w:sz="4" w:space="0" w:color="auto"/>
              <w:right w:val="single" w:sz="4" w:space="0" w:color="auto"/>
            </w:tcBorders>
            <w:shd w:val="clear" w:color="auto" w:fill="auto"/>
            <w:noWrap/>
            <w:vAlign w:val="bottom"/>
            <w:hideMark/>
          </w:tcPr>
          <w:p w14:paraId="1F0579D2" w14:textId="77777777" w:rsidR="00C27485" w:rsidRPr="005A4BB8" w:rsidRDefault="00C27485" w:rsidP="00C27485">
            <w:pPr>
              <w:jc w:val="right"/>
              <w:rPr>
                <w:rFonts w:cs="Calibri"/>
                <w:color w:val="000000"/>
                <w:sz w:val="20"/>
                <w:szCs w:val="20"/>
              </w:rPr>
            </w:pPr>
            <w:r w:rsidRPr="005A4BB8">
              <w:rPr>
                <w:rFonts w:cs="Calibri"/>
                <w:color w:val="000000"/>
                <w:sz w:val="20"/>
                <w:szCs w:val="20"/>
              </w:rPr>
              <w:t>24.5</w:t>
            </w:r>
          </w:p>
        </w:tc>
        <w:tc>
          <w:tcPr>
            <w:tcW w:w="0" w:type="auto"/>
            <w:tcBorders>
              <w:top w:val="nil"/>
              <w:left w:val="nil"/>
              <w:bottom w:val="single" w:sz="4" w:space="0" w:color="auto"/>
              <w:right w:val="single" w:sz="4" w:space="0" w:color="auto"/>
            </w:tcBorders>
            <w:shd w:val="clear" w:color="auto" w:fill="auto"/>
            <w:noWrap/>
            <w:vAlign w:val="bottom"/>
            <w:hideMark/>
          </w:tcPr>
          <w:p w14:paraId="301F22F0" w14:textId="77777777" w:rsidR="00C27485" w:rsidRPr="005A4BB8" w:rsidRDefault="00C27485" w:rsidP="00C27485">
            <w:pPr>
              <w:jc w:val="right"/>
              <w:rPr>
                <w:rFonts w:cs="Calibri"/>
                <w:color w:val="000000"/>
                <w:sz w:val="20"/>
                <w:szCs w:val="20"/>
              </w:rPr>
            </w:pPr>
            <w:r w:rsidRPr="005A4BB8">
              <w:rPr>
                <w:rFonts w:cs="Calibri"/>
                <w:color w:val="000000"/>
                <w:sz w:val="20"/>
                <w:szCs w:val="20"/>
              </w:rPr>
              <w:t>34.6</w:t>
            </w:r>
          </w:p>
        </w:tc>
        <w:tc>
          <w:tcPr>
            <w:tcW w:w="0" w:type="auto"/>
            <w:tcBorders>
              <w:top w:val="nil"/>
              <w:left w:val="nil"/>
              <w:bottom w:val="single" w:sz="4" w:space="0" w:color="auto"/>
              <w:right w:val="single" w:sz="4" w:space="0" w:color="auto"/>
            </w:tcBorders>
            <w:shd w:val="clear" w:color="auto" w:fill="auto"/>
            <w:noWrap/>
            <w:vAlign w:val="bottom"/>
            <w:hideMark/>
          </w:tcPr>
          <w:p w14:paraId="358C2D20" w14:textId="77777777" w:rsidR="00C27485" w:rsidRPr="005A4BB8" w:rsidRDefault="00C27485" w:rsidP="00C27485">
            <w:pPr>
              <w:jc w:val="right"/>
              <w:rPr>
                <w:rFonts w:cs="Calibri"/>
                <w:color w:val="000000"/>
                <w:sz w:val="20"/>
                <w:szCs w:val="20"/>
              </w:rPr>
            </w:pPr>
            <w:r w:rsidRPr="005A4BB8">
              <w:rPr>
                <w:rFonts w:cs="Calibri"/>
                <w:color w:val="000000"/>
                <w:sz w:val="20"/>
                <w:szCs w:val="20"/>
              </w:rPr>
              <w:t>99.8</w:t>
            </w:r>
          </w:p>
        </w:tc>
        <w:tc>
          <w:tcPr>
            <w:tcW w:w="751" w:type="dxa"/>
            <w:tcBorders>
              <w:top w:val="nil"/>
              <w:left w:val="nil"/>
              <w:bottom w:val="single" w:sz="4" w:space="0" w:color="auto"/>
              <w:right w:val="single" w:sz="4" w:space="0" w:color="auto"/>
            </w:tcBorders>
            <w:shd w:val="clear" w:color="auto" w:fill="auto"/>
            <w:noWrap/>
            <w:vAlign w:val="bottom"/>
            <w:hideMark/>
          </w:tcPr>
          <w:p w14:paraId="5DABF998" w14:textId="77777777" w:rsidR="00C27485" w:rsidRPr="005A4BB8" w:rsidRDefault="00C27485" w:rsidP="00C27485">
            <w:pPr>
              <w:jc w:val="right"/>
              <w:rPr>
                <w:rFonts w:cs="Calibri"/>
                <w:color w:val="000000"/>
                <w:sz w:val="20"/>
                <w:szCs w:val="20"/>
              </w:rPr>
            </w:pPr>
            <w:r w:rsidRPr="005A4BB8">
              <w:rPr>
                <w:rFonts w:cs="Calibri"/>
                <w:color w:val="000000"/>
                <w:sz w:val="20"/>
                <w:szCs w:val="20"/>
              </w:rPr>
              <w:t>94.5</w:t>
            </w:r>
          </w:p>
        </w:tc>
      </w:tr>
      <w:tr w:rsidR="00C27485" w:rsidRPr="00C27485" w14:paraId="3A1915EE" w14:textId="77777777" w:rsidTr="00C274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5506B" w14:textId="77777777" w:rsidR="00C27485" w:rsidRPr="005A4BB8" w:rsidRDefault="00C27485" w:rsidP="00C27485">
            <w:pPr>
              <w:jc w:val="right"/>
              <w:rPr>
                <w:rFonts w:cs="Calibri"/>
                <w:color w:val="000000"/>
                <w:sz w:val="20"/>
                <w:szCs w:val="20"/>
              </w:rPr>
            </w:pPr>
            <w:r w:rsidRPr="005A4BB8">
              <w:rPr>
                <w:rFonts w:cs="Calibri"/>
                <w:color w:val="000000"/>
                <w:sz w:val="20"/>
                <w:szCs w:val="20"/>
              </w:rPr>
              <w:t>10-Aug</w:t>
            </w:r>
          </w:p>
        </w:tc>
        <w:tc>
          <w:tcPr>
            <w:tcW w:w="0" w:type="auto"/>
            <w:tcBorders>
              <w:top w:val="nil"/>
              <w:left w:val="nil"/>
              <w:bottom w:val="single" w:sz="4" w:space="0" w:color="auto"/>
              <w:right w:val="single" w:sz="4" w:space="0" w:color="auto"/>
            </w:tcBorders>
            <w:shd w:val="clear" w:color="auto" w:fill="auto"/>
            <w:noWrap/>
            <w:vAlign w:val="bottom"/>
            <w:hideMark/>
          </w:tcPr>
          <w:p w14:paraId="030ACEC0" w14:textId="77777777" w:rsidR="00C27485" w:rsidRPr="005A4BB8" w:rsidRDefault="00C27485" w:rsidP="00C27485">
            <w:pPr>
              <w:rPr>
                <w:rFonts w:cs="Calibri"/>
                <w:color w:val="000000"/>
                <w:sz w:val="20"/>
                <w:szCs w:val="20"/>
              </w:rPr>
            </w:pPr>
            <w:r w:rsidRPr="005A4BB8">
              <w:rPr>
                <w:rFonts w:cs="Calibri"/>
                <w:color w:val="000000"/>
                <w:sz w:val="20"/>
                <w:szCs w:val="20"/>
              </w:rPr>
              <w:t>4-7 p.m.</w:t>
            </w:r>
          </w:p>
        </w:tc>
        <w:tc>
          <w:tcPr>
            <w:tcW w:w="0" w:type="auto"/>
            <w:tcBorders>
              <w:top w:val="nil"/>
              <w:left w:val="nil"/>
              <w:bottom w:val="single" w:sz="4" w:space="0" w:color="auto"/>
              <w:right w:val="single" w:sz="4" w:space="0" w:color="auto"/>
            </w:tcBorders>
            <w:shd w:val="clear" w:color="auto" w:fill="auto"/>
            <w:noWrap/>
            <w:vAlign w:val="bottom"/>
            <w:hideMark/>
          </w:tcPr>
          <w:p w14:paraId="50AA3FDD" w14:textId="77777777" w:rsidR="00C27485" w:rsidRPr="005A4BB8" w:rsidRDefault="00C27485" w:rsidP="00C27485">
            <w:pPr>
              <w:jc w:val="right"/>
              <w:rPr>
                <w:rFonts w:cs="Calibri"/>
                <w:color w:val="000000"/>
                <w:sz w:val="20"/>
                <w:szCs w:val="20"/>
              </w:rPr>
            </w:pPr>
            <w:r w:rsidRPr="005A4BB8">
              <w:rPr>
                <w:rFonts w:cs="Calibri"/>
                <w:color w:val="000000"/>
                <w:sz w:val="20"/>
                <w:szCs w:val="20"/>
              </w:rPr>
              <w:t>25,148</w:t>
            </w:r>
          </w:p>
        </w:tc>
        <w:tc>
          <w:tcPr>
            <w:tcW w:w="0" w:type="auto"/>
            <w:tcBorders>
              <w:top w:val="nil"/>
              <w:left w:val="nil"/>
              <w:bottom w:val="single" w:sz="4" w:space="0" w:color="auto"/>
              <w:right w:val="single" w:sz="4" w:space="0" w:color="auto"/>
            </w:tcBorders>
            <w:shd w:val="clear" w:color="auto" w:fill="auto"/>
            <w:noWrap/>
            <w:vAlign w:val="bottom"/>
            <w:hideMark/>
          </w:tcPr>
          <w:p w14:paraId="2E60F042" w14:textId="77777777" w:rsidR="00C27485" w:rsidRPr="005A4BB8" w:rsidRDefault="00C27485" w:rsidP="00C27485">
            <w:pPr>
              <w:jc w:val="right"/>
              <w:rPr>
                <w:rFonts w:cs="Calibri"/>
                <w:color w:val="000000"/>
                <w:sz w:val="20"/>
                <w:szCs w:val="20"/>
              </w:rPr>
            </w:pPr>
            <w:r w:rsidRPr="005A4BB8">
              <w:rPr>
                <w:rFonts w:cs="Calibri"/>
                <w:color w:val="000000"/>
                <w:sz w:val="20"/>
                <w:szCs w:val="20"/>
              </w:rPr>
              <w:t>34,645</w:t>
            </w:r>
          </w:p>
        </w:tc>
        <w:tc>
          <w:tcPr>
            <w:tcW w:w="0" w:type="auto"/>
            <w:tcBorders>
              <w:top w:val="nil"/>
              <w:left w:val="nil"/>
              <w:bottom w:val="single" w:sz="4" w:space="0" w:color="auto"/>
              <w:right w:val="single" w:sz="4" w:space="0" w:color="auto"/>
            </w:tcBorders>
            <w:shd w:val="clear" w:color="auto" w:fill="auto"/>
            <w:noWrap/>
            <w:vAlign w:val="bottom"/>
            <w:hideMark/>
          </w:tcPr>
          <w:p w14:paraId="57EDDED4" w14:textId="77777777" w:rsidR="00C27485" w:rsidRPr="005A4BB8" w:rsidRDefault="00C27485" w:rsidP="00C27485">
            <w:pPr>
              <w:jc w:val="right"/>
              <w:rPr>
                <w:rFonts w:cs="Calibri"/>
                <w:color w:val="000000"/>
                <w:sz w:val="20"/>
                <w:szCs w:val="20"/>
              </w:rPr>
            </w:pPr>
            <w:r w:rsidRPr="005A4BB8">
              <w:rPr>
                <w:rFonts w:cs="Calibri"/>
                <w:color w:val="000000"/>
                <w:sz w:val="20"/>
                <w:szCs w:val="20"/>
              </w:rPr>
              <w:t>42,539</w:t>
            </w:r>
          </w:p>
        </w:tc>
        <w:tc>
          <w:tcPr>
            <w:tcW w:w="0" w:type="auto"/>
            <w:tcBorders>
              <w:top w:val="nil"/>
              <w:left w:val="nil"/>
              <w:bottom w:val="single" w:sz="4" w:space="0" w:color="auto"/>
              <w:right w:val="single" w:sz="4" w:space="0" w:color="auto"/>
            </w:tcBorders>
            <w:shd w:val="clear" w:color="auto" w:fill="auto"/>
            <w:noWrap/>
            <w:vAlign w:val="bottom"/>
            <w:hideMark/>
          </w:tcPr>
          <w:p w14:paraId="5B8A5676" w14:textId="77777777" w:rsidR="00C27485" w:rsidRPr="005A4BB8" w:rsidRDefault="00C27485" w:rsidP="00C27485">
            <w:pPr>
              <w:jc w:val="right"/>
              <w:rPr>
                <w:rFonts w:cs="Calibri"/>
                <w:color w:val="000000"/>
                <w:sz w:val="20"/>
                <w:szCs w:val="20"/>
              </w:rPr>
            </w:pPr>
            <w:r w:rsidRPr="005A4BB8">
              <w:rPr>
                <w:rFonts w:cs="Calibri"/>
                <w:color w:val="000000"/>
                <w:sz w:val="20"/>
                <w:szCs w:val="20"/>
              </w:rPr>
              <w:t>0.21</w:t>
            </w:r>
          </w:p>
        </w:tc>
        <w:tc>
          <w:tcPr>
            <w:tcW w:w="0" w:type="auto"/>
            <w:tcBorders>
              <w:top w:val="nil"/>
              <w:left w:val="nil"/>
              <w:bottom w:val="single" w:sz="4" w:space="0" w:color="auto"/>
              <w:right w:val="single" w:sz="4" w:space="0" w:color="auto"/>
            </w:tcBorders>
            <w:shd w:val="clear" w:color="auto" w:fill="auto"/>
            <w:noWrap/>
            <w:vAlign w:val="bottom"/>
            <w:hideMark/>
          </w:tcPr>
          <w:p w14:paraId="6523D8D6" w14:textId="77777777" w:rsidR="00C27485" w:rsidRPr="005A4BB8" w:rsidRDefault="00C27485" w:rsidP="00C27485">
            <w:pPr>
              <w:jc w:val="right"/>
              <w:rPr>
                <w:rFonts w:cs="Calibri"/>
                <w:color w:val="000000"/>
                <w:sz w:val="20"/>
                <w:szCs w:val="20"/>
              </w:rPr>
            </w:pPr>
            <w:r w:rsidRPr="005A4BB8">
              <w:rPr>
                <w:rFonts w:cs="Calibri"/>
                <w:color w:val="000000"/>
                <w:sz w:val="20"/>
                <w:szCs w:val="20"/>
              </w:rPr>
              <w:t>0.45</w:t>
            </w:r>
          </w:p>
        </w:tc>
        <w:tc>
          <w:tcPr>
            <w:tcW w:w="0" w:type="auto"/>
            <w:tcBorders>
              <w:top w:val="nil"/>
              <w:left w:val="nil"/>
              <w:bottom w:val="single" w:sz="4" w:space="0" w:color="auto"/>
              <w:right w:val="single" w:sz="4" w:space="0" w:color="auto"/>
            </w:tcBorders>
            <w:shd w:val="clear" w:color="auto" w:fill="auto"/>
            <w:noWrap/>
            <w:vAlign w:val="bottom"/>
            <w:hideMark/>
          </w:tcPr>
          <w:p w14:paraId="2B428021" w14:textId="77777777" w:rsidR="00C27485" w:rsidRPr="005A4BB8" w:rsidRDefault="00C27485" w:rsidP="00C27485">
            <w:pPr>
              <w:jc w:val="right"/>
              <w:rPr>
                <w:rFonts w:cs="Calibri"/>
                <w:color w:val="000000"/>
                <w:sz w:val="20"/>
                <w:szCs w:val="20"/>
              </w:rPr>
            </w:pPr>
            <w:r w:rsidRPr="005A4BB8">
              <w:rPr>
                <w:rFonts w:cs="Calibri"/>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bottom"/>
            <w:hideMark/>
          </w:tcPr>
          <w:p w14:paraId="313A4B87" w14:textId="77777777" w:rsidR="00C27485" w:rsidRPr="005A4BB8" w:rsidRDefault="00C27485" w:rsidP="00C27485">
            <w:pPr>
              <w:jc w:val="right"/>
              <w:rPr>
                <w:rFonts w:cs="Calibri"/>
                <w:color w:val="000000"/>
                <w:sz w:val="20"/>
                <w:szCs w:val="20"/>
              </w:rPr>
            </w:pPr>
            <w:r w:rsidRPr="005A4BB8">
              <w:rPr>
                <w:rFonts w:cs="Calibri"/>
                <w:color w:val="000000"/>
                <w:sz w:val="20"/>
                <w:szCs w:val="20"/>
              </w:rPr>
              <w:t>11.3</w:t>
            </w:r>
          </w:p>
        </w:tc>
        <w:tc>
          <w:tcPr>
            <w:tcW w:w="0" w:type="auto"/>
            <w:tcBorders>
              <w:top w:val="nil"/>
              <w:left w:val="nil"/>
              <w:bottom w:val="single" w:sz="4" w:space="0" w:color="auto"/>
              <w:right w:val="single" w:sz="4" w:space="0" w:color="auto"/>
            </w:tcBorders>
            <w:shd w:val="clear" w:color="auto" w:fill="auto"/>
            <w:noWrap/>
            <w:vAlign w:val="bottom"/>
            <w:hideMark/>
          </w:tcPr>
          <w:p w14:paraId="24705635" w14:textId="77777777" w:rsidR="00C27485" w:rsidRPr="005A4BB8" w:rsidRDefault="00C27485" w:rsidP="00C27485">
            <w:pPr>
              <w:jc w:val="right"/>
              <w:rPr>
                <w:rFonts w:cs="Calibri"/>
                <w:color w:val="000000"/>
                <w:sz w:val="20"/>
                <w:szCs w:val="20"/>
              </w:rPr>
            </w:pPr>
            <w:r w:rsidRPr="005A4BB8">
              <w:rPr>
                <w:rFonts w:cs="Calibri"/>
                <w:color w:val="000000"/>
                <w:sz w:val="20"/>
                <w:szCs w:val="20"/>
              </w:rPr>
              <w:t>102.2</w:t>
            </w:r>
          </w:p>
        </w:tc>
        <w:tc>
          <w:tcPr>
            <w:tcW w:w="751" w:type="dxa"/>
            <w:tcBorders>
              <w:top w:val="nil"/>
              <w:left w:val="nil"/>
              <w:bottom w:val="single" w:sz="4" w:space="0" w:color="auto"/>
              <w:right w:val="single" w:sz="4" w:space="0" w:color="auto"/>
            </w:tcBorders>
            <w:shd w:val="clear" w:color="auto" w:fill="auto"/>
            <w:noWrap/>
            <w:vAlign w:val="bottom"/>
            <w:hideMark/>
          </w:tcPr>
          <w:p w14:paraId="04A7F2C5" w14:textId="77777777" w:rsidR="00C27485" w:rsidRPr="005A4BB8" w:rsidRDefault="00C27485" w:rsidP="00C27485">
            <w:pPr>
              <w:jc w:val="right"/>
              <w:rPr>
                <w:rFonts w:cs="Calibri"/>
                <w:color w:val="000000"/>
                <w:sz w:val="20"/>
                <w:szCs w:val="20"/>
              </w:rPr>
            </w:pPr>
            <w:r w:rsidRPr="005A4BB8">
              <w:rPr>
                <w:rFonts w:cs="Calibri"/>
                <w:color w:val="000000"/>
                <w:sz w:val="20"/>
                <w:szCs w:val="20"/>
              </w:rPr>
              <w:t>98.9</w:t>
            </w:r>
          </w:p>
        </w:tc>
      </w:tr>
      <w:tr w:rsidR="00C27485" w:rsidRPr="00C27485" w14:paraId="59087D2C" w14:textId="77777777" w:rsidTr="00C274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B254C" w14:textId="77777777" w:rsidR="00C27485" w:rsidRPr="005A4BB8" w:rsidRDefault="00C27485" w:rsidP="00C27485">
            <w:pPr>
              <w:jc w:val="right"/>
              <w:rPr>
                <w:rFonts w:cs="Calibri"/>
                <w:color w:val="000000"/>
                <w:sz w:val="20"/>
                <w:szCs w:val="20"/>
              </w:rPr>
            </w:pPr>
            <w:r w:rsidRPr="005A4BB8">
              <w:rPr>
                <w:rFonts w:cs="Calibri"/>
                <w:color w:val="000000"/>
                <w:sz w:val="20"/>
                <w:szCs w:val="20"/>
              </w:rPr>
              <w:t>26-Sep</w:t>
            </w:r>
          </w:p>
        </w:tc>
        <w:tc>
          <w:tcPr>
            <w:tcW w:w="0" w:type="auto"/>
            <w:tcBorders>
              <w:top w:val="nil"/>
              <w:left w:val="nil"/>
              <w:bottom w:val="single" w:sz="4" w:space="0" w:color="auto"/>
              <w:right w:val="single" w:sz="4" w:space="0" w:color="auto"/>
            </w:tcBorders>
            <w:shd w:val="clear" w:color="auto" w:fill="auto"/>
            <w:noWrap/>
            <w:vAlign w:val="bottom"/>
            <w:hideMark/>
          </w:tcPr>
          <w:p w14:paraId="7C82CCA4" w14:textId="77777777" w:rsidR="00C27485" w:rsidRPr="005A4BB8" w:rsidRDefault="00C27485" w:rsidP="00C27485">
            <w:pPr>
              <w:rPr>
                <w:rFonts w:cs="Calibri"/>
                <w:color w:val="000000"/>
                <w:sz w:val="20"/>
                <w:szCs w:val="20"/>
              </w:rPr>
            </w:pPr>
            <w:r w:rsidRPr="005A4BB8">
              <w:rPr>
                <w:rFonts w:cs="Calibri"/>
                <w:color w:val="000000"/>
                <w:sz w:val="20"/>
                <w:szCs w:val="20"/>
              </w:rPr>
              <w:t>4-7 p.m.</w:t>
            </w:r>
          </w:p>
        </w:tc>
        <w:tc>
          <w:tcPr>
            <w:tcW w:w="0" w:type="auto"/>
            <w:tcBorders>
              <w:top w:val="nil"/>
              <w:left w:val="nil"/>
              <w:bottom w:val="single" w:sz="4" w:space="0" w:color="auto"/>
              <w:right w:val="single" w:sz="4" w:space="0" w:color="auto"/>
            </w:tcBorders>
            <w:shd w:val="clear" w:color="auto" w:fill="auto"/>
            <w:noWrap/>
            <w:vAlign w:val="bottom"/>
            <w:hideMark/>
          </w:tcPr>
          <w:p w14:paraId="40F1AF7B" w14:textId="77777777" w:rsidR="00C27485" w:rsidRPr="005A4BB8" w:rsidRDefault="00C27485" w:rsidP="00C27485">
            <w:pPr>
              <w:jc w:val="right"/>
              <w:rPr>
                <w:rFonts w:cs="Calibri"/>
                <w:color w:val="000000"/>
                <w:sz w:val="20"/>
                <w:szCs w:val="20"/>
              </w:rPr>
            </w:pPr>
            <w:r w:rsidRPr="005A4BB8">
              <w:rPr>
                <w:rFonts w:cs="Calibri"/>
                <w:color w:val="000000"/>
                <w:sz w:val="20"/>
                <w:szCs w:val="20"/>
              </w:rPr>
              <w:t>719</w:t>
            </w:r>
          </w:p>
        </w:tc>
        <w:tc>
          <w:tcPr>
            <w:tcW w:w="0" w:type="auto"/>
            <w:tcBorders>
              <w:top w:val="nil"/>
              <w:left w:val="nil"/>
              <w:bottom w:val="single" w:sz="4" w:space="0" w:color="auto"/>
              <w:right w:val="single" w:sz="4" w:space="0" w:color="auto"/>
            </w:tcBorders>
            <w:shd w:val="clear" w:color="auto" w:fill="auto"/>
            <w:noWrap/>
            <w:vAlign w:val="bottom"/>
            <w:hideMark/>
          </w:tcPr>
          <w:p w14:paraId="12E5DDEC" w14:textId="77777777" w:rsidR="00C27485" w:rsidRPr="005A4BB8" w:rsidRDefault="00C27485" w:rsidP="00C27485">
            <w:pPr>
              <w:jc w:val="right"/>
              <w:rPr>
                <w:rFonts w:cs="Calibri"/>
                <w:color w:val="000000"/>
                <w:sz w:val="20"/>
                <w:szCs w:val="20"/>
              </w:rPr>
            </w:pPr>
            <w:r w:rsidRPr="005A4BB8">
              <w:rPr>
                <w:rFonts w:cs="Calibri"/>
                <w:color w:val="000000"/>
                <w:sz w:val="20"/>
                <w:szCs w:val="20"/>
              </w:rPr>
              <w:t>4,468</w:t>
            </w:r>
          </w:p>
        </w:tc>
        <w:tc>
          <w:tcPr>
            <w:tcW w:w="0" w:type="auto"/>
            <w:tcBorders>
              <w:top w:val="nil"/>
              <w:left w:val="nil"/>
              <w:bottom w:val="single" w:sz="4" w:space="0" w:color="auto"/>
              <w:right w:val="single" w:sz="4" w:space="0" w:color="auto"/>
            </w:tcBorders>
            <w:shd w:val="clear" w:color="auto" w:fill="auto"/>
            <w:noWrap/>
            <w:vAlign w:val="bottom"/>
            <w:hideMark/>
          </w:tcPr>
          <w:p w14:paraId="177F7137" w14:textId="77777777" w:rsidR="00C27485" w:rsidRPr="005A4BB8" w:rsidRDefault="00C27485" w:rsidP="00C27485">
            <w:pPr>
              <w:jc w:val="right"/>
              <w:rPr>
                <w:rFonts w:cs="Calibri"/>
                <w:color w:val="000000"/>
                <w:sz w:val="20"/>
                <w:szCs w:val="20"/>
              </w:rPr>
            </w:pPr>
            <w:r w:rsidRPr="005A4BB8">
              <w:rPr>
                <w:rFonts w:cs="Calibri"/>
                <w:color w:val="000000"/>
                <w:sz w:val="20"/>
                <w:szCs w:val="20"/>
              </w:rPr>
              <w:t>4,139</w:t>
            </w:r>
          </w:p>
        </w:tc>
        <w:tc>
          <w:tcPr>
            <w:tcW w:w="0" w:type="auto"/>
            <w:tcBorders>
              <w:top w:val="nil"/>
              <w:left w:val="nil"/>
              <w:bottom w:val="single" w:sz="4" w:space="0" w:color="auto"/>
              <w:right w:val="single" w:sz="4" w:space="0" w:color="auto"/>
            </w:tcBorders>
            <w:shd w:val="clear" w:color="auto" w:fill="auto"/>
            <w:noWrap/>
            <w:vAlign w:val="bottom"/>
            <w:hideMark/>
          </w:tcPr>
          <w:p w14:paraId="0F271397" w14:textId="77777777" w:rsidR="00C27485" w:rsidRPr="005A4BB8" w:rsidRDefault="00C27485" w:rsidP="00C27485">
            <w:pPr>
              <w:jc w:val="right"/>
              <w:rPr>
                <w:rFonts w:cs="Calibri"/>
                <w:color w:val="000000"/>
                <w:sz w:val="20"/>
                <w:szCs w:val="20"/>
              </w:rPr>
            </w:pPr>
            <w:r w:rsidRPr="005A4BB8">
              <w:rPr>
                <w:rFonts w:cs="Calibri"/>
                <w:color w:val="000000"/>
                <w:sz w:val="20"/>
                <w:szCs w:val="20"/>
              </w:rPr>
              <w:t>0.11</w:t>
            </w:r>
          </w:p>
        </w:tc>
        <w:tc>
          <w:tcPr>
            <w:tcW w:w="0" w:type="auto"/>
            <w:tcBorders>
              <w:top w:val="nil"/>
              <w:left w:val="nil"/>
              <w:bottom w:val="single" w:sz="4" w:space="0" w:color="auto"/>
              <w:right w:val="single" w:sz="4" w:space="0" w:color="auto"/>
            </w:tcBorders>
            <w:shd w:val="clear" w:color="auto" w:fill="auto"/>
            <w:noWrap/>
            <w:vAlign w:val="bottom"/>
            <w:hideMark/>
          </w:tcPr>
          <w:p w14:paraId="69273BB4" w14:textId="77777777" w:rsidR="00C27485" w:rsidRPr="005A4BB8" w:rsidRDefault="00C27485" w:rsidP="00C27485">
            <w:pPr>
              <w:jc w:val="right"/>
              <w:rPr>
                <w:rFonts w:cs="Calibri"/>
                <w:color w:val="000000"/>
                <w:sz w:val="20"/>
                <w:szCs w:val="20"/>
              </w:rPr>
            </w:pPr>
            <w:r w:rsidRPr="005A4BB8">
              <w:rPr>
                <w:rFonts w:cs="Calibri"/>
                <w:color w:val="000000"/>
                <w:sz w:val="20"/>
                <w:szCs w:val="20"/>
              </w:rPr>
              <w:t>0.33</w:t>
            </w:r>
          </w:p>
        </w:tc>
        <w:tc>
          <w:tcPr>
            <w:tcW w:w="0" w:type="auto"/>
            <w:tcBorders>
              <w:top w:val="nil"/>
              <w:left w:val="nil"/>
              <w:bottom w:val="single" w:sz="4" w:space="0" w:color="auto"/>
              <w:right w:val="single" w:sz="4" w:space="0" w:color="auto"/>
            </w:tcBorders>
            <w:shd w:val="clear" w:color="auto" w:fill="auto"/>
            <w:noWrap/>
            <w:vAlign w:val="bottom"/>
            <w:hideMark/>
          </w:tcPr>
          <w:p w14:paraId="212A5CE8" w14:textId="77777777" w:rsidR="00C27485" w:rsidRPr="005A4BB8" w:rsidRDefault="00C27485" w:rsidP="00C27485">
            <w:pPr>
              <w:jc w:val="right"/>
              <w:rPr>
                <w:rFonts w:cs="Calibri"/>
                <w:color w:val="000000"/>
                <w:sz w:val="20"/>
                <w:szCs w:val="20"/>
              </w:rPr>
            </w:pPr>
            <w:r w:rsidRPr="005A4BB8">
              <w:rPr>
                <w:rFonts w:cs="Calibri"/>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713AF510" w14:textId="77777777" w:rsidR="00C27485" w:rsidRPr="005A4BB8" w:rsidRDefault="00C27485" w:rsidP="00C27485">
            <w:pPr>
              <w:jc w:val="right"/>
              <w:rPr>
                <w:rFonts w:cs="Calibri"/>
                <w:color w:val="000000"/>
                <w:sz w:val="20"/>
                <w:szCs w:val="20"/>
              </w:rPr>
            </w:pPr>
            <w:r w:rsidRPr="005A4BB8">
              <w:rPr>
                <w:rFonts w:cs="Calibri"/>
                <w:color w:val="000000"/>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14:paraId="7DD85D45" w14:textId="77777777" w:rsidR="00C27485" w:rsidRPr="005A4BB8" w:rsidRDefault="00C27485" w:rsidP="00C27485">
            <w:pPr>
              <w:jc w:val="right"/>
              <w:rPr>
                <w:rFonts w:cs="Calibri"/>
                <w:color w:val="000000"/>
                <w:sz w:val="20"/>
                <w:szCs w:val="20"/>
              </w:rPr>
            </w:pPr>
            <w:r w:rsidRPr="005A4BB8">
              <w:rPr>
                <w:rFonts w:cs="Calibri"/>
                <w:color w:val="000000"/>
                <w:sz w:val="20"/>
                <w:szCs w:val="20"/>
              </w:rPr>
              <w:t>94.1</w:t>
            </w:r>
          </w:p>
        </w:tc>
        <w:tc>
          <w:tcPr>
            <w:tcW w:w="751" w:type="dxa"/>
            <w:tcBorders>
              <w:top w:val="nil"/>
              <w:left w:val="nil"/>
              <w:bottom w:val="single" w:sz="4" w:space="0" w:color="auto"/>
              <w:right w:val="single" w:sz="4" w:space="0" w:color="auto"/>
            </w:tcBorders>
            <w:shd w:val="clear" w:color="auto" w:fill="auto"/>
            <w:noWrap/>
            <w:vAlign w:val="bottom"/>
            <w:hideMark/>
          </w:tcPr>
          <w:p w14:paraId="707F2702" w14:textId="77777777" w:rsidR="00C27485" w:rsidRPr="005A4BB8" w:rsidRDefault="00C27485" w:rsidP="00C27485">
            <w:pPr>
              <w:jc w:val="right"/>
              <w:rPr>
                <w:rFonts w:cs="Calibri"/>
                <w:color w:val="000000"/>
                <w:sz w:val="20"/>
                <w:szCs w:val="20"/>
              </w:rPr>
            </w:pPr>
            <w:r w:rsidRPr="005A4BB8">
              <w:rPr>
                <w:rFonts w:cs="Calibri"/>
                <w:color w:val="000000"/>
                <w:sz w:val="20"/>
                <w:szCs w:val="20"/>
              </w:rPr>
              <w:t>83.5</w:t>
            </w:r>
          </w:p>
        </w:tc>
      </w:tr>
    </w:tbl>
    <w:p w14:paraId="770ACDB7" w14:textId="77777777" w:rsidR="008D4A3E" w:rsidRDefault="008D4A3E" w:rsidP="008D4A3E"/>
    <w:p w14:paraId="7482CE3A" w14:textId="4581F7DD" w:rsidR="008D4A3E" w:rsidRDefault="008D4A3E" w:rsidP="00A00902">
      <w:pPr>
        <w:spacing w:after="120"/>
      </w:pPr>
      <w:r>
        <w:fldChar w:fldCharType="begin"/>
      </w:r>
      <w:r>
        <w:instrText xml:space="preserve"> REF _Ref507077792 \h </w:instrText>
      </w:r>
      <w:r>
        <w:fldChar w:fldCharType="separate"/>
      </w:r>
      <w:r w:rsidR="00445DF3" w:rsidRPr="00717AA5">
        <w:t xml:space="preserve">Table </w:t>
      </w:r>
      <w:r w:rsidR="00445DF3">
        <w:rPr>
          <w:noProof/>
        </w:rPr>
        <w:t>5</w:t>
      </w:r>
      <w:r w:rsidR="00445DF3">
        <w:noBreakHyphen/>
      </w:r>
      <w:r w:rsidR="00445DF3">
        <w:rPr>
          <w:noProof/>
        </w:rPr>
        <w:t>5</w:t>
      </w:r>
      <w:r>
        <w:fldChar w:fldCharType="end"/>
      </w:r>
      <w:r>
        <w:t xml:space="preserve"> documents the various potential sources of differences between the </w:t>
      </w:r>
      <w:r w:rsidRPr="002A342D">
        <w:rPr>
          <w:i/>
        </w:rPr>
        <w:t>ex-post</w:t>
      </w:r>
      <w:r>
        <w:t xml:space="preserve"> and </w:t>
      </w:r>
      <w:r w:rsidRPr="002A342D">
        <w:rPr>
          <w:i/>
        </w:rPr>
        <w:t>ex-ante</w:t>
      </w:r>
      <w:r>
        <w:t xml:space="preserve"> load impacts. </w:t>
      </w:r>
      <w:r w:rsidR="00C02CE6" w:rsidRPr="00DA59CB">
        <w:t>The two biggest drivers of differences are the</w:t>
      </w:r>
      <w:r w:rsidR="00051B0F" w:rsidRPr="00DA59CB">
        <w:t xml:space="preserve"> </w:t>
      </w:r>
      <w:r w:rsidR="00C02CE6" w:rsidRPr="00DA59CB">
        <w:t>shift in the distribution of enrollments across LCAs</w:t>
      </w:r>
      <w:r w:rsidR="00DA59CB" w:rsidRPr="00DA59CB">
        <w:t xml:space="preserve"> and the large difference in load impacts between sub-LAP events and serial group events.</w:t>
      </w:r>
    </w:p>
    <w:p w14:paraId="7759F8AD" w14:textId="51A5F0E5" w:rsidR="00DF7CB2" w:rsidRDefault="00DF7CB2" w:rsidP="00A00902">
      <w:pPr>
        <w:spacing w:after="120"/>
      </w:pPr>
    </w:p>
    <w:p w14:paraId="75248D3D" w14:textId="5819ADAA" w:rsidR="00DF7CB2" w:rsidRDefault="00DF7CB2" w:rsidP="00B71F39">
      <w:pPr>
        <w:pStyle w:val="TableCaption"/>
        <w:keepLines/>
      </w:pPr>
      <w:bookmarkStart w:id="171" w:name="_Ref507077792"/>
      <w:bookmarkStart w:id="172" w:name="_Toc507081213"/>
      <w:bookmarkStart w:id="173" w:name="_Toc4578190"/>
      <w:r w:rsidRPr="00717AA5">
        <w:t xml:space="preserve">Table </w:t>
      </w:r>
      <w:r w:rsidR="005D5F52">
        <w:rPr>
          <w:noProof/>
        </w:rPr>
        <w:fldChar w:fldCharType="begin"/>
      </w:r>
      <w:r w:rsidR="005D5F52">
        <w:rPr>
          <w:noProof/>
        </w:rPr>
        <w:instrText xml:space="preserve"> STYLEREF 1 \s </w:instrText>
      </w:r>
      <w:r w:rsidR="005D5F52">
        <w:rPr>
          <w:noProof/>
        </w:rPr>
        <w:fldChar w:fldCharType="separate"/>
      </w:r>
      <w:r w:rsidR="00445DF3">
        <w:rPr>
          <w:noProof/>
        </w:rPr>
        <w:t>5</w:t>
      </w:r>
      <w:r w:rsidR="005D5F52">
        <w:rPr>
          <w:noProof/>
        </w:rPr>
        <w:fldChar w:fldCharType="end"/>
      </w:r>
      <w:r w:rsidR="00DA7526">
        <w:noBreakHyphen/>
      </w:r>
      <w:r w:rsidR="005D5F52">
        <w:rPr>
          <w:noProof/>
        </w:rPr>
        <w:fldChar w:fldCharType="begin"/>
      </w:r>
      <w:r w:rsidR="005D5F52">
        <w:rPr>
          <w:noProof/>
        </w:rPr>
        <w:instrText xml:space="preserve"> SEQ Table \* ARABIC \s 1 </w:instrText>
      </w:r>
      <w:r w:rsidR="005D5F52">
        <w:rPr>
          <w:noProof/>
        </w:rPr>
        <w:fldChar w:fldCharType="separate"/>
      </w:r>
      <w:r w:rsidR="00445DF3">
        <w:rPr>
          <w:noProof/>
        </w:rPr>
        <w:t>5</w:t>
      </w:r>
      <w:r w:rsidR="005D5F52">
        <w:rPr>
          <w:noProof/>
        </w:rPr>
        <w:fldChar w:fldCharType="end"/>
      </w:r>
      <w:bookmarkEnd w:id="171"/>
      <w:r w:rsidRPr="00717AA5">
        <w:t xml:space="preserve">: Comparison of </w:t>
      </w:r>
      <w:r w:rsidRPr="00717AA5">
        <w:rPr>
          <w:i/>
        </w:rPr>
        <w:t>Ex-Post</w:t>
      </w:r>
      <w:r w:rsidRPr="00717AA5">
        <w:t xml:space="preserve"> and </w:t>
      </w:r>
      <w:r w:rsidRPr="00717AA5">
        <w:rPr>
          <w:i/>
        </w:rPr>
        <w:t>Ex-Ante</w:t>
      </w:r>
      <w:r w:rsidRPr="00717AA5">
        <w:t xml:space="preserve"> Factors</w:t>
      </w:r>
      <w:bookmarkEnd w:id="172"/>
      <w:bookmarkEnd w:id="173"/>
    </w:p>
    <w:tbl>
      <w:tblPr>
        <w:tblW w:w="8760" w:type="dxa"/>
        <w:tblInd w:w="118" w:type="dxa"/>
        <w:tblLook w:val="04A0" w:firstRow="1" w:lastRow="0" w:firstColumn="1" w:lastColumn="0" w:noHBand="0" w:noVBand="1"/>
      </w:tblPr>
      <w:tblGrid>
        <w:gridCol w:w="1620"/>
        <w:gridCol w:w="2140"/>
        <w:gridCol w:w="2500"/>
        <w:gridCol w:w="2500"/>
      </w:tblGrid>
      <w:tr w:rsidR="00B71F39" w:rsidRPr="00B71F39" w14:paraId="43DE1FF3" w14:textId="77777777" w:rsidTr="00B71F39">
        <w:trPr>
          <w:trHeight w:val="315"/>
        </w:trPr>
        <w:tc>
          <w:tcPr>
            <w:tcW w:w="1620" w:type="dxa"/>
            <w:tcBorders>
              <w:top w:val="single" w:sz="8" w:space="0" w:color="auto"/>
              <w:left w:val="single" w:sz="8" w:space="0" w:color="auto"/>
              <w:bottom w:val="single" w:sz="8" w:space="0" w:color="auto"/>
              <w:right w:val="single" w:sz="8" w:space="0" w:color="FFFFFF"/>
            </w:tcBorders>
            <w:shd w:val="clear" w:color="000000" w:fill="0C2577"/>
            <w:vAlign w:val="center"/>
            <w:hideMark/>
          </w:tcPr>
          <w:p w14:paraId="3228DB99" w14:textId="77777777" w:rsidR="00B71F39" w:rsidRPr="00B71F39" w:rsidRDefault="00B71F39" w:rsidP="00B71F39">
            <w:pPr>
              <w:keepNext/>
              <w:jc w:val="center"/>
              <w:rPr>
                <w:rFonts w:cs="Calibri"/>
                <w:b/>
                <w:bCs/>
                <w:color w:val="FFFFFF"/>
                <w:sz w:val="22"/>
                <w:szCs w:val="22"/>
              </w:rPr>
            </w:pPr>
            <w:bookmarkStart w:id="174" w:name="_Ref506974928"/>
            <w:bookmarkEnd w:id="141"/>
            <w:bookmarkEnd w:id="142"/>
            <w:r w:rsidRPr="00B71F39">
              <w:rPr>
                <w:rFonts w:cs="Calibri"/>
                <w:b/>
                <w:bCs/>
                <w:color w:val="FFFFFF"/>
                <w:sz w:val="22"/>
                <w:szCs w:val="22"/>
              </w:rPr>
              <w:t>Factor</w:t>
            </w:r>
          </w:p>
        </w:tc>
        <w:tc>
          <w:tcPr>
            <w:tcW w:w="2140" w:type="dxa"/>
            <w:tcBorders>
              <w:top w:val="single" w:sz="8" w:space="0" w:color="auto"/>
              <w:left w:val="nil"/>
              <w:bottom w:val="single" w:sz="8" w:space="0" w:color="auto"/>
              <w:right w:val="single" w:sz="8" w:space="0" w:color="FFFFFF"/>
            </w:tcBorders>
            <w:shd w:val="clear" w:color="000000" w:fill="0C2577"/>
            <w:vAlign w:val="center"/>
            <w:hideMark/>
          </w:tcPr>
          <w:p w14:paraId="647D5213" w14:textId="77777777" w:rsidR="00B71F39" w:rsidRPr="00B71F39" w:rsidRDefault="00B71F39" w:rsidP="00B71F39">
            <w:pPr>
              <w:keepNext/>
              <w:jc w:val="center"/>
              <w:rPr>
                <w:rFonts w:cs="Calibri"/>
                <w:b/>
                <w:bCs/>
                <w:i/>
                <w:iCs/>
                <w:color w:val="FFFFFF"/>
                <w:sz w:val="22"/>
                <w:szCs w:val="22"/>
              </w:rPr>
            </w:pPr>
            <w:r w:rsidRPr="00B71F39">
              <w:rPr>
                <w:rFonts w:cs="Calibri"/>
                <w:b/>
                <w:bCs/>
                <w:i/>
                <w:iCs/>
                <w:color w:val="FFFFFF"/>
                <w:sz w:val="22"/>
                <w:szCs w:val="22"/>
              </w:rPr>
              <w:t>Ex-Post</w:t>
            </w:r>
          </w:p>
        </w:tc>
        <w:tc>
          <w:tcPr>
            <w:tcW w:w="2500" w:type="dxa"/>
            <w:tcBorders>
              <w:top w:val="single" w:sz="8" w:space="0" w:color="auto"/>
              <w:left w:val="nil"/>
              <w:bottom w:val="single" w:sz="8" w:space="0" w:color="auto"/>
              <w:right w:val="single" w:sz="8" w:space="0" w:color="FFFFFF"/>
            </w:tcBorders>
            <w:shd w:val="clear" w:color="000000" w:fill="0C2577"/>
            <w:vAlign w:val="center"/>
            <w:hideMark/>
          </w:tcPr>
          <w:p w14:paraId="36C28668" w14:textId="77777777" w:rsidR="00B71F39" w:rsidRPr="00B71F39" w:rsidRDefault="00B71F39" w:rsidP="00B71F39">
            <w:pPr>
              <w:keepNext/>
              <w:jc w:val="center"/>
              <w:rPr>
                <w:rFonts w:cs="Calibri"/>
                <w:b/>
                <w:bCs/>
                <w:i/>
                <w:iCs/>
                <w:color w:val="FFFFFF"/>
                <w:sz w:val="22"/>
                <w:szCs w:val="22"/>
              </w:rPr>
            </w:pPr>
            <w:r w:rsidRPr="00B71F39">
              <w:rPr>
                <w:rFonts w:cs="Calibri"/>
                <w:b/>
                <w:bCs/>
                <w:i/>
                <w:iCs/>
                <w:color w:val="FFFFFF"/>
                <w:sz w:val="22"/>
                <w:szCs w:val="22"/>
              </w:rPr>
              <w:t>Ex-Ante</w:t>
            </w:r>
          </w:p>
        </w:tc>
        <w:tc>
          <w:tcPr>
            <w:tcW w:w="2500" w:type="dxa"/>
            <w:tcBorders>
              <w:top w:val="single" w:sz="8" w:space="0" w:color="auto"/>
              <w:left w:val="nil"/>
              <w:bottom w:val="single" w:sz="8" w:space="0" w:color="auto"/>
              <w:right w:val="single" w:sz="8" w:space="0" w:color="auto"/>
            </w:tcBorders>
            <w:shd w:val="clear" w:color="000000" w:fill="0C2577"/>
            <w:vAlign w:val="center"/>
            <w:hideMark/>
          </w:tcPr>
          <w:p w14:paraId="5FAB2603" w14:textId="77777777" w:rsidR="00B71F39" w:rsidRPr="00B71F39" w:rsidRDefault="00B71F39" w:rsidP="00B71F39">
            <w:pPr>
              <w:keepNext/>
              <w:jc w:val="center"/>
              <w:rPr>
                <w:rFonts w:cs="Calibri"/>
                <w:b/>
                <w:bCs/>
                <w:color w:val="FFFFFF"/>
                <w:sz w:val="22"/>
                <w:szCs w:val="22"/>
              </w:rPr>
            </w:pPr>
            <w:r w:rsidRPr="00B71F39">
              <w:rPr>
                <w:rFonts w:cs="Calibri"/>
                <w:b/>
                <w:bCs/>
                <w:color w:val="FFFFFF"/>
                <w:sz w:val="22"/>
                <w:szCs w:val="22"/>
              </w:rPr>
              <w:t>Expected Impact</w:t>
            </w:r>
          </w:p>
        </w:tc>
      </w:tr>
      <w:tr w:rsidR="00B71F39" w:rsidRPr="00B71F39" w14:paraId="7C492E12" w14:textId="77777777" w:rsidTr="00B71F39">
        <w:trPr>
          <w:trHeight w:val="2265"/>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3B7C8578" w14:textId="77777777" w:rsidR="00B71F39" w:rsidRPr="00B71F39" w:rsidRDefault="00B71F39" w:rsidP="00B71F39">
            <w:pPr>
              <w:keepNext/>
              <w:rPr>
                <w:rFonts w:cs="Calibri"/>
                <w:color w:val="000000"/>
                <w:sz w:val="22"/>
                <w:szCs w:val="22"/>
              </w:rPr>
            </w:pPr>
            <w:r w:rsidRPr="00B71F39">
              <w:rPr>
                <w:rFonts w:cs="Calibri"/>
                <w:color w:val="000000"/>
                <w:sz w:val="22"/>
                <w:szCs w:val="22"/>
              </w:rPr>
              <w:t>Weather</w:t>
            </w:r>
          </w:p>
        </w:tc>
        <w:tc>
          <w:tcPr>
            <w:tcW w:w="2140" w:type="dxa"/>
            <w:tcBorders>
              <w:top w:val="nil"/>
              <w:left w:val="nil"/>
              <w:bottom w:val="single" w:sz="8" w:space="0" w:color="auto"/>
              <w:right w:val="single" w:sz="8" w:space="0" w:color="auto"/>
            </w:tcBorders>
            <w:shd w:val="clear" w:color="auto" w:fill="auto"/>
            <w:vAlign w:val="center"/>
            <w:hideMark/>
          </w:tcPr>
          <w:p w14:paraId="33191E6B" w14:textId="77777777" w:rsidR="00B71F39" w:rsidRPr="00B71F39" w:rsidRDefault="00B71F39" w:rsidP="00B71F39">
            <w:pPr>
              <w:keepNext/>
              <w:rPr>
                <w:rFonts w:cs="Calibri"/>
                <w:color w:val="000000"/>
                <w:sz w:val="22"/>
                <w:szCs w:val="22"/>
              </w:rPr>
            </w:pPr>
            <w:r w:rsidRPr="00B71F39">
              <w:rPr>
                <w:rFonts w:cs="Calibri"/>
                <w:color w:val="000000"/>
                <w:sz w:val="22"/>
                <w:szCs w:val="22"/>
              </w:rPr>
              <w:t>Average temperature of 98 °F during the hours sub-LAP are called across all events.</w:t>
            </w:r>
          </w:p>
        </w:tc>
        <w:tc>
          <w:tcPr>
            <w:tcW w:w="2500" w:type="dxa"/>
            <w:tcBorders>
              <w:top w:val="nil"/>
              <w:left w:val="nil"/>
              <w:bottom w:val="single" w:sz="8" w:space="0" w:color="auto"/>
              <w:right w:val="single" w:sz="8" w:space="0" w:color="auto"/>
            </w:tcBorders>
            <w:shd w:val="clear" w:color="000000" w:fill="FFFFFF"/>
            <w:vAlign w:val="center"/>
            <w:hideMark/>
          </w:tcPr>
          <w:p w14:paraId="65B0AFD5" w14:textId="77777777" w:rsidR="00B71F39" w:rsidRPr="00B71F39" w:rsidRDefault="00B71F39" w:rsidP="00B71F39">
            <w:pPr>
              <w:keepNext/>
              <w:rPr>
                <w:rFonts w:cs="Calibri"/>
                <w:color w:val="000000"/>
                <w:sz w:val="22"/>
                <w:szCs w:val="22"/>
              </w:rPr>
            </w:pPr>
            <w:r w:rsidRPr="00B71F39">
              <w:rPr>
                <w:rFonts w:cs="Calibri"/>
                <w:color w:val="000000"/>
                <w:sz w:val="22"/>
                <w:szCs w:val="22"/>
              </w:rPr>
              <w:t>Average RA window temperature of 97 °F corresponding to the PG&amp;E 1-in-2 weather scenario.</w:t>
            </w:r>
          </w:p>
        </w:tc>
        <w:tc>
          <w:tcPr>
            <w:tcW w:w="2500" w:type="dxa"/>
            <w:tcBorders>
              <w:top w:val="nil"/>
              <w:left w:val="nil"/>
              <w:bottom w:val="single" w:sz="8" w:space="0" w:color="auto"/>
              <w:right w:val="single" w:sz="8" w:space="0" w:color="auto"/>
            </w:tcBorders>
            <w:shd w:val="clear" w:color="000000" w:fill="FFFFFF"/>
            <w:vAlign w:val="center"/>
            <w:hideMark/>
          </w:tcPr>
          <w:p w14:paraId="46566ABA" w14:textId="77777777" w:rsidR="00B71F39" w:rsidRPr="00B71F39" w:rsidRDefault="00B71F39" w:rsidP="00B71F39">
            <w:pPr>
              <w:keepNext/>
              <w:rPr>
                <w:rFonts w:cs="Calibri"/>
                <w:color w:val="000000"/>
                <w:sz w:val="22"/>
                <w:szCs w:val="22"/>
              </w:rPr>
            </w:pPr>
            <w:r w:rsidRPr="00B71F39">
              <w:rPr>
                <w:rFonts w:cs="Calibri"/>
                <w:color w:val="000000"/>
                <w:sz w:val="22"/>
                <w:szCs w:val="22"/>
              </w:rPr>
              <w:t xml:space="preserve">All else equal, lower </w:t>
            </w:r>
            <w:r w:rsidRPr="00B71F39">
              <w:rPr>
                <w:rFonts w:cs="Calibri"/>
                <w:i/>
                <w:iCs/>
                <w:color w:val="000000"/>
                <w:sz w:val="22"/>
                <w:szCs w:val="22"/>
              </w:rPr>
              <w:t>ex-ante</w:t>
            </w:r>
            <w:r w:rsidRPr="00B71F39">
              <w:rPr>
                <w:rFonts w:cs="Calibri"/>
                <w:color w:val="000000"/>
                <w:sz w:val="22"/>
                <w:szCs w:val="22"/>
              </w:rPr>
              <w:t xml:space="preserve"> temperatures would reduce load impacts. However, this is not a significant driver of differences between </w:t>
            </w:r>
            <w:r w:rsidRPr="00B71F39">
              <w:rPr>
                <w:rFonts w:cs="Calibri"/>
                <w:i/>
                <w:iCs/>
                <w:color w:val="000000"/>
                <w:sz w:val="22"/>
                <w:szCs w:val="22"/>
              </w:rPr>
              <w:t>ex-post</w:t>
            </w:r>
            <w:r w:rsidRPr="00B71F39">
              <w:rPr>
                <w:rFonts w:cs="Calibri"/>
                <w:color w:val="000000"/>
                <w:sz w:val="22"/>
                <w:szCs w:val="22"/>
              </w:rPr>
              <w:t xml:space="preserve"> and </w:t>
            </w:r>
            <w:r w:rsidRPr="00B71F39">
              <w:rPr>
                <w:rFonts w:cs="Calibri"/>
                <w:i/>
                <w:iCs/>
                <w:color w:val="000000"/>
                <w:sz w:val="22"/>
                <w:szCs w:val="22"/>
              </w:rPr>
              <w:t>ex-ante</w:t>
            </w:r>
            <w:r w:rsidRPr="00B71F39">
              <w:rPr>
                <w:rFonts w:cs="Calibri"/>
                <w:color w:val="000000"/>
                <w:sz w:val="22"/>
                <w:szCs w:val="22"/>
              </w:rPr>
              <w:t xml:space="preserve"> impacts.</w:t>
            </w:r>
          </w:p>
        </w:tc>
      </w:tr>
      <w:tr w:rsidR="00B71F39" w:rsidRPr="00B71F39" w14:paraId="680C8BDD" w14:textId="77777777" w:rsidTr="00B71F39">
        <w:trPr>
          <w:trHeight w:val="1798"/>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E7953D7" w14:textId="77777777" w:rsidR="00B71F39" w:rsidRPr="00B71F39" w:rsidRDefault="00B71F39" w:rsidP="00B71F39">
            <w:pPr>
              <w:keepNext/>
              <w:rPr>
                <w:rFonts w:cs="Calibri"/>
                <w:color w:val="000000"/>
                <w:sz w:val="22"/>
                <w:szCs w:val="22"/>
              </w:rPr>
            </w:pPr>
            <w:r w:rsidRPr="00B71F39">
              <w:rPr>
                <w:rFonts w:cs="Calibri"/>
                <w:color w:val="000000"/>
                <w:sz w:val="22"/>
                <w:szCs w:val="22"/>
              </w:rPr>
              <w:t>Event window</w:t>
            </w:r>
          </w:p>
        </w:tc>
        <w:tc>
          <w:tcPr>
            <w:tcW w:w="2140" w:type="dxa"/>
            <w:tcBorders>
              <w:top w:val="nil"/>
              <w:left w:val="nil"/>
              <w:bottom w:val="single" w:sz="8" w:space="0" w:color="auto"/>
              <w:right w:val="single" w:sz="8" w:space="0" w:color="auto"/>
            </w:tcBorders>
            <w:shd w:val="clear" w:color="auto" w:fill="auto"/>
            <w:vAlign w:val="center"/>
            <w:hideMark/>
          </w:tcPr>
          <w:p w14:paraId="2F9216C7" w14:textId="77777777" w:rsidR="00B71F39" w:rsidRPr="00B71F39" w:rsidRDefault="00B71F39" w:rsidP="00B71F39">
            <w:pPr>
              <w:keepNext/>
              <w:rPr>
                <w:rFonts w:cs="Calibri"/>
                <w:color w:val="000000"/>
                <w:sz w:val="22"/>
                <w:szCs w:val="22"/>
              </w:rPr>
            </w:pPr>
            <w:r w:rsidRPr="00B71F39">
              <w:rPr>
                <w:rFonts w:cs="Calibri"/>
                <w:color w:val="000000"/>
                <w:sz w:val="22"/>
                <w:szCs w:val="22"/>
              </w:rPr>
              <w:t>Varies, in PY2018 event hours ranged from 3 p.m. to 11:59 p.m.</w:t>
            </w:r>
          </w:p>
        </w:tc>
        <w:tc>
          <w:tcPr>
            <w:tcW w:w="2500" w:type="dxa"/>
            <w:tcBorders>
              <w:top w:val="nil"/>
              <w:left w:val="nil"/>
              <w:bottom w:val="single" w:sz="8" w:space="0" w:color="auto"/>
              <w:right w:val="single" w:sz="8" w:space="0" w:color="auto"/>
            </w:tcBorders>
            <w:shd w:val="clear" w:color="000000" w:fill="FFFFFF"/>
            <w:vAlign w:val="center"/>
            <w:hideMark/>
          </w:tcPr>
          <w:p w14:paraId="1280A890" w14:textId="77777777" w:rsidR="00B71F39" w:rsidRPr="00B71F39" w:rsidRDefault="00B71F39" w:rsidP="00B71F39">
            <w:pPr>
              <w:keepNext/>
              <w:rPr>
                <w:rFonts w:cs="Calibri"/>
                <w:color w:val="000000"/>
                <w:sz w:val="22"/>
                <w:szCs w:val="22"/>
              </w:rPr>
            </w:pPr>
            <w:r w:rsidRPr="00B71F39">
              <w:rPr>
                <w:rFonts w:cs="Calibri"/>
                <w:color w:val="000000"/>
                <w:sz w:val="22"/>
                <w:szCs w:val="22"/>
              </w:rPr>
              <w:t>RA window spans 5 p.m. to 9 p.m.</w:t>
            </w:r>
          </w:p>
        </w:tc>
        <w:tc>
          <w:tcPr>
            <w:tcW w:w="2500" w:type="dxa"/>
            <w:tcBorders>
              <w:top w:val="nil"/>
              <w:left w:val="nil"/>
              <w:bottom w:val="single" w:sz="8" w:space="0" w:color="auto"/>
              <w:right w:val="single" w:sz="8" w:space="0" w:color="auto"/>
            </w:tcBorders>
            <w:shd w:val="clear" w:color="000000" w:fill="FFFFFF"/>
            <w:vAlign w:val="center"/>
            <w:hideMark/>
          </w:tcPr>
          <w:p w14:paraId="6CCF4EBD" w14:textId="77777777" w:rsidR="00B71F39" w:rsidRPr="00B71F39" w:rsidRDefault="00B71F39" w:rsidP="00B71F39">
            <w:pPr>
              <w:keepNext/>
              <w:rPr>
                <w:rFonts w:cs="Calibri"/>
                <w:color w:val="000000"/>
                <w:sz w:val="22"/>
                <w:szCs w:val="22"/>
              </w:rPr>
            </w:pPr>
            <w:r w:rsidRPr="00B71F39">
              <w:rPr>
                <w:rFonts w:cs="Calibri"/>
                <w:color w:val="000000"/>
                <w:sz w:val="22"/>
                <w:szCs w:val="22"/>
              </w:rPr>
              <w:t>Varies by event hours, but the effect is most notable for the latest ex-post event, which had much lower load impacts.</w:t>
            </w:r>
          </w:p>
        </w:tc>
      </w:tr>
      <w:tr w:rsidR="00B71F39" w:rsidRPr="00B71F39" w14:paraId="6DB850AE" w14:textId="77777777" w:rsidTr="00B71F39">
        <w:trPr>
          <w:trHeight w:val="151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45E8A02" w14:textId="77777777" w:rsidR="00B71F39" w:rsidRPr="00B71F39" w:rsidRDefault="00B71F39" w:rsidP="00B71F39">
            <w:pPr>
              <w:keepNext/>
              <w:rPr>
                <w:rFonts w:cs="Calibri"/>
                <w:color w:val="000000"/>
                <w:sz w:val="22"/>
                <w:szCs w:val="22"/>
              </w:rPr>
            </w:pPr>
            <w:r w:rsidRPr="00B71F39">
              <w:rPr>
                <w:rFonts w:cs="Calibri"/>
                <w:color w:val="000000"/>
                <w:sz w:val="22"/>
                <w:szCs w:val="22"/>
              </w:rPr>
              <w:t>% of resource dispatched</w:t>
            </w:r>
          </w:p>
        </w:tc>
        <w:tc>
          <w:tcPr>
            <w:tcW w:w="2140" w:type="dxa"/>
            <w:tcBorders>
              <w:top w:val="nil"/>
              <w:left w:val="nil"/>
              <w:bottom w:val="single" w:sz="8" w:space="0" w:color="auto"/>
              <w:right w:val="single" w:sz="8" w:space="0" w:color="auto"/>
            </w:tcBorders>
            <w:shd w:val="clear" w:color="auto" w:fill="auto"/>
            <w:vAlign w:val="center"/>
            <w:hideMark/>
          </w:tcPr>
          <w:p w14:paraId="79E137B4" w14:textId="77777777" w:rsidR="00B71F39" w:rsidRPr="00B71F39" w:rsidRDefault="00B71F39" w:rsidP="00B71F39">
            <w:pPr>
              <w:keepNext/>
              <w:rPr>
                <w:rFonts w:cs="Calibri"/>
                <w:color w:val="000000"/>
                <w:sz w:val="22"/>
                <w:szCs w:val="22"/>
              </w:rPr>
            </w:pPr>
            <w:r w:rsidRPr="00B71F39">
              <w:rPr>
                <w:rFonts w:cs="Calibri"/>
                <w:color w:val="000000"/>
                <w:sz w:val="22"/>
                <w:szCs w:val="22"/>
              </w:rPr>
              <w:t>31 percent on average</w:t>
            </w:r>
          </w:p>
        </w:tc>
        <w:tc>
          <w:tcPr>
            <w:tcW w:w="2500" w:type="dxa"/>
            <w:tcBorders>
              <w:top w:val="nil"/>
              <w:left w:val="nil"/>
              <w:bottom w:val="single" w:sz="8" w:space="0" w:color="auto"/>
              <w:right w:val="single" w:sz="8" w:space="0" w:color="auto"/>
            </w:tcBorders>
            <w:shd w:val="clear" w:color="000000" w:fill="FFFFFF"/>
            <w:vAlign w:val="center"/>
            <w:hideMark/>
          </w:tcPr>
          <w:p w14:paraId="5022F172" w14:textId="77777777" w:rsidR="00B71F39" w:rsidRPr="00B71F39" w:rsidRDefault="00B71F39" w:rsidP="00B71F39">
            <w:pPr>
              <w:keepNext/>
              <w:rPr>
                <w:rFonts w:cs="Calibri"/>
                <w:color w:val="000000"/>
                <w:sz w:val="22"/>
                <w:szCs w:val="22"/>
              </w:rPr>
            </w:pPr>
            <w:r w:rsidRPr="00B71F39">
              <w:rPr>
                <w:rFonts w:cs="Calibri"/>
                <w:color w:val="000000"/>
                <w:sz w:val="22"/>
                <w:szCs w:val="22"/>
              </w:rPr>
              <w:t>100 percent</w:t>
            </w:r>
          </w:p>
        </w:tc>
        <w:tc>
          <w:tcPr>
            <w:tcW w:w="2500" w:type="dxa"/>
            <w:tcBorders>
              <w:top w:val="nil"/>
              <w:left w:val="nil"/>
              <w:bottom w:val="single" w:sz="8" w:space="0" w:color="auto"/>
              <w:right w:val="single" w:sz="8" w:space="0" w:color="auto"/>
            </w:tcBorders>
            <w:shd w:val="clear" w:color="000000" w:fill="FFFFFF"/>
            <w:vAlign w:val="center"/>
            <w:hideMark/>
          </w:tcPr>
          <w:p w14:paraId="67958265" w14:textId="77777777" w:rsidR="00B71F39" w:rsidRPr="00B71F39" w:rsidRDefault="00B71F39" w:rsidP="00B71F39">
            <w:pPr>
              <w:keepNext/>
              <w:rPr>
                <w:rFonts w:cs="Calibri"/>
                <w:color w:val="000000"/>
                <w:sz w:val="22"/>
                <w:szCs w:val="22"/>
              </w:rPr>
            </w:pPr>
            <w:r w:rsidRPr="00B71F39">
              <w:rPr>
                <w:rFonts w:cs="Calibri"/>
                <w:color w:val="000000"/>
                <w:sz w:val="22"/>
                <w:szCs w:val="22"/>
              </w:rPr>
              <w:t>Sub-LAP events yield lower load impacts than serial group events due to paging and device issues.</w:t>
            </w:r>
          </w:p>
        </w:tc>
      </w:tr>
      <w:tr w:rsidR="00B71F39" w:rsidRPr="00B71F39" w14:paraId="0817D777" w14:textId="77777777" w:rsidTr="00B71F39">
        <w:trPr>
          <w:trHeight w:val="3015"/>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2FC03F1" w14:textId="77777777" w:rsidR="00B71F39" w:rsidRPr="00B71F39" w:rsidRDefault="00B71F39" w:rsidP="00B71F39">
            <w:pPr>
              <w:keepNext/>
              <w:rPr>
                <w:rFonts w:cs="Calibri"/>
                <w:color w:val="000000"/>
                <w:sz w:val="22"/>
                <w:szCs w:val="22"/>
              </w:rPr>
            </w:pPr>
            <w:r w:rsidRPr="00B71F39">
              <w:rPr>
                <w:rFonts w:cs="Calibri"/>
                <w:color w:val="000000"/>
                <w:sz w:val="22"/>
                <w:szCs w:val="22"/>
              </w:rPr>
              <w:t>Enrollment</w:t>
            </w:r>
          </w:p>
        </w:tc>
        <w:tc>
          <w:tcPr>
            <w:tcW w:w="2140" w:type="dxa"/>
            <w:tcBorders>
              <w:top w:val="nil"/>
              <w:left w:val="nil"/>
              <w:bottom w:val="single" w:sz="8" w:space="0" w:color="auto"/>
              <w:right w:val="single" w:sz="8" w:space="0" w:color="auto"/>
            </w:tcBorders>
            <w:shd w:val="clear" w:color="auto" w:fill="auto"/>
            <w:vAlign w:val="center"/>
            <w:hideMark/>
          </w:tcPr>
          <w:p w14:paraId="29302193" w14:textId="77777777" w:rsidR="00B71F39" w:rsidRPr="00B71F39" w:rsidRDefault="00B71F39" w:rsidP="00B71F39">
            <w:pPr>
              <w:keepNext/>
              <w:rPr>
                <w:rFonts w:cs="Calibri"/>
                <w:color w:val="000000"/>
                <w:sz w:val="22"/>
                <w:szCs w:val="22"/>
              </w:rPr>
            </w:pPr>
            <w:r w:rsidRPr="00B71F39">
              <w:rPr>
                <w:rFonts w:cs="Calibri"/>
                <w:color w:val="000000"/>
                <w:sz w:val="22"/>
                <w:szCs w:val="22"/>
              </w:rPr>
              <w:t>102,345 service accounts.</w:t>
            </w:r>
          </w:p>
        </w:tc>
        <w:tc>
          <w:tcPr>
            <w:tcW w:w="2500" w:type="dxa"/>
            <w:tcBorders>
              <w:top w:val="nil"/>
              <w:left w:val="nil"/>
              <w:bottom w:val="single" w:sz="8" w:space="0" w:color="auto"/>
              <w:right w:val="single" w:sz="8" w:space="0" w:color="auto"/>
            </w:tcBorders>
            <w:shd w:val="clear" w:color="000000" w:fill="FFFFFF"/>
            <w:vAlign w:val="center"/>
            <w:hideMark/>
          </w:tcPr>
          <w:p w14:paraId="3684C2E5" w14:textId="77777777" w:rsidR="00B71F39" w:rsidRPr="00B71F39" w:rsidRDefault="00B71F39" w:rsidP="00B71F39">
            <w:pPr>
              <w:keepNext/>
              <w:rPr>
                <w:rFonts w:cs="Calibri"/>
                <w:color w:val="000000"/>
                <w:sz w:val="22"/>
                <w:szCs w:val="22"/>
              </w:rPr>
            </w:pPr>
            <w:r w:rsidRPr="00B71F39">
              <w:rPr>
                <w:rFonts w:cs="Calibri"/>
                <w:color w:val="000000"/>
                <w:sz w:val="22"/>
                <w:szCs w:val="22"/>
              </w:rPr>
              <w:t xml:space="preserve">107,709 service accounts. </w:t>
            </w:r>
          </w:p>
        </w:tc>
        <w:tc>
          <w:tcPr>
            <w:tcW w:w="2500" w:type="dxa"/>
            <w:tcBorders>
              <w:top w:val="nil"/>
              <w:left w:val="nil"/>
              <w:bottom w:val="single" w:sz="8" w:space="0" w:color="auto"/>
              <w:right w:val="single" w:sz="8" w:space="0" w:color="auto"/>
            </w:tcBorders>
            <w:shd w:val="clear" w:color="000000" w:fill="FFFFFF"/>
            <w:vAlign w:val="center"/>
            <w:hideMark/>
          </w:tcPr>
          <w:p w14:paraId="1E359167" w14:textId="77777777" w:rsidR="00B71F39" w:rsidRPr="00B71F39" w:rsidRDefault="00B71F39" w:rsidP="00B71F39">
            <w:pPr>
              <w:keepNext/>
              <w:rPr>
                <w:rFonts w:cs="Calibri"/>
                <w:color w:val="000000"/>
                <w:sz w:val="22"/>
                <w:szCs w:val="22"/>
              </w:rPr>
            </w:pPr>
            <w:r w:rsidRPr="00B71F39">
              <w:rPr>
                <w:rFonts w:cs="Calibri"/>
                <w:color w:val="000000"/>
                <w:sz w:val="22"/>
                <w:szCs w:val="22"/>
              </w:rPr>
              <w:t xml:space="preserve">Higher </w:t>
            </w:r>
            <w:r w:rsidRPr="00B71F39">
              <w:rPr>
                <w:rFonts w:cs="Calibri"/>
                <w:i/>
                <w:iCs/>
                <w:color w:val="000000"/>
                <w:sz w:val="22"/>
                <w:szCs w:val="22"/>
              </w:rPr>
              <w:t>ex-ante</w:t>
            </w:r>
            <w:r w:rsidRPr="00B71F39">
              <w:rPr>
                <w:rFonts w:cs="Calibri"/>
                <w:color w:val="000000"/>
                <w:sz w:val="22"/>
                <w:szCs w:val="22"/>
              </w:rPr>
              <w:t xml:space="preserve"> enrollment, including the addition of new two-way devices, leads to higher aggregate load impact. There is also a shift in the distribution of enrollments to hotter regions such as Greater Fresno.</w:t>
            </w:r>
          </w:p>
        </w:tc>
      </w:tr>
      <w:tr w:rsidR="00B71F39" w:rsidRPr="00B71F39" w14:paraId="5B11FD8F" w14:textId="77777777" w:rsidTr="00B71F39">
        <w:trPr>
          <w:trHeight w:val="2715"/>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5B1A8CE" w14:textId="77777777" w:rsidR="00B71F39" w:rsidRPr="00B71F39" w:rsidRDefault="00B71F39" w:rsidP="00B71F39">
            <w:pPr>
              <w:keepNext/>
              <w:rPr>
                <w:rFonts w:cs="Calibri"/>
                <w:color w:val="000000"/>
                <w:sz w:val="22"/>
                <w:szCs w:val="22"/>
              </w:rPr>
            </w:pPr>
            <w:r w:rsidRPr="00B71F39">
              <w:rPr>
                <w:rFonts w:cs="Calibri"/>
                <w:color w:val="000000"/>
                <w:sz w:val="22"/>
                <w:szCs w:val="22"/>
              </w:rPr>
              <w:t>Methodology</w:t>
            </w:r>
          </w:p>
        </w:tc>
        <w:tc>
          <w:tcPr>
            <w:tcW w:w="2140" w:type="dxa"/>
            <w:tcBorders>
              <w:top w:val="nil"/>
              <w:left w:val="nil"/>
              <w:bottom w:val="single" w:sz="8" w:space="0" w:color="auto"/>
              <w:right w:val="single" w:sz="8" w:space="0" w:color="auto"/>
            </w:tcBorders>
            <w:shd w:val="clear" w:color="auto" w:fill="auto"/>
            <w:vAlign w:val="center"/>
            <w:hideMark/>
          </w:tcPr>
          <w:p w14:paraId="5BA59FA1" w14:textId="77777777" w:rsidR="00B71F39" w:rsidRPr="00B71F39" w:rsidRDefault="00B71F39" w:rsidP="00B71F39">
            <w:pPr>
              <w:keepNext/>
              <w:rPr>
                <w:rFonts w:cs="Calibri"/>
                <w:color w:val="000000"/>
                <w:sz w:val="22"/>
                <w:szCs w:val="22"/>
              </w:rPr>
            </w:pPr>
            <w:r w:rsidRPr="00B71F39">
              <w:rPr>
                <w:rFonts w:cs="Calibri"/>
                <w:color w:val="000000"/>
                <w:sz w:val="22"/>
                <w:szCs w:val="22"/>
              </w:rPr>
              <w:t>Panel models by sub-LAP with fixed customer and date effects and a matched control-group of non-participants.</w:t>
            </w:r>
          </w:p>
        </w:tc>
        <w:tc>
          <w:tcPr>
            <w:tcW w:w="2500" w:type="dxa"/>
            <w:tcBorders>
              <w:top w:val="nil"/>
              <w:left w:val="nil"/>
              <w:bottom w:val="single" w:sz="8" w:space="0" w:color="auto"/>
              <w:right w:val="single" w:sz="8" w:space="0" w:color="auto"/>
            </w:tcBorders>
            <w:shd w:val="clear" w:color="000000" w:fill="FFFFFF"/>
            <w:vAlign w:val="center"/>
            <w:hideMark/>
          </w:tcPr>
          <w:p w14:paraId="7BE9D78D" w14:textId="77777777" w:rsidR="00B71F39" w:rsidRPr="00B71F39" w:rsidRDefault="00B71F39" w:rsidP="00B71F39">
            <w:pPr>
              <w:keepNext/>
              <w:rPr>
                <w:rFonts w:cs="Calibri"/>
                <w:color w:val="000000"/>
                <w:sz w:val="22"/>
                <w:szCs w:val="22"/>
              </w:rPr>
            </w:pPr>
            <w:r w:rsidRPr="00B71F39">
              <w:rPr>
                <w:rFonts w:cs="Calibri"/>
                <w:color w:val="000000"/>
                <w:sz w:val="22"/>
                <w:szCs w:val="22"/>
              </w:rPr>
              <w:t xml:space="preserve">Simulated LCA-specific reference loads by LCA based on PY2018 usage patterns. Load impacts are derived from the PY2017 </w:t>
            </w:r>
            <w:r w:rsidRPr="00B71F39">
              <w:rPr>
                <w:rFonts w:cs="Calibri"/>
                <w:i/>
                <w:iCs/>
                <w:color w:val="000000"/>
                <w:sz w:val="22"/>
                <w:szCs w:val="22"/>
              </w:rPr>
              <w:t>ex-post</w:t>
            </w:r>
            <w:r w:rsidRPr="00B71F39">
              <w:rPr>
                <w:rFonts w:cs="Calibri"/>
                <w:color w:val="000000"/>
                <w:sz w:val="22"/>
                <w:szCs w:val="22"/>
              </w:rPr>
              <w:t xml:space="preserve"> analysis of serial group events.</w:t>
            </w:r>
          </w:p>
        </w:tc>
        <w:tc>
          <w:tcPr>
            <w:tcW w:w="2500" w:type="dxa"/>
            <w:tcBorders>
              <w:top w:val="nil"/>
              <w:left w:val="nil"/>
              <w:bottom w:val="single" w:sz="8" w:space="0" w:color="auto"/>
              <w:right w:val="single" w:sz="8" w:space="0" w:color="auto"/>
            </w:tcBorders>
            <w:shd w:val="clear" w:color="000000" w:fill="FFFFFF"/>
            <w:vAlign w:val="center"/>
            <w:hideMark/>
          </w:tcPr>
          <w:p w14:paraId="54FF23EC" w14:textId="77777777" w:rsidR="00B71F39" w:rsidRPr="00B71F39" w:rsidRDefault="00B71F39" w:rsidP="00B71F39">
            <w:pPr>
              <w:keepNext/>
              <w:rPr>
                <w:rFonts w:cs="Calibri"/>
                <w:color w:val="000000"/>
                <w:sz w:val="22"/>
                <w:szCs w:val="22"/>
              </w:rPr>
            </w:pPr>
            <w:r w:rsidRPr="00B71F39">
              <w:rPr>
                <w:rFonts w:cs="Calibri"/>
                <w:color w:val="000000"/>
                <w:sz w:val="22"/>
                <w:szCs w:val="22"/>
              </w:rPr>
              <w:t>The use of PY2017 ex-post impacts as the basis of our ex-ante load impacts is the largest driver of differences between the two types of impacts. This is illustrated in detail in the previous sub-sections.</w:t>
            </w:r>
          </w:p>
        </w:tc>
      </w:tr>
    </w:tbl>
    <w:p w14:paraId="7DE56551" w14:textId="68F077B1" w:rsidR="00EB66D9" w:rsidRDefault="00EB66D9" w:rsidP="00EB66D9"/>
    <w:p w14:paraId="6C2CAC39" w14:textId="08D7E844" w:rsidR="00EB66D9" w:rsidRDefault="00EB66D9" w:rsidP="00EB66D9"/>
    <w:p w14:paraId="27418D2D" w14:textId="6165150C" w:rsidR="00132CE7" w:rsidRPr="006F0D46" w:rsidRDefault="00132CE7" w:rsidP="00132CE7">
      <w:pPr>
        <w:pStyle w:val="Heading1"/>
        <w:spacing w:before="480" w:after="120"/>
      </w:pPr>
      <w:bookmarkStart w:id="175" w:name="_Toc4578167"/>
      <w:r w:rsidRPr="006F0D46">
        <w:t>Recommendations</w:t>
      </w:r>
      <w:bookmarkEnd w:id="174"/>
      <w:bookmarkEnd w:id="175"/>
    </w:p>
    <w:p w14:paraId="23DBBC3A" w14:textId="79373B62" w:rsidR="004B50E5" w:rsidRDefault="004B50E5" w:rsidP="00BD63E8">
      <w:pPr>
        <w:spacing w:after="120"/>
        <w:rPr>
          <w:szCs w:val="32"/>
        </w:rPr>
      </w:pPr>
      <w:r>
        <w:rPr>
          <w:szCs w:val="32"/>
        </w:rPr>
        <w:t xml:space="preserve">While we understand that sub-LAP events are the source of value from CAISO market awards, </w:t>
      </w:r>
      <w:r w:rsidR="006E57C9">
        <w:rPr>
          <w:szCs w:val="32"/>
        </w:rPr>
        <w:t>we recommend that there also be</w:t>
      </w:r>
      <w:r>
        <w:rPr>
          <w:szCs w:val="32"/>
        </w:rPr>
        <w:t xml:space="preserve"> some serial group </w:t>
      </w:r>
      <w:r w:rsidR="007E2AA2">
        <w:rPr>
          <w:szCs w:val="32"/>
        </w:rPr>
        <w:t xml:space="preserve">or system-wide </w:t>
      </w:r>
      <w:r>
        <w:rPr>
          <w:szCs w:val="32"/>
        </w:rPr>
        <w:t>events called</w:t>
      </w:r>
      <w:r w:rsidR="006E57C9">
        <w:rPr>
          <w:szCs w:val="32"/>
        </w:rPr>
        <w:t xml:space="preserve"> going forward. </w:t>
      </w:r>
      <w:r w:rsidR="007E2AA2" w:rsidRPr="007E2AA2">
        <w:rPr>
          <w:szCs w:val="32"/>
        </w:rPr>
        <w:t xml:space="preserve">That is, because system-wide and serial group events take advantage of factory programmed addressing and </w:t>
      </w:r>
      <w:r w:rsidR="007E2AA2">
        <w:rPr>
          <w:szCs w:val="32"/>
        </w:rPr>
        <w:t>b</w:t>
      </w:r>
      <w:r w:rsidR="006E57C9">
        <w:rPr>
          <w:szCs w:val="32"/>
        </w:rPr>
        <w:t xml:space="preserve">ecause </w:t>
      </w:r>
      <w:r>
        <w:rPr>
          <w:szCs w:val="32"/>
        </w:rPr>
        <w:t xml:space="preserve">of the inherent randomization, </w:t>
      </w:r>
      <w:r w:rsidR="007E2AA2">
        <w:rPr>
          <w:szCs w:val="32"/>
        </w:rPr>
        <w:t>these</w:t>
      </w:r>
      <w:r>
        <w:rPr>
          <w:szCs w:val="32"/>
        </w:rPr>
        <w:t xml:space="preserve"> events</w:t>
      </w:r>
      <w:r w:rsidR="006E57C9">
        <w:rPr>
          <w:szCs w:val="32"/>
        </w:rPr>
        <w:t xml:space="preserve"> will enable a more complete program evaluation and should produce more accurate forecasts of the program’s capacity as a whole.</w:t>
      </w:r>
      <w:r>
        <w:rPr>
          <w:szCs w:val="32"/>
        </w:rPr>
        <w:t xml:space="preserve"> </w:t>
      </w:r>
    </w:p>
    <w:p w14:paraId="419EE311" w14:textId="2F3C132A" w:rsidR="006E57C9" w:rsidRDefault="006E57C9" w:rsidP="00BD63E8">
      <w:pPr>
        <w:spacing w:after="120"/>
        <w:rPr>
          <w:szCs w:val="32"/>
        </w:rPr>
      </w:pPr>
      <w:r>
        <w:rPr>
          <w:szCs w:val="32"/>
        </w:rPr>
        <w:t xml:space="preserve">Also, as PGKN is normally a highly responsive sub-LAP for the </w:t>
      </w:r>
      <w:r w:rsidR="00546AFB">
        <w:rPr>
          <w:szCs w:val="32"/>
        </w:rPr>
        <w:t>SmartAC™</w:t>
      </w:r>
      <w:r>
        <w:rPr>
          <w:szCs w:val="32"/>
        </w:rPr>
        <w:t xml:space="preserve"> program, solving dispatch challenges at the sub-LAP level would contribute to higher load impacts. </w:t>
      </w:r>
      <w:r w:rsidR="004B10B0">
        <w:rPr>
          <w:szCs w:val="32"/>
        </w:rPr>
        <w:t xml:space="preserve">Although </w:t>
      </w:r>
      <w:r w:rsidR="009608CF">
        <w:rPr>
          <w:szCs w:val="32"/>
        </w:rPr>
        <w:t>PGKN</w:t>
      </w:r>
      <w:r w:rsidR="004B10B0">
        <w:rPr>
          <w:szCs w:val="32"/>
        </w:rPr>
        <w:t xml:space="preserve"> </w:t>
      </w:r>
      <w:r w:rsidR="009608CF">
        <w:rPr>
          <w:szCs w:val="32"/>
        </w:rPr>
        <w:t>was called for five events</w:t>
      </w:r>
      <w:r w:rsidR="004B10B0">
        <w:rPr>
          <w:szCs w:val="32"/>
        </w:rPr>
        <w:t xml:space="preserve"> during PY2018</w:t>
      </w:r>
      <w:r w:rsidR="009608CF">
        <w:rPr>
          <w:szCs w:val="32"/>
        </w:rPr>
        <w:t>, most customers were not dispatched</w:t>
      </w:r>
      <w:r w:rsidR="007E2AA2">
        <w:rPr>
          <w:szCs w:val="32"/>
        </w:rPr>
        <w:t xml:space="preserve"> due to issues with a commercial paging transmitter outage</w:t>
      </w:r>
      <w:r w:rsidR="004B10B0">
        <w:rPr>
          <w:szCs w:val="32"/>
        </w:rPr>
        <w:t>, leading to uncharacteristically low load impacts based on historical performance for PGKN in sub-LAP level events</w:t>
      </w:r>
      <w:r w:rsidR="009608CF">
        <w:rPr>
          <w:szCs w:val="32"/>
        </w:rPr>
        <w:t xml:space="preserve">. </w:t>
      </w:r>
    </w:p>
    <w:p w14:paraId="566096D0" w14:textId="17A619E1" w:rsidR="00BD63E8" w:rsidRPr="006F0D46" w:rsidRDefault="006E57C9" w:rsidP="00BD63E8">
      <w:pPr>
        <w:spacing w:after="120"/>
        <w:rPr>
          <w:szCs w:val="32"/>
        </w:rPr>
      </w:pPr>
      <w:r>
        <w:rPr>
          <w:szCs w:val="32"/>
        </w:rPr>
        <w:t xml:space="preserve">Lastly, dispatching two-way communicating devices would increase program impacts. </w:t>
      </w:r>
      <w:r w:rsidR="00730AA8">
        <w:rPr>
          <w:szCs w:val="32"/>
        </w:rPr>
        <w:t>C</w:t>
      </w:r>
      <w:r w:rsidR="009608CF">
        <w:rPr>
          <w:szCs w:val="32"/>
        </w:rPr>
        <w:t>ustomers with</w:t>
      </w:r>
      <w:r w:rsidR="00730AA8">
        <w:rPr>
          <w:szCs w:val="32"/>
        </w:rPr>
        <w:t xml:space="preserve"> new</w:t>
      </w:r>
      <w:r w:rsidR="009608CF">
        <w:rPr>
          <w:szCs w:val="32"/>
        </w:rPr>
        <w:t xml:space="preserve"> two-way communicating </w:t>
      </w:r>
      <w:r w:rsidR="00730AA8">
        <w:rPr>
          <w:szCs w:val="32"/>
        </w:rPr>
        <w:t>switches</w:t>
      </w:r>
      <w:r>
        <w:rPr>
          <w:szCs w:val="32"/>
        </w:rPr>
        <w:t xml:space="preserve"> were not successfully dispatched in PY2018</w:t>
      </w:r>
      <w:r w:rsidR="009608CF">
        <w:rPr>
          <w:szCs w:val="32"/>
        </w:rPr>
        <w:t>. Including these customers in future events is expected to</w:t>
      </w:r>
      <w:r>
        <w:rPr>
          <w:szCs w:val="32"/>
        </w:rPr>
        <w:t xml:space="preserve"> notably</w:t>
      </w:r>
      <w:r w:rsidR="009608CF">
        <w:rPr>
          <w:szCs w:val="32"/>
        </w:rPr>
        <w:t xml:space="preserve"> increase </w:t>
      </w:r>
      <w:r w:rsidR="004E2BE8">
        <w:rPr>
          <w:szCs w:val="32"/>
        </w:rPr>
        <w:t>program load impacts</w:t>
      </w:r>
      <w:r>
        <w:rPr>
          <w:szCs w:val="32"/>
        </w:rPr>
        <w:t xml:space="preserve">, as they are believed to be more responsive than the one-way communicating </w:t>
      </w:r>
      <w:r w:rsidR="00730AA8">
        <w:rPr>
          <w:szCs w:val="32"/>
        </w:rPr>
        <w:t>switches</w:t>
      </w:r>
      <w:r w:rsidR="009608CF">
        <w:rPr>
          <w:szCs w:val="32"/>
        </w:rPr>
        <w:t>.</w:t>
      </w:r>
    </w:p>
    <w:p w14:paraId="462397FF" w14:textId="77777777" w:rsidR="009F2964" w:rsidRDefault="009F2964">
      <w:pPr>
        <w:rPr>
          <w:rFonts w:ascii="Arial" w:hAnsi="Arial" w:cs="Arial"/>
          <w:b/>
          <w:bCs/>
          <w:kern w:val="32"/>
          <w:sz w:val="32"/>
          <w:szCs w:val="32"/>
        </w:rPr>
      </w:pPr>
      <w:bookmarkStart w:id="176" w:name="_Ref506899158"/>
      <w:bookmarkStart w:id="177" w:name="_Ref506899170"/>
      <w:bookmarkStart w:id="178" w:name="_Ref506899191"/>
      <w:r>
        <w:br w:type="page"/>
      </w:r>
    </w:p>
    <w:p w14:paraId="4AB30ED9" w14:textId="296FEEA9" w:rsidR="002A561C" w:rsidRDefault="002A561C" w:rsidP="003B0D68">
      <w:pPr>
        <w:pStyle w:val="Heading1"/>
        <w:numPr>
          <w:ilvl w:val="0"/>
          <w:numId w:val="0"/>
        </w:numPr>
        <w:spacing w:before="0" w:after="120"/>
        <w:ind w:left="360" w:hanging="360"/>
      </w:pPr>
      <w:bookmarkStart w:id="179" w:name="_Toc4578168"/>
      <w:r>
        <w:t>Appendices</w:t>
      </w:r>
      <w:bookmarkEnd w:id="176"/>
      <w:bookmarkEnd w:id="177"/>
      <w:bookmarkEnd w:id="178"/>
      <w:bookmarkEnd w:id="179"/>
    </w:p>
    <w:p w14:paraId="56C8025C" w14:textId="77EC5A3C" w:rsidR="00F42180" w:rsidRDefault="00F42180" w:rsidP="003B0D68">
      <w:pPr>
        <w:spacing w:after="120"/>
      </w:pPr>
      <w:bookmarkStart w:id="180" w:name="_Hlk507670431"/>
      <w:r>
        <w:t xml:space="preserve">The following Appendices accompany this report. Appendix A </w:t>
      </w:r>
      <w:r w:rsidR="00563B0F">
        <w:t>presents</w:t>
      </w:r>
      <w:r w:rsidR="00174148">
        <w:t xml:space="preserve"> further</w:t>
      </w:r>
      <w:r>
        <w:t xml:space="preserve"> </w:t>
      </w:r>
      <w:r w:rsidR="00174148">
        <w:t>information about how we evaluated the</w:t>
      </w:r>
      <w:r>
        <w:t xml:space="preserve"> quality</w:t>
      </w:r>
      <w:r w:rsidR="00174148">
        <w:t xml:space="preserve"> of our</w:t>
      </w:r>
      <w:r>
        <w:t xml:space="preserve"> </w:t>
      </w:r>
      <w:r w:rsidRPr="002E033B">
        <w:rPr>
          <w:i/>
        </w:rPr>
        <w:t>ex-post</w:t>
      </w:r>
      <w:r>
        <w:t xml:space="preserve"> load impact evaluation</w:t>
      </w:r>
      <w:r w:rsidR="00174148">
        <w:t xml:space="preserve"> and </w:t>
      </w:r>
      <w:r w:rsidR="00174148" w:rsidRPr="00174148">
        <w:rPr>
          <w:i/>
        </w:rPr>
        <w:t>ex-ante</w:t>
      </w:r>
      <w:r w:rsidR="00174148">
        <w:t xml:space="preserve"> forecast</w:t>
      </w:r>
      <w:r>
        <w:t xml:space="preserve">. The additional appendices </w:t>
      </w:r>
      <w:r w:rsidR="00563B0F">
        <w:t xml:space="preserve">consist of </w:t>
      </w:r>
      <w:r>
        <w:t>Excel files that can produce the tables required by the Protocols.</w:t>
      </w:r>
    </w:p>
    <w:bookmarkEnd w:id="180"/>
    <w:p w14:paraId="5F6FB1A6" w14:textId="77777777" w:rsidR="003B0D68" w:rsidRDefault="003B0D68" w:rsidP="003B0D68">
      <w:pPr>
        <w:spacing w:after="120"/>
      </w:pPr>
    </w:p>
    <w:p w14:paraId="353145B7" w14:textId="281FB022" w:rsidR="00F42180" w:rsidRDefault="00F42180" w:rsidP="003B0D68">
      <w:pPr>
        <w:spacing w:after="120"/>
      </w:pPr>
      <w:r>
        <w:t xml:space="preserve">Appendix </w:t>
      </w:r>
      <w:r w:rsidR="00EC48A1">
        <w:t>C</w:t>
      </w:r>
      <w:r>
        <w:t xml:space="preserve"> </w:t>
      </w:r>
      <w:r>
        <w:tab/>
      </w:r>
      <w:r w:rsidR="00546AFB">
        <w:t>SmartAC™</w:t>
      </w:r>
      <w:r w:rsidR="00393776">
        <w:t xml:space="preserve"> </w:t>
      </w:r>
      <w:r w:rsidRPr="000F1678">
        <w:rPr>
          <w:i/>
        </w:rPr>
        <w:t>Ex-post</w:t>
      </w:r>
      <w:r>
        <w:t xml:space="preserve"> Load Impact Tables</w:t>
      </w:r>
    </w:p>
    <w:p w14:paraId="3E4C5705" w14:textId="50844167" w:rsidR="00F42180" w:rsidRDefault="00F42180" w:rsidP="003B0D68">
      <w:pPr>
        <w:spacing w:after="120"/>
      </w:pPr>
      <w:r>
        <w:t xml:space="preserve">Appendix </w:t>
      </w:r>
      <w:r w:rsidR="00EC48A1">
        <w:t>D</w:t>
      </w:r>
      <w:r>
        <w:t xml:space="preserve"> </w:t>
      </w:r>
      <w:r>
        <w:tab/>
      </w:r>
      <w:r w:rsidR="00546AFB">
        <w:t>SmartAC™</w:t>
      </w:r>
      <w:r>
        <w:t xml:space="preserve"> </w:t>
      </w:r>
      <w:r>
        <w:rPr>
          <w:i/>
        </w:rPr>
        <w:t>Ex-ante</w:t>
      </w:r>
      <w:r>
        <w:t xml:space="preserve"> Load Impact Tables</w:t>
      </w:r>
    </w:p>
    <w:p w14:paraId="3AD53A76" w14:textId="77777777" w:rsidR="003B0D68" w:rsidRDefault="003B0D68" w:rsidP="003B0D68">
      <w:pPr>
        <w:spacing w:after="120"/>
      </w:pPr>
    </w:p>
    <w:p w14:paraId="5C93F708" w14:textId="77777777" w:rsidR="00DA4AC2" w:rsidRDefault="00DA4AC2">
      <w:pPr>
        <w:rPr>
          <w:rFonts w:ascii="Arial" w:hAnsi="Arial" w:cs="Arial"/>
          <w:b/>
          <w:bCs/>
          <w:i/>
          <w:iCs/>
          <w:sz w:val="28"/>
          <w:szCs w:val="28"/>
        </w:rPr>
      </w:pPr>
      <w:r>
        <w:br w:type="page"/>
      </w:r>
    </w:p>
    <w:p w14:paraId="7457E733" w14:textId="19188430" w:rsidR="0014595D" w:rsidRDefault="0014595D" w:rsidP="003B0D68">
      <w:pPr>
        <w:pStyle w:val="Heading2"/>
        <w:numPr>
          <w:ilvl w:val="0"/>
          <w:numId w:val="0"/>
        </w:numPr>
        <w:spacing w:before="0" w:after="120"/>
      </w:pPr>
      <w:bookmarkStart w:id="181" w:name="_Ref3800605"/>
      <w:bookmarkStart w:id="182" w:name="_Ref3800663"/>
      <w:bookmarkStart w:id="183" w:name="_Ref3800674"/>
      <w:bookmarkStart w:id="184" w:name="_Toc4578169"/>
      <w:r>
        <w:t>Appendix A. Additional Control Group Matching Results</w:t>
      </w:r>
      <w:bookmarkEnd w:id="181"/>
      <w:bookmarkEnd w:id="182"/>
      <w:bookmarkEnd w:id="183"/>
      <w:bookmarkEnd w:id="184"/>
    </w:p>
    <w:p w14:paraId="5769135F" w14:textId="67C9AAFB" w:rsidR="00174ECB" w:rsidRDefault="00174ECB" w:rsidP="00174ECB">
      <w:pPr>
        <w:spacing w:after="120"/>
        <w:rPr>
          <w:rFonts w:ascii="Times New Roman" w:hAnsi="Times New Roman"/>
          <w:sz w:val="20"/>
          <w:szCs w:val="20"/>
        </w:rPr>
      </w:pPr>
      <w:r>
        <w:t xml:space="preserve">Table A1-1 provides the mean percentage error (MPE) and mean absolute percentage error (MAPE) calculated across the average 24-hour load profile as well over the RA window. Again, we evaluate match quality based on 24-hour load profiles for hot days and cooler days used in matching as well as cooler days not using in matching. Although the MPE and MAPE are slightly higher by sub-LAP than the overall results, the average MAPE is only 0.9 percent. The largest MAPE, which is still only 2.1 percent, corresponds to PGFG on cooler matching days. PGZP also has an RA window MAPE of 2.1 percent on hot matching days. </w:t>
      </w:r>
    </w:p>
    <w:p w14:paraId="6293FD61" w14:textId="77777777" w:rsidR="003B0D68" w:rsidRDefault="003B0D68" w:rsidP="003B0D68">
      <w:pPr>
        <w:spacing w:after="120"/>
      </w:pPr>
    </w:p>
    <w:p w14:paraId="6212F80C" w14:textId="7E17F566" w:rsidR="0014595D" w:rsidRDefault="0014595D" w:rsidP="00C42FC4">
      <w:pPr>
        <w:pStyle w:val="TableCaption"/>
      </w:pPr>
      <w:bookmarkStart w:id="185" w:name="_Toc4578191"/>
      <w:r>
        <w:t>Table A-</w:t>
      </w:r>
      <w:r w:rsidR="005C306A">
        <w:rPr>
          <w:noProof/>
        </w:rPr>
        <w:fldChar w:fldCharType="begin"/>
      </w:r>
      <w:r w:rsidR="005C306A">
        <w:rPr>
          <w:noProof/>
        </w:rPr>
        <w:instrText xml:space="preserve"> SEQ Table_A1- \* ARABIC </w:instrText>
      </w:r>
      <w:r w:rsidR="005C306A">
        <w:rPr>
          <w:noProof/>
        </w:rPr>
        <w:fldChar w:fldCharType="separate"/>
      </w:r>
      <w:r w:rsidR="00445DF3">
        <w:rPr>
          <w:noProof/>
        </w:rPr>
        <w:t>1</w:t>
      </w:r>
      <w:r w:rsidR="005C306A">
        <w:rPr>
          <w:noProof/>
        </w:rPr>
        <w:fldChar w:fldCharType="end"/>
      </w:r>
      <w:r>
        <w:t>: Match Quality Statistics by Sub-LAP</w:t>
      </w:r>
      <w:bookmarkEnd w:id="185"/>
    </w:p>
    <w:tbl>
      <w:tblPr>
        <w:tblW w:w="8051" w:type="dxa"/>
        <w:jc w:val="center"/>
        <w:tblLook w:val="04A0" w:firstRow="1" w:lastRow="0" w:firstColumn="1" w:lastColumn="0" w:noHBand="0" w:noVBand="1"/>
      </w:tblPr>
      <w:tblGrid>
        <w:gridCol w:w="1189"/>
        <w:gridCol w:w="2501"/>
        <w:gridCol w:w="810"/>
        <w:gridCol w:w="900"/>
        <w:gridCol w:w="1260"/>
        <w:gridCol w:w="1391"/>
      </w:tblGrid>
      <w:tr w:rsidR="0014595D" w:rsidRPr="0014595D" w14:paraId="0E00FC48" w14:textId="77777777" w:rsidTr="003E0B58">
        <w:trPr>
          <w:trHeight w:val="600"/>
          <w:jc w:val="center"/>
        </w:trPr>
        <w:tc>
          <w:tcPr>
            <w:tcW w:w="1189" w:type="dxa"/>
            <w:tcBorders>
              <w:top w:val="single" w:sz="8" w:space="0" w:color="auto"/>
              <w:left w:val="single" w:sz="8" w:space="0" w:color="auto"/>
              <w:bottom w:val="nil"/>
              <w:right w:val="single" w:sz="4" w:space="0" w:color="FFFFFF"/>
            </w:tcBorders>
            <w:shd w:val="clear" w:color="000000" w:fill="0C2577"/>
            <w:noWrap/>
            <w:vAlign w:val="center"/>
            <w:hideMark/>
          </w:tcPr>
          <w:p w14:paraId="2C652B7A" w14:textId="77777777" w:rsidR="0014595D" w:rsidRPr="0014595D" w:rsidRDefault="0014595D" w:rsidP="00C42FC4">
            <w:pPr>
              <w:keepNext/>
              <w:jc w:val="center"/>
              <w:rPr>
                <w:rFonts w:cs="Calibri"/>
                <w:b/>
                <w:bCs/>
                <w:color w:val="FFFFFF"/>
                <w:sz w:val="22"/>
                <w:szCs w:val="22"/>
              </w:rPr>
            </w:pPr>
            <w:r w:rsidRPr="0014595D">
              <w:rPr>
                <w:rFonts w:cs="Calibri"/>
                <w:b/>
                <w:bCs/>
                <w:color w:val="FFFFFF"/>
                <w:sz w:val="22"/>
                <w:szCs w:val="22"/>
              </w:rPr>
              <w:t>Sub-LAP</w:t>
            </w:r>
          </w:p>
        </w:tc>
        <w:tc>
          <w:tcPr>
            <w:tcW w:w="2501" w:type="dxa"/>
            <w:tcBorders>
              <w:top w:val="single" w:sz="8" w:space="0" w:color="auto"/>
              <w:left w:val="nil"/>
              <w:bottom w:val="nil"/>
              <w:right w:val="single" w:sz="4" w:space="0" w:color="FFFFFF"/>
            </w:tcBorders>
            <w:shd w:val="clear" w:color="000000" w:fill="0C2577"/>
            <w:noWrap/>
            <w:vAlign w:val="center"/>
            <w:hideMark/>
          </w:tcPr>
          <w:p w14:paraId="40419FF7" w14:textId="77777777" w:rsidR="0014595D" w:rsidRPr="0014595D" w:rsidRDefault="0014595D" w:rsidP="00C42FC4">
            <w:pPr>
              <w:keepNext/>
              <w:jc w:val="center"/>
              <w:rPr>
                <w:rFonts w:cs="Calibri"/>
                <w:b/>
                <w:bCs/>
                <w:color w:val="FFFFFF"/>
                <w:sz w:val="22"/>
                <w:szCs w:val="22"/>
              </w:rPr>
            </w:pPr>
            <w:r w:rsidRPr="0014595D">
              <w:rPr>
                <w:rFonts w:cs="Calibri"/>
                <w:b/>
                <w:bCs/>
                <w:color w:val="FFFFFF"/>
                <w:sz w:val="22"/>
                <w:szCs w:val="22"/>
              </w:rPr>
              <w:t>Comparison Days</w:t>
            </w:r>
          </w:p>
        </w:tc>
        <w:tc>
          <w:tcPr>
            <w:tcW w:w="810" w:type="dxa"/>
            <w:tcBorders>
              <w:top w:val="single" w:sz="8" w:space="0" w:color="auto"/>
              <w:left w:val="nil"/>
              <w:bottom w:val="nil"/>
              <w:right w:val="single" w:sz="4" w:space="0" w:color="FFFFFF"/>
            </w:tcBorders>
            <w:shd w:val="clear" w:color="000000" w:fill="0C2577"/>
            <w:noWrap/>
            <w:vAlign w:val="center"/>
            <w:hideMark/>
          </w:tcPr>
          <w:p w14:paraId="30A2ACDC" w14:textId="77777777" w:rsidR="0014595D" w:rsidRPr="0014595D" w:rsidRDefault="0014595D" w:rsidP="00C42FC4">
            <w:pPr>
              <w:keepNext/>
              <w:jc w:val="center"/>
              <w:rPr>
                <w:rFonts w:cs="Calibri"/>
                <w:b/>
                <w:bCs/>
                <w:color w:val="FFFFFF"/>
                <w:sz w:val="22"/>
                <w:szCs w:val="22"/>
              </w:rPr>
            </w:pPr>
            <w:r w:rsidRPr="0014595D">
              <w:rPr>
                <w:rFonts w:cs="Calibri"/>
                <w:b/>
                <w:bCs/>
                <w:color w:val="FFFFFF"/>
                <w:sz w:val="22"/>
                <w:szCs w:val="22"/>
              </w:rPr>
              <w:t>MPE</w:t>
            </w:r>
          </w:p>
        </w:tc>
        <w:tc>
          <w:tcPr>
            <w:tcW w:w="900" w:type="dxa"/>
            <w:tcBorders>
              <w:top w:val="single" w:sz="8" w:space="0" w:color="auto"/>
              <w:left w:val="nil"/>
              <w:bottom w:val="nil"/>
              <w:right w:val="single" w:sz="4" w:space="0" w:color="FFFFFF"/>
            </w:tcBorders>
            <w:shd w:val="clear" w:color="000000" w:fill="0C2577"/>
            <w:noWrap/>
            <w:vAlign w:val="center"/>
            <w:hideMark/>
          </w:tcPr>
          <w:p w14:paraId="6BCE3D80" w14:textId="77777777" w:rsidR="0014595D" w:rsidRPr="0014595D" w:rsidRDefault="0014595D" w:rsidP="00C42FC4">
            <w:pPr>
              <w:keepNext/>
              <w:jc w:val="center"/>
              <w:rPr>
                <w:rFonts w:cs="Calibri"/>
                <w:b/>
                <w:bCs/>
                <w:color w:val="FFFFFF"/>
                <w:sz w:val="22"/>
                <w:szCs w:val="22"/>
              </w:rPr>
            </w:pPr>
            <w:r w:rsidRPr="0014595D">
              <w:rPr>
                <w:rFonts w:cs="Calibri"/>
                <w:b/>
                <w:bCs/>
                <w:color w:val="FFFFFF"/>
                <w:sz w:val="22"/>
                <w:szCs w:val="22"/>
              </w:rPr>
              <w:t>MAPE</w:t>
            </w:r>
          </w:p>
        </w:tc>
        <w:tc>
          <w:tcPr>
            <w:tcW w:w="1260" w:type="dxa"/>
            <w:tcBorders>
              <w:top w:val="single" w:sz="8" w:space="0" w:color="auto"/>
              <w:left w:val="nil"/>
              <w:bottom w:val="nil"/>
              <w:right w:val="single" w:sz="4" w:space="0" w:color="FFFFFF"/>
            </w:tcBorders>
            <w:shd w:val="clear" w:color="000000" w:fill="0C2577"/>
            <w:vAlign w:val="center"/>
            <w:hideMark/>
          </w:tcPr>
          <w:p w14:paraId="621A3F93" w14:textId="77777777" w:rsidR="0014595D" w:rsidRPr="0014595D" w:rsidRDefault="0014595D" w:rsidP="00C42FC4">
            <w:pPr>
              <w:keepNext/>
              <w:jc w:val="center"/>
              <w:rPr>
                <w:rFonts w:cs="Calibri"/>
                <w:b/>
                <w:bCs/>
                <w:color w:val="FFFFFF"/>
                <w:sz w:val="22"/>
                <w:szCs w:val="22"/>
              </w:rPr>
            </w:pPr>
            <w:r w:rsidRPr="0014595D">
              <w:rPr>
                <w:rFonts w:cs="Calibri"/>
                <w:b/>
                <w:bCs/>
                <w:color w:val="FFFFFF"/>
                <w:sz w:val="22"/>
                <w:szCs w:val="22"/>
              </w:rPr>
              <w:t>MPE RA Window</w:t>
            </w:r>
          </w:p>
        </w:tc>
        <w:tc>
          <w:tcPr>
            <w:tcW w:w="1391" w:type="dxa"/>
            <w:tcBorders>
              <w:top w:val="single" w:sz="8" w:space="0" w:color="auto"/>
              <w:left w:val="nil"/>
              <w:bottom w:val="nil"/>
              <w:right w:val="single" w:sz="8" w:space="0" w:color="auto"/>
            </w:tcBorders>
            <w:shd w:val="clear" w:color="000000" w:fill="0C2577"/>
            <w:vAlign w:val="center"/>
            <w:hideMark/>
          </w:tcPr>
          <w:p w14:paraId="2405CFC8" w14:textId="77777777" w:rsidR="0014595D" w:rsidRPr="0014595D" w:rsidRDefault="0014595D" w:rsidP="00C42FC4">
            <w:pPr>
              <w:keepNext/>
              <w:jc w:val="center"/>
              <w:rPr>
                <w:rFonts w:cs="Calibri"/>
                <w:b/>
                <w:bCs/>
                <w:color w:val="FFFFFF"/>
                <w:sz w:val="22"/>
                <w:szCs w:val="22"/>
              </w:rPr>
            </w:pPr>
            <w:r w:rsidRPr="0014595D">
              <w:rPr>
                <w:rFonts w:cs="Calibri"/>
                <w:b/>
                <w:bCs/>
                <w:color w:val="FFFFFF"/>
                <w:sz w:val="22"/>
                <w:szCs w:val="22"/>
              </w:rPr>
              <w:t>MAPE RA Window</w:t>
            </w:r>
          </w:p>
        </w:tc>
      </w:tr>
      <w:tr w:rsidR="0014595D" w:rsidRPr="0014595D" w14:paraId="56AFBC48" w14:textId="77777777" w:rsidTr="003E0B58">
        <w:trPr>
          <w:trHeight w:val="300"/>
          <w:jc w:val="center"/>
        </w:trPr>
        <w:tc>
          <w:tcPr>
            <w:tcW w:w="11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DB1AB7" w14:textId="77777777" w:rsidR="0014595D" w:rsidRPr="0014595D" w:rsidRDefault="0014595D" w:rsidP="00C42FC4">
            <w:pPr>
              <w:keepNext/>
              <w:jc w:val="center"/>
              <w:rPr>
                <w:rFonts w:cs="Calibri"/>
                <w:color w:val="000000"/>
                <w:sz w:val="22"/>
                <w:szCs w:val="22"/>
              </w:rPr>
            </w:pPr>
            <w:r w:rsidRPr="0014595D">
              <w:rPr>
                <w:rFonts w:cs="Calibri"/>
                <w:color w:val="000000"/>
                <w:sz w:val="22"/>
                <w:szCs w:val="22"/>
              </w:rPr>
              <w:t>PGEB</w:t>
            </w:r>
          </w:p>
        </w:tc>
        <w:tc>
          <w:tcPr>
            <w:tcW w:w="2501" w:type="dxa"/>
            <w:tcBorders>
              <w:top w:val="single" w:sz="4" w:space="0" w:color="auto"/>
              <w:left w:val="nil"/>
              <w:bottom w:val="single" w:sz="4" w:space="0" w:color="auto"/>
              <w:right w:val="single" w:sz="4" w:space="0" w:color="auto"/>
            </w:tcBorders>
            <w:shd w:val="clear" w:color="auto" w:fill="auto"/>
            <w:noWrap/>
            <w:vAlign w:val="center"/>
            <w:hideMark/>
          </w:tcPr>
          <w:p w14:paraId="2E9CC00A" w14:textId="77777777" w:rsidR="0014595D" w:rsidRPr="0014595D" w:rsidRDefault="0014595D" w:rsidP="00C42FC4">
            <w:pPr>
              <w:keepNext/>
              <w:rPr>
                <w:rFonts w:cs="Calibri"/>
                <w:color w:val="000000"/>
                <w:sz w:val="22"/>
                <w:szCs w:val="22"/>
              </w:rPr>
            </w:pPr>
            <w:r w:rsidRPr="0014595D">
              <w:rPr>
                <w:rFonts w:cs="Calibri"/>
                <w:color w:val="000000"/>
                <w:sz w:val="22"/>
                <w:szCs w:val="22"/>
              </w:rPr>
              <w:t>Hot Days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E800624"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07869FF"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6872A16"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4A666EA6"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r>
      <w:tr w:rsidR="0014595D" w:rsidRPr="0014595D" w14:paraId="2D2078FC" w14:textId="77777777" w:rsidTr="003E0B58">
        <w:trPr>
          <w:trHeight w:val="300"/>
          <w:jc w:val="center"/>
        </w:trPr>
        <w:tc>
          <w:tcPr>
            <w:tcW w:w="1189" w:type="dxa"/>
            <w:vMerge/>
            <w:tcBorders>
              <w:top w:val="single" w:sz="4" w:space="0" w:color="auto"/>
              <w:left w:val="single" w:sz="4" w:space="0" w:color="auto"/>
              <w:bottom w:val="single" w:sz="4" w:space="0" w:color="000000"/>
              <w:right w:val="single" w:sz="4" w:space="0" w:color="auto"/>
            </w:tcBorders>
            <w:vAlign w:val="center"/>
            <w:hideMark/>
          </w:tcPr>
          <w:p w14:paraId="2ED6F82A"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07FB2D37" w14:textId="77777777" w:rsidR="0014595D" w:rsidRPr="0014595D" w:rsidRDefault="0014595D" w:rsidP="00C42FC4">
            <w:pPr>
              <w:keepNext/>
              <w:rPr>
                <w:rFonts w:cs="Calibri"/>
                <w:color w:val="000000"/>
                <w:sz w:val="22"/>
                <w:szCs w:val="22"/>
              </w:rPr>
            </w:pPr>
            <w:r w:rsidRPr="0014595D">
              <w:rPr>
                <w:rFonts w:cs="Calibri"/>
                <w:color w:val="000000"/>
                <w:sz w:val="22"/>
                <w:szCs w:val="22"/>
              </w:rPr>
              <w:t>Cool Days</w:t>
            </w:r>
          </w:p>
        </w:tc>
        <w:tc>
          <w:tcPr>
            <w:tcW w:w="810" w:type="dxa"/>
            <w:tcBorders>
              <w:top w:val="nil"/>
              <w:left w:val="nil"/>
              <w:bottom w:val="single" w:sz="4" w:space="0" w:color="auto"/>
              <w:right w:val="single" w:sz="4" w:space="0" w:color="auto"/>
            </w:tcBorders>
            <w:shd w:val="clear" w:color="auto" w:fill="auto"/>
            <w:noWrap/>
            <w:vAlign w:val="bottom"/>
            <w:hideMark/>
          </w:tcPr>
          <w:p w14:paraId="4A02552C"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c>
          <w:tcPr>
            <w:tcW w:w="900" w:type="dxa"/>
            <w:tcBorders>
              <w:top w:val="nil"/>
              <w:left w:val="nil"/>
              <w:bottom w:val="single" w:sz="4" w:space="0" w:color="auto"/>
              <w:right w:val="single" w:sz="4" w:space="0" w:color="auto"/>
            </w:tcBorders>
            <w:shd w:val="clear" w:color="auto" w:fill="auto"/>
            <w:noWrap/>
            <w:vAlign w:val="bottom"/>
            <w:hideMark/>
          </w:tcPr>
          <w:p w14:paraId="568A49AE"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c>
          <w:tcPr>
            <w:tcW w:w="1260" w:type="dxa"/>
            <w:tcBorders>
              <w:top w:val="nil"/>
              <w:left w:val="nil"/>
              <w:bottom w:val="single" w:sz="4" w:space="0" w:color="auto"/>
              <w:right w:val="single" w:sz="4" w:space="0" w:color="auto"/>
            </w:tcBorders>
            <w:shd w:val="clear" w:color="auto" w:fill="auto"/>
            <w:noWrap/>
            <w:vAlign w:val="bottom"/>
            <w:hideMark/>
          </w:tcPr>
          <w:p w14:paraId="12398A1B"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c>
          <w:tcPr>
            <w:tcW w:w="1391" w:type="dxa"/>
            <w:tcBorders>
              <w:top w:val="nil"/>
              <w:left w:val="nil"/>
              <w:bottom w:val="single" w:sz="4" w:space="0" w:color="auto"/>
              <w:right w:val="single" w:sz="4" w:space="0" w:color="auto"/>
            </w:tcBorders>
            <w:shd w:val="clear" w:color="auto" w:fill="auto"/>
            <w:noWrap/>
            <w:vAlign w:val="bottom"/>
            <w:hideMark/>
          </w:tcPr>
          <w:p w14:paraId="4473E4E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r>
      <w:tr w:rsidR="0014595D" w:rsidRPr="0014595D" w14:paraId="7F1971D4" w14:textId="77777777" w:rsidTr="003E0B58">
        <w:trPr>
          <w:trHeight w:val="300"/>
          <w:jc w:val="center"/>
        </w:trPr>
        <w:tc>
          <w:tcPr>
            <w:tcW w:w="1189" w:type="dxa"/>
            <w:vMerge/>
            <w:tcBorders>
              <w:top w:val="single" w:sz="4" w:space="0" w:color="auto"/>
              <w:left w:val="single" w:sz="4" w:space="0" w:color="auto"/>
              <w:bottom w:val="single" w:sz="4" w:space="0" w:color="000000"/>
              <w:right w:val="single" w:sz="4" w:space="0" w:color="auto"/>
            </w:tcBorders>
            <w:vAlign w:val="center"/>
            <w:hideMark/>
          </w:tcPr>
          <w:p w14:paraId="51CE2EF1"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6DEBB3C2" w14:textId="77777777" w:rsidR="0014595D" w:rsidRPr="0014595D" w:rsidRDefault="0014595D" w:rsidP="00C42FC4">
            <w:pPr>
              <w:keepNext/>
              <w:rPr>
                <w:rFonts w:cs="Calibri"/>
                <w:color w:val="000000"/>
                <w:sz w:val="22"/>
                <w:szCs w:val="22"/>
              </w:rPr>
            </w:pPr>
            <w:r w:rsidRPr="0014595D">
              <w:rPr>
                <w:rFonts w:cs="Calibri"/>
                <w:color w:val="000000"/>
                <w:sz w:val="22"/>
                <w:szCs w:val="22"/>
              </w:rPr>
              <w:t>Non-Matching Cool Days</w:t>
            </w:r>
          </w:p>
        </w:tc>
        <w:tc>
          <w:tcPr>
            <w:tcW w:w="810" w:type="dxa"/>
            <w:tcBorders>
              <w:top w:val="nil"/>
              <w:left w:val="nil"/>
              <w:bottom w:val="single" w:sz="4" w:space="0" w:color="auto"/>
              <w:right w:val="single" w:sz="4" w:space="0" w:color="auto"/>
            </w:tcBorders>
            <w:shd w:val="clear" w:color="auto" w:fill="auto"/>
            <w:noWrap/>
            <w:vAlign w:val="bottom"/>
            <w:hideMark/>
          </w:tcPr>
          <w:p w14:paraId="065BFC03"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0.5%</w:t>
            </w:r>
          </w:p>
        </w:tc>
        <w:tc>
          <w:tcPr>
            <w:tcW w:w="900" w:type="dxa"/>
            <w:tcBorders>
              <w:top w:val="nil"/>
              <w:left w:val="nil"/>
              <w:bottom w:val="single" w:sz="4" w:space="0" w:color="auto"/>
              <w:right w:val="single" w:sz="4" w:space="0" w:color="auto"/>
            </w:tcBorders>
            <w:shd w:val="clear" w:color="auto" w:fill="auto"/>
            <w:noWrap/>
            <w:vAlign w:val="bottom"/>
            <w:hideMark/>
          </w:tcPr>
          <w:p w14:paraId="11DFAD2D"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0.5%</w:t>
            </w:r>
          </w:p>
        </w:tc>
        <w:tc>
          <w:tcPr>
            <w:tcW w:w="1260" w:type="dxa"/>
            <w:tcBorders>
              <w:top w:val="nil"/>
              <w:left w:val="nil"/>
              <w:bottom w:val="single" w:sz="4" w:space="0" w:color="auto"/>
              <w:right w:val="single" w:sz="4" w:space="0" w:color="auto"/>
            </w:tcBorders>
            <w:shd w:val="clear" w:color="auto" w:fill="auto"/>
            <w:noWrap/>
            <w:vAlign w:val="bottom"/>
            <w:hideMark/>
          </w:tcPr>
          <w:p w14:paraId="4D033FA9"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1.1%</w:t>
            </w:r>
          </w:p>
        </w:tc>
        <w:tc>
          <w:tcPr>
            <w:tcW w:w="1391" w:type="dxa"/>
            <w:tcBorders>
              <w:top w:val="nil"/>
              <w:left w:val="nil"/>
              <w:bottom w:val="single" w:sz="4" w:space="0" w:color="auto"/>
              <w:right w:val="single" w:sz="4" w:space="0" w:color="auto"/>
            </w:tcBorders>
            <w:shd w:val="clear" w:color="auto" w:fill="auto"/>
            <w:noWrap/>
            <w:vAlign w:val="bottom"/>
            <w:hideMark/>
          </w:tcPr>
          <w:p w14:paraId="10AE0599"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1.1%</w:t>
            </w:r>
          </w:p>
        </w:tc>
      </w:tr>
      <w:tr w:rsidR="0014595D" w:rsidRPr="0014595D" w14:paraId="76F065C5" w14:textId="77777777" w:rsidTr="003E0B58">
        <w:trPr>
          <w:trHeight w:val="300"/>
          <w:jc w:val="center"/>
        </w:trPr>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30DB83" w14:textId="77777777" w:rsidR="0014595D" w:rsidRPr="0014595D" w:rsidRDefault="0014595D" w:rsidP="00C42FC4">
            <w:pPr>
              <w:keepNext/>
              <w:jc w:val="center"/>
              <w:rPr>
                <w:rFonts w:cs="Calibri"/>
                <w:color w:val="000000"/>
                <w:sz w:val="22"/>
                <w:szCs w:val="22"/>
              </w:rPr>
            </w:pPr>
            <w:r w:rsidRPr="0014595D">
              <w:rPr>
                <w:rFonts w:cs="Calibri"/>
                <w:color w:val="000000"/>
                <w:sz w:val="22"/>
                <w:szCs w:val="22"/>
              </w:rPr>
              <w:t>PGF1</w:t>
            </w:r>
          </w:p>
        </w:tc>
        <w:tc>
          <w:tcPr>
            <w:tcW w:w="2501" w:type="dxa"/>
            <w:tcBorders>
              <w:top w:val="nil"/>
              <w:left w:val="nil"/>
              <w:bottom w:val="single" w:sz="4" w:space="0" w:color="auto"/>
              <w:right w:val="single" w:sz="4" w:space="0" w:color="auto"/>
            </w:tcBorders>
            <w:shd w:val="clear" w:color="auto" w:fill="auto"/>
            <w:noWrap/>
            <w:vAlign w:val="center"/>
            <w:hideMark/>
          </w:tcPr>
          <w:p w14:paraId="0361F00F" w14:textId="77777777" w:rsidR="0014595D" w:rsidRPr="0014595D" w:rsidRDefault="0014595D" w:rsidP="00C42FC4">
            <w:pPr>
              <w:keepNext/>
              <w:rPr>
                <w:rFonts w:cs="Calibri"/>
                <w:color w:val="000000"/>
                <w:sz w:val="22"/>
                <w:szCs w:val="22"/>
              </w:rPr>
            </w:pPr>
            <w:r w:rsidRPr="0014595D">
              <w:rPr>
                <w:rFonts w:cs="Calibri"/>
                <w:color w:val="000000"/>
                <w:sz w:val="22"/>
                <w:szCs w:val="22"/>
              </w:rPr>
              <w:t>Hot Days</w:t>
            </w:r>
          </w:p>
        </w:tc>
        <w:tc>
          <w:tcPr>
            <w:tcW w:w="810" w:type="dxa"/>
            <w:tcBorders>
              <w:top w:val="nil"/>
              <w:left w:val="nil"/>
              <w:bottom w:val="single" w:sz="4" w:space="0" w:color="auto"/>
              <w:right w:val="single" w:sz="4" w:space="0" w:color="auto"/>
            </w:tcBorders>
            <w:shd w:val="clear" w:color="auto" w:fill="auto"/>
            <w:noWrap/>
            <w:vAlign w:val="bottom"/>
            <w:hideMark/>
          </w:tcPr>
          <w:p w14:paraId="5F431D27"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900" w:type="dxa"/>
            <w:tcBorders>
              <w:top w:val="nil"/>
              <w:left w:val="nil"/>
              <w:bottom w:val="single" w:sz="4" w:space="0" w:color="auto"/>
              <w:right w:val="single" w:sz="4" w:space="0" w:color="auto"/>
            </w:tcBorders>
            <w:shd w:val="clear" w:color="auto" w:fill="auto"/>
            <w:noWrap/>
            <w:vAlign w:val="bottom"/>
            <w:hideMark/>
          </w:tcPr>
          <w:p w14:paraId="2CC259BB"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1260" w:type="dxa"/>
            <w:tcBorders>
              <w:top w:val="nil"/>
              <w:left w:val="nil"/>
              <w:bottom w:val="single" w:sz="4" w:space="0" w:color="auto"/>
              <w:right w:val="single" w:sz="4" w:space="0" w:color="auto"/>
            </w:tcBorders>
            <w:shd w:val="clear" w:color="auto" w:fill="auto"/>
            <w:noWrap/>
            <w:vAlign w:val="bottom"/>
            <w:hideMark/>
          </w:tcPr>
          <w:p w14:paraId="36F9186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0.5%</w:t>
            </w:r>
          </w:p>
        </w:tc>
        <w:tc>
          <w:tcPr>
            <w:tcW w:w="1391" w:type="dxa"/>
            <w:tcBorders>
              <w:top w:val="nil"/>
              <w:left w:val="nil"/>
              <w:bottom w:val="single" w:sz="4" w:space="0" w:color="auto"/>
              <w:right w:val="single" w:sz="4" w:space="0" w:color="auto"/>
            </w:tcBorders>
            <w:shd w:val="clear" w:color="auto" w:fill="auto"/>
            <w:noWrap/>
            <w:vAlign w:val="bottom"/>
            <w:hideMark/>
          </w:tcPr>
          <w:p w14:paraId="0D28F29F"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0.5%</w:t>
            </w:r>
          </w:p>
        </w:tc>
      </w:tr>
      <w:tr w:rsidR="0014595D" w:rsidRPr="0014595D" w14:paraId="0CD954BA"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7F7D369E"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01A53593" w14:textId="77777777" w:rsidR="0014595D" w:rsidRPr="0014595D" w:rsidRDefault="0014595D" w:rsidP="00C42FC4">
            <w:pPr>
              <w:keepNext/>
              <w:rPr>
                <w:rFonts w:cs="Calibri"/>
                <w:color w:val="000000"/>
                <w:sz w:val="22"/>
                <w:szCs w:val="22"/>
              </w:rPr>
            </w:pPr>
            <w:r w:rsidRPr="0014595D">
              <w:rPr>
                <w:rFonts w:cs="Calibri"/>
                <w:color w:val="000000"/>
                <w:sz w:val="22"/>
                <w:szCs w:val="22"/>
              </w:rPr>
              <w:t>Cool Days</w:t>
            </w:r>
          </w:p>
        </w:tc>
        <w:tc>
          <w:tcPr>
            <w:tcW w:w="810" w:type="dxa"/>
            <w:tcBorders>
              <w:top w:val="nil"/>
              <w:left w:val="nil"/>
              <w:bottom w:val="single" w:sz="4" w:space="0" w:color="auto"/>
              <w:right w:val="single" w:sz="4" w:space="0" w:color="auto"/>
            </w:tcBorders>
            <w:shd w:val="clear" w:color="auto" w:fill="auto"/>
            <w:noWrap/>
            <w:vAlign w:val="bottom"/>
            <w:hideMark/>
          </w:tcPr>
          <w:p w14:paraId="3A050AB7"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0.9%</w:t>
            </w:r>
          </w:p>
        </w:tc>
        <w:tc>
          <w:tcPr>
            <w:tcW w:w="900" w:type="dxa"/>
            <w:tcBorders>
              <w:top w:val="nil"/>
              <w:left w:val="nil"/>
              <w:bottom w:val="single" w:sz="4" w:space="0" w:color="auto"/>
              <w:right w:val="single" w:sz="4" w:space="0" w:color="auto"/>
            </w:tcBorders>
            <w:shd w:val="clear" w:color="auto" w:fill="auto"/>
            <w:noWrap/>
            <w:vAlign w:val="bottom"/>
            <w:hideMark/>
          </w:tcPr>
          <w:p w14:paraId="6E78DECD"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0.9%</w:t>
            </w:r>
          </w:p>
        </w:tc>
        <w:tc>
          <w:tcPr>
            <w:tcW w:w="1260" w:type="dxa"/>
            <w:tcBorders>
              <w:top w:val="nil"/>
              <w:left w:val="nil"/>
              <w:bottom w:val="single" w:sz="4" w:space="0" w:color="auto"/>
              <w:right w:val="single" w:sz="4" w:space="0" w:color="auto"/>
            </w:tcBorders>
            <w:shd w:val="clear" w:color="auto" w:fill="auto"/>
            <w:noWrap/>
            <w:vAlign w:val="bottom"/>
            <w:hideMark/>
          </w:tcPr>
          <w:p w14:paraId="2E085F5A"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c>
          <w:tcPr>
            <w:tcW w:w="1391" w:type="dxa"/>
            <w:tcBorders>
              <w:top w:val="nil"/>
              <w:left w:val="nil"/>
              <w:bottom w:val="single" w:sz="4" w:space="0" w:color="auto"/>
              <w:right w:val="single" w:sz="4" w:space="0" w:color="auto"/>
            </w:tcBorders>
            <w:shd w:val="clear" w:color="auto" w:fill="auto"/>
            <w:noWrap/>
            <w:vAlign w:val="bottom"/>
            <w:hideMark/>
          </w:tcPr>
          <w:p w14:paraId="123EC35C"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r>
      <w:tr w:rsidR="0014595D" w:rsidRPr="0014595D" w14:paraId="57E14B35"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08940ECF"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3308C742" w14:textId="77777777" w:rsidR="0014595D" w:rsidRPr="0014595D" w:rsidRDefault="0014595D" w:rsidP="00C42FC4">
            <w:pPr>
              <w:keepNext/>
              <w:rPr>
                <w:rFonts w:cs="Calibri"/>
                <w:color w:val="000000"/>
                <w:sz w:val="22"/>
                <w:szCs w:val="22"/>
              </w:rPr>
            </w:pPr>
            <w:r w:rsidRPr="0014595D">
              <w:rPr>
                <w:rFonts w:cs="Calibri"/>
                <w:color w:val="000000"/>
                <w:sz w:val="22"/>
                <w:szCs w:val="22"/>
              </w:rPr>
              <w:t>Non-Matching Cool Days</w:t>
            </w:r>
          </w:p>
        </w:tc>
        <w:tc>
          <w:tcPr>
            <w:tcW w:w="810" w:type="dxa"/>
            <w:tcBorders>
              <w:top w:val="nil"/>
              <w:left w:val="nil"/>
              <w:bottom w:val="single" w:sz="4" w:space="0" w:color="auto"/>
              <w:right w:val="single" w:sz="4" w:space="0" w:color="auto"/>
            </w:tcBorders>
            <w:shd w:val="clear" w:color="auto" w:fill="auto"/>
            <w:noWrap/>
            <w:vAlign w:val="bottom"/>
            <w:hideMark/>
          </w:tcPr>
          <w:p w14:paraId="72D1015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1.1%</w:t>
            </w:r>
          </w:p>
        </w:tc>
        <w:tc>
          <w:tcPr>
            <w:tcW w:w="900" w:type="dxa"/>
            <w:tcBorders>
              <w:top w:val="nil"/>
              <w:left w:val="nil"/>
              <w:bottom w:val="single" w:sz="4" w:space="0" w:color="auto"/>
              <w:right w:val="single" w:sz="4" w:space="0" w:color="auto"/>
            </w:tcBorders>
            <w:shd w:val="clear" w:color="auto" w:fill="auto"/>
            <w:noWrap/>
            <w:vAlign w:val="bottom"/>
            <w:hideMark/>
          </w:tcPr>
          <w:p w14:paraId="572C9887"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1.1%</w:t>
            </w:r>
          </w:p>
        </w:tc>
        <w:tc>
          <w:tcPr>
            <w:tcW w:w="1260" w:type="dxa"/>
            <w:tcBorders>
              <w:top w:val="nil"/>
              <w:left w:val="nil"/>
              <w:bottom w:val="single" w:sz="4" w:space="0" w:color="auto"/>
              <w:right w:val="single" w:sz="4" w:space="0" w:color="auto"/>
            </w:tcBorders>
            <w:shd w:val="clear" w:color="auto" w:fill="auto"/>
            <w:noWrap/>
            <w:vAlign w:val="bottom"/>
            <w:hideMark/>
          </w:tcPr>
          <w:p w14:paraId="64E4690E"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1.5%</w:t>
            </w:r>
          </w:p>
        </w:tc>
        <w:tc>
          <w:tcPr>
            <w:tcW w:w="1391" w:type="dxa"/>
            <w:tcBorders>
              <w:top w:val="nil"/>
              <w:left w:val="nil"/>
              <w:bottom w:val="single" w:sz="4" w:space="0" w:color="auto"/>
              <w:right w:val="single" w:sz="4" w:space="0" w:color="auto"/>
            </w:tcBorders>
            <w:shd w:val="clear" w:color="auto" w:fill="auto"/>
            <w:noWrap/>
            <w:vAlign w:val="bottom"/>
            <w:hideMark/>
          </w:tcPr>
          <w:p w14:paraId="299F1B26"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1.5%</w:t>
            </w:r>
          </w:p>
        </w:tc>
      </w:tr>
      <w:tr w:rsidR="0014595D" w:rsidRPr="0014595D" w14:paraId="79E93926" w14:textId="77777777" w:rsidTr="003E0B58">
        <w:trPr>
          <w:trHeight w:val="300"/>
          <w:jc w:val="center"/>
        </w:trPr>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0F1840" w14:textId="77777777" w:rsidR="0014595D" w:rsidRPr="0014595D" w:rsidRDefault="0014595D" w:rsidP="00C42FC4">
            <w:pPr>
              <w:keepNext/>
              <w:jc w:val="center"/>
              <w:rPr>
                <w:rFonts w:cs="Calibri"/>
                <w:color w:val="000000"/>
                <w:sz w:val="22"/>
                <w:szCs w:val="22"/>
              </w:rPr>
            </w:pPr>
            <w:r w:rsidRPr="0014595D">
              <w:rPr>
                <w:rFonts w:cs="Calibri"/>
                <w:color w:val="000000"/>
                <w:sz w:val="22"/>
                <w:szCs w:val="22"/>
              </w:rPr>
              <w:t>PGFG</w:t>
            </w:r>
          </w:p>
        </w:tc>
        <w:tc>
          <w:tcPr>
            <w:tcW w:w="2501" w:type="dxa"/>
            <w:tcBorders>
              <w:top w:val="nil"/>
              <w:left w:val="nil"/>
              <w:bottom w:val="single" w:sz="4" w:space="0" w:color="auto"/>
              <w:right w:val="single" w:sz="4" w:space="0" w:color="auto"/>
            </w:tcBorders>
            <w:shd w:val="clear" w:color="auto" w:fill="auto"/>
            <w:noWrap/>
            <w:vAlign w:val="center"/>
            <w:hideMark/>
          </w:tcPr>
          <w:p w14:paraId="532253F2" w14:textId="77777777" w:rsidR="0014595D" w:rsidRPr="0014595D" w:rsidRDefault="0014595D" w:rsidP="00C42FC4">
            <w:pPr>
              <w:keepNext/>
              <w:rPr>
                <w:rFonts w:cs="Calibri"/>
                <w:color w:val="000000"/>
                <w:sz w:val="22"/>
                <w:szCs w:val="22"/>
              </w:rPr>
            </w:pPr>
            <w:r w:rsidRPr="0014595D">
              <w:rPr>
                <w:rFonts w:cs="Calibri"/>
                <w:color w:val="000000"/>
                <w:sz w:val="22"/>
                <w:szCs w:val="22"/>
              </w:rPr>
              <w:t>Hot Days</w:t>
            </w:r>
          </w:p>
        </w:tc>
        <w:tc>
          <w:tcPr>
            <w:tcW w:w="810" w:type="dxa"/>
            <w:tcBorders>
              <w:top w:val="nil"/>
              <w:left w:val="nil"/>
              <w:bottom w:val="single" w:sz="4" w:space="0" w:color="auto"/>
              <w:right w:val="single" w:sz="4" w:space="0" w:color="auto"/>
            </w:tcBorders>
            <w:shd w:val="clear" w:color="auto" w:fill="auto"/>
            <w:noWrap/>
            <w:vAlign w:val="bottom"/>
            <w:hideMark/>
          </w:tcPr>
          <w:p w14:paraId="66FB5F2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1.4%</w:t>
            </w:r>
          </w:p>
        </w:tc>
        <w:tc>
          <w:tcPr>
            <w:tcW w:w="900" w:type="dxa"/>
            <w:tcBorders>
              <w:top w:val="nil"/>
              <w:left w:val="nil"/>
              <w:bottom w:val="single" w:sz="4" w:space="0" w:color="auto"/>
              <w:right w:val="single" w:sz="4" w:space="0" w:color="auto"/>
            </w:tcBorders>
            <w:shd w:val="clear" w:color="auto" w:fill="auto"/>
            <w:noWrap/>
            <w:vAlign w:val="bottom"/>
            <w:hideMark/>
          </w:tcPr>
          <w:p w14:paraId="547D4443"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1.4%</w:t>
            </w:r>
          </w:p>
        </w:tc>
        <w:tc>
          <w:tcPr>
            <w:tcW w:w="1260" w:type="dxa"/>
            <w:tcBorders>
              <w:top w:val="nil"/>
              <w:left w:val="nil"/>
              <w:bottom w:val="single" w:sz="4" w:space="0" w:color="auto"/>
              <w:right w:val="single" w:sz="4" w:space="0" w:color="auto"/>
            </w:tcBorders>
            <w:shd w:val="clear" w:color="auto" w:fill="auto"/>
            <w:noWrap/>
            <w:vAlign w:val="bottom"/>
            <w:hideMark/>
          </w:tcPr>
          <w:p w14:paraId="64B09EEC"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0.3%</w:t>
            </w:r>
          </w:p>
        </w:tc>
        <w:tc>
          <w:tcPr>
            <w:tcW w:w="1391" w:type="dxa"/>
            <w:tcBorders>
              <w:top w:val="nil"/>
              <w:left w:val="nil"/>
              <w:bottom w:val="single" w:sz="4" w:space="0" w:color="auto"/>
              <w:right w:val="single" w:sz="4" w:space="0" w:color="auto"/>
            </w:tcBorders>
            <w:shd w:val="clear" w:color="auto" w:fill="auto"/>
            <w:noWrap/>
            <w:vAlign w:val="bottom"/>
            <w:hideMark/>
          </w:tcPr>
          <w:p w14:paraId="66CDA2BE"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0.3%</w:t>
            </w:r>
          </w:p>
        </w:tc>
      </w:tr>
      <w:tr w:rsidR="0014595D" w:rsidRPr="0014595D" w14:paraId="3DC48A23"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034256C0"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2306C59D" w14:textId="77777777" w:rsidR="0014595D" w:rsidRPr="0014595D" w:rsidRDefault="0014595D" w:rsidP="00C42FC4">
            <w:pPr>
              <w:keepNext/>
              <w:rPr>
                <w:rFonts w:cs="Calibri"/>
                <w:color w:val="000000"/>
                <w:sz w:val="22"/>
                <w:szCs w:val="22"/>
              </w:rPr>
            </w:pPr>
            <w:r w:rsidRPr="0014595D">
              <w:rPr>
                <w:rFonts w:cs="Calibri"/>
                <w:color w:val="000000"/>
                <w:sz w:val="22"/>
                <w:szCs w:val="22"/>
              </w:rPr>
              <w:t>Cool Days</w:t>
            </w:r>
          </w:p>
        </w:tc>
        <w:tc>
          <w:tcPr>
            <w:tcW w:w="810" w:type="dxa"/>
            <w:tcBorders>
              <w:top w:val="nil"/>
              <w:left w:val="nil"/>
              <w:bottom w:val="single" w:sz="4" w:space="0" w:color="auto"/>
              <w:right w:val="single" w:sz="4" w:space="0" w:color="auto"/>
            </w:tcBorders>
            <w:shd w:val="clear" w:color="auto" w:fill="auto"/>
            <w:noWrap/>
            <w:vAlign w:val="bottom"/>
            <w:hideMark/>
          </w:tcPr>
          <w:p w14:paraId="55D7E4EA"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2.1%</w:t>
            </w:r>
          </w:p>
        </w:tc>
        <w:tc>
          <w:tcPr>
            <w:tcW w:w="900" w:type="dxa"/>
            <w:tcBorders>
              <w:top w:val="nil"/>
              <w:left w:val="nil"/>
              <w:bottom w:val="single" w:sz="4" w:space="0" w:color="auto"/>
              <w:right w:val="single" w:sz="4" w:space="0" w:color="auto"/>
            </w:tcBorders>
            <w:shd w:val="clear" w:color="auto" w:fill="auto"/>
            <w:noWrap/>
            <w:vAlign w:val="bottom"/>
            <w:hideMark/>
          </w:tcPr>
          <w:p w14:paraId="5675BD6C"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2.1%</w:t>
            </w:r>
          </w:p>
        </w:tc>
        <w:tc>
          <w:tcPr>
            <w:tcW w:w="1260" w:type="dxa"/>
            <w:tcBorders>
              <w:top w:val="nil"/>
              <w:left w:val="nil"/>
              <w:bottom w:val="single" w:sz="4" w:space="0" w:color="auto"/>
              <w:right w:val="single" w:sz="4" w:space="0" w:color="auto"/>
            </w:tcBorders>
            <w:shd w:val="clear" w:color="auto" w:fill="auto"/>
            <w:noWrap/>
            <w:vAlign w:val="bottom"/>
            <w:hideMark/>
          </w:tcPr>
          <w:p w14:paraId="7DF0BEF5"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1.4%</w:t>
            </w:r>
          </w:p>
        </w:tc>
        <w:tc>
          <w:tcPr>
            <w:tcW w:w="1391" w:type="dxa"/>
            <w:tcBorders>
              <w:top w:val="nil"/>
              <w:left w:val="nil"/>
              <w:bottom w:val="single" w:sz="4" w:space="0" w:color="auto"/>
              <w:right w:val="single" w:sz="4" w:space="0" w:color="auto"/>
            </w:tcBorders>
            <w:shd w:val="clear" w:color="auto" w:fill="auto"/>
            <w:noWrap/>
            <w:vAlign w:val="bottom"/>
            <w:hideMark/>
          </w:tcPr>
          <w:p w14:paraId="17DABE55"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1.4%</w:t>
            </w:r>
          </w:p>
        </w:tc>
      </w:tr>
      <w:tr w:rsidR="0014595D" w:rsidRPr="0014595D" w14:paraId="34440B50"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37F43097"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2DF8DC76" w14:textId="77777777" w:rsidR="0014595D" w:rsidRPr="0014595D" w:rsidRDefault="0014595D" w:rsidP="00C42FC4">
            <w:pPr>
              <w:keepNext/>
              <w:rPr>
                <w:rFonts w:cs="Calibri"/>
                <w:color w:val="000000"/>
                <w:sz w:val="22"/>
                <w:szCs w:val="22"/>
              </w:rPr>
            </w:pPr>
            <w:r w:rsidRPr="0014595D">
              <w:rPr>
                <w:rFonts w:cs="Calibri"/>
                <w:color w:val="000000"/>
                <w:sz w:val="22"/>
                <w:szCs w:val="22"/>
              </w:rPr>
              <w:t>Non-Matching Cool Days</w:t>
            </w:r>
          </w:p>
        </w:tc>
        <w:tc>
          <w:tcPr>
            <w:tcW w:w="810" w:type="dxa"/>
            <w:tcBorders>
              <w:top w:val="nil"/>
              <w:left w:val="nil"/>
              <w:bottom w:val="single" w:sz="4" w:space="0" w:color="auto"/>
              <w:right w:val="single" w:sz="4" w:space="0" w:color="auto"/>
            </w:tcBorders>
            <w:shd w:val="clear" w:color="auto" w:fill="auto"/>
            <w:noWrap/>
            <w:vAlign w:val="bottom"/>
            <w:hideMark/>
          </w:tcPr>
          <w:p w14:paraId="3F2E58E8"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1.9%</w:t>
            </w:r>
          </w:p>
        </w:tc>
        <w:tc>
          <w:tcPr>
            <w:tcW w:w="900" w:type="dxa"/>
            <w:tcBorders>
              <w:top w:val="nil"/>
              <w:left w:val="nil"/>
              <w:bottom w:val="single" w:sz="4" w:space="0" w:color="auto"/>
              <w:right w:val="single" w:sz="4" w:space="0" w:color="auto"/>
            </w:tcBorders>
            <w:shd w:val="clear" w:color="auto" w:fill="auto"/>
            <w:noWrap/>
            <w:vAlign w:val="bottom"/>
            <w:hideMark/>
          </w:tcPr>
          <w:p w14:paraId="7015A567"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1.9%</w:t>
            </w:r>
          </w:p>
        </w:tc>
        <w:tc>
          <w:tcPr>
            <w:tcW w:w="1260" w:type="dxa"/>
            <w:tcBorders>
              <w:top w:val="nil"/>
              <w:left w:val="nil"/>
              <w:bottom w:val="single" w:sz="4" w:space="0" w:color="auto"/>
              <w:right w:val="single" w:sz="4" w:space="0" w:color="auto"/>
            </w:tcBorders>
            <w:shd w:val="clear" w:color="auto" w:fill="auto"/>
            <w:noWrap/>
            <w:vAlign w:val="bottom"/>
            <w:hideMark/>
          </w:tcPr>
          <w:p w14:paraId="09775A8E"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2.0%</w:t>
            </w:r>
          </w:p>
        </w:tc>
        <w:tc>
          <w:tcPr>
            <w:tcW w:w="1391" w:type="dxa"/>
            <w:tcBorders>
              <w:top w:val="nil"/>
              <w:left w:val="nil"/>
              <w:bottom w:val="single" w:sz="4" w:space="0" w:color="auto"/>
              <w:right w:val="single" w:sz="4" w:space="0" w:color="auto"/>
            </w:tcBorders>
            <w:shd w:val="clear" w:color="auto" w:fill="auto"/>
            <w:noWrap/>
            <w:vAlign w:val="bottom"/>
            <w:hideMark/>
          </w:tcPr>
          <w:p w14:paraId="42D9B00F"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2.0%</w:t>
            </w:r>
          </w:p>
        </w:tc>
      </w:tr>
      <w:tr w:rsidR="0014595D" w:rsidRPr="0014595D" w14:paraId="6896D754" w14:textId="77777777" w:rsidTr="003E0B58">
        <w:trPr>
          <w:trHeight w:val="300"/>
          <w:jc w:val="center"/>
        </w:trPr>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72CA10" w14:textId="77777777" w:rsidR="0014595D" w:rsidRPr="0014595D" w:rsidRDefault="0014595D" w:rsidP="00C42FC4">
            <w:pPr>
              <w:keepNext/>
              <w:jc w:val="center"/>
              <w:rPr>
                <w:rFonts w:cs="Calibri"/>
                <w:color w:val="000000"/>
                <w:sz w:val="22"/>
                <w:szCs w:val="22"/>
              </w:rPr>
            </w:pPr>
            <w:r w:rsidRPr="0014595D">
              <w:rPr>
                <w:rFonts w:cs="Calibri"/>
                <w:color w:val="000000"/>
                <w:sz w:val="22"/>
                <w:szCs w:val="22"/>
              </w:rPr>
              <w:t>PGKN</w:t>
            </w:r>
          </w:p>
        </w:tc>
        <w:tc>
          <w:tcPr>
            <w:tcW w:w="2501" w:type="dxa"/>
            <w:tcBorders>
              <w:top w:val="nil"/>
              <w:left w:val="nil"/>
              <w:bottom w:val="single" w:sz="4" w:space="0" w:color="auto"/>
              <w:right w:val="single" w:sz="4" w:space="0" w:color="auto"/>
            </w:tcBorders>
            <w:shd w:val="clear" w:color="auto" w:fill="auto"/>
            <w:noWrap/>
            <w:vAlign w:val="center"/>
            <w:hideMark/>
          </w:tcPr>
          <w:p w14:paraId="1BBEA507" w14:textId="77777777" w:rsidR="0014595D" w:rsidRPr="0014595D" w:rsidRDefault="0014595D" w:rsidP="00C42FC4">
            <w:pPr>
              <w:keepNext/>
              <w:rPr>
                <w:rFonts w:cs="Calibri"/>
                <w:color w:val="000000"/>
                <w:sz w:val="22"/>
                <w:szCs w:val="22"/>
              </w:rPr>
            </w:pPr>
            <w:r w:rsidRPr="0014595D">
              <w:rPr>
                <w:rFonts w:cs="Calibri"/>
                <w:color w:val="000000"/>
                <w:sz w:val="22"/>
                <w:szCs w:val="22"/>
              </w:rPr>
              <w:t>Hot Days</w:t>
            </w:r>
          </w:p>
        </w:tc>
        <w:tc>
          <w:tcPr>
            <w:tcW w:w="810" w:type="dxa"/>
            <w:tcBorders>
              <w:top w:val="nil"/>
              <w:left w:val="nil"/>
              <w:bottom w:val="single" w:sz="4" w:space="0" w:color="auto"/>
              <w:right w:val="single" w:sz="4" w:space="0" w:color="auto"/>
            </w:tcBorders>
            <w:shd w:val="clear" w:color="auto" w:fill="auto"/>
            <w:noWrap/>
            <w:vAlign w:val="bottom"/>
            <w:hideMark/>
          </w:tcPr>
          <w:p w14:paraId="7BCDAF84"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c>
          <w:tcPr>
            <w:tcW w:w="900" w:type="dxa"/>
            <w:tcBorders>
              <w:top w:val="nil"/>
              <w:left w:val="nil"/>
              <w:bottom w:val="single" w:sz="4" w:space="0" w:color="auto"/>
              <w:right w:val="single" w:sz="4" w:space="0" w:color="auto"/>
            </w:tcBorders>
            <w:shd w:val="clear" w:color="auto" w:fill="auto"/>
            <w:noWrap/>
            <w:vAlign w:val="bottom"/>
            <w:hideMark/>
          </w:tcPr>
          <w:p w14:paraId="1CD36114"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c>
          <w:tcPr>
            <w:tcW w:w="1260" w:type="dxa"/>
            <w:tcBorders>
              <w:top w:val="nil"/>
              <w:left w:val="nil"/>
              <w:bottom w:val="single" w:sz="4" w:space="0" w:color="auto"/>
              <w:right w:val="single" w:sz="4" w:space="0" w:color="auto"/>
            </w:tcBorders>
            <w:shd w:val="clear" w:color="auto" w:fill="auto"/>
            <w:noWrap/>
            <w:vAlign w:val="bottom"/>
            <w:hideMark/>
          </w:tcPr>
          <w:p w14:paraId="743FF52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0.9%</w:t>
            </w:r>
          </w:p>
        </w:tc>
        <w:tc>
          <w:tcPr>
            <w:tcW w:w="1391" w:type="dxa"/>
            <w:tcBorders>
              <w:top w:val="nil"/>
              <w:left w:val="nil"/>
              <w:bottom w:val="single" w:sz="4" w:space="0" w:color="auto"/>
              <w:right w:val="single" w:sz="4" w:space="0" w:color="auto"/>
            </w:tcBorders>
            <w:shd w:val="clear" w:color="auto" w:fill="auto"/>
            <w:noWrap/>
            <w:vAlign w:val="bottom"/>
            <w:hideMark/>
          </w:tcPr>
          <w:p w14:paraId="54AC146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0.9%</w:t>
            </w:r>
          </w:p>
        </w:tc>
      </w:tr>
      <w:tr w:rsidR="0014595D" w:rsidRPr="0014595D" w14:paraId="03EAE7E6"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7DCFA8A6"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2285E12B" w14:textId="77777777" w:rsidR="0014595D" w:rsidRPr="0014595D" w:rsidRDefault="0014595D" w:rsidP="00C42FC4">
            <w:pPr>
              <w:keepNext/>
              <w:rPr>
                <w:rFonts w:cs="Calibri"/>
                <w:color w:val="000000"/>
                <w:sz w:val="22"/>
                <w:szCs w:val="22"/>
              </w:rPr>
            </w:pPr>
            <w:r w:rsidRPr="0014595D">
              <w:rPr>
                <w:rFonts w:cs="Calibri"/>
                <w:color w:val="000000"/>
                <w:sz w:val="22"/>
                <w:szCs w:val="22"/>
              </w:rPr>
              <w:t>Cool Days</w:t>
            </w:r>
          </w:p>
        </w:tc>
        <w:tc>
          <w:tcPr>
            <w:tcW w:w="810" w:type="dxa"/>
            <w:tcBorders>
              <w:top w:val="nil"/>
              <w:left w:val="nil"/>
              <w:bottom w:val="single" w:sz="4" w:space="0" w:color="auto"/>
              <w:right w:val="single" w:sz="4" w:space="0" w:color="auto"/>
            </w:tcBorders>
            <w:shd w:val="clear" w:color="auto" w:fill="auto"/>
            <w:noWrap/>
            <w:vAlign w:val="bottom"/>
            <w:hideMark/>
          </w:tcPr>
          <w:p w14:paraId="051BE1A7"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1.5%</w:t>
            </w:r>
          </w:p>
        </w:tc>
        <w:tc>
          <w:tcPr>
            <w:tcW w:w="900" w:type="dxa"/>
            <w:tcBorders>
              <w:top w:val="nil"/>
              <w:left w:val="nil"/>
              <w:bottom w:val="single" w:sz="4" w:space="0" w:color="auto"/>
              <w:right w:val="single" w:sz="4" w:space="0" w:color="auto"/>
            </w:tcBorders>
            <w:shd w:val="clear" w:color="auto" w:fill="auto"/>
            <w:noWrap/>
            <w:vAlign w:val="bottom"/>
            <w:hideMark/>
          </w:tcPr>
          <w:p w14:paraId="19AC6B88"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1.5%</w:t>
            </w:r>
          </w:p>
        </w:tc>
        <w:tc>
          <w:tcPr>
            <w:tcW w:w="1260" w:type="dxa"/>
            <w:tcBorders>
              <w:top w:val="nil"/>
              <w:left w:val="nil"/>
              <w:bottom w:val="single" w:sz="4" w:space="0" w:color="auto"/>
              <w:right w:val="single" w:sz="4" w:space="0" w:color="auto"/>
            </w:tcBorders>
            <w:shd w:val="clear" w:color="auto" w:fill="auto"/>
            <w:noWrap/>
            <w:vAlign w:val="bottom"/>
            <w:hideMark/>
          </w:tcPr>
          <w:p w14:paraId="06A60C2A"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1.4%</w:t>
            </w:r>
          </w:p>
        </w:tc>
        <w:tc>
          <w:tcPr>
            <w:tcW w:w="1391" w:type="dxa"/>
            <w:tcBorders>
              <w:top w:val="nil"/>
              <w:left w:val="nil"/>
              <w:bottom w:val="single" w:sz="4" w:space="0" w:color="auto"/>
              <w:right w:val="single" w:sz="4" w:space="0" w:color="auto"/>
            </w:tcBorders>
            <w:shd w:val="clear" w:color="auto" w:fill="auto"/>
            <w:noWrap/>
            <w:vAlign w:val="bottom"/>
            <w:hideMark/>
          </w:tcPr>
          <w:p w14:paraId="2B2D4CE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1.4%</w:t>
            </w:r>
          </w:p>
        </w:tc>
      </w:tr>
      <w:tr w:rsidR="0014595D" w:rsidRPr="0014595D" w14:paraId="0E596410"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65CF10B5"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53C0EBC2" w14:textId="77777777" w:rsidR="0014595D" w:rsidRPr="0014595D" w:rsidRDefault="0014595D" w:rsidP="00C42FC4">
            <w:pPr>
              <w:keepNext/>
              <w:rPr>
                <w:rFonts w:cs="Calibri"/>
                <w:color w:val="000000"/>
                <w:sz w:val="22"/>
                <w:szCs w:val="22"/>
              </w:rPr>
            </w:pPr>
            <w:r w:rsidRPr="0014595D">
              <w:rPr>
                <w:rFonts w:cs="Calibri"/>
                <w:color w:val="000000"/>
                <w:sz w:val="22"/>
                <w:szCs w:val="22"/>
              </w:rPr>
              <w:t>Non-Matching Cool Days</w:t>
            </w:r>
          </w:p>
        </w:tc>
        <w:tc>
          <w:tcPr>
            <w:tcW w:w="810" w:type="dxa"/>
            <w:tcBorders>
              <w:top w:val="nil"/>
              <w:left w:val="nil"/>
              <w:bottom w:val="single" w:sz="4" w:space="0" w:color="auto"/>
              <w:right w:val="single" w:sz="4" w:space="0" w:color="auto"/>
            </w:tcBorders>
            <w:shd w:val="clear" w:color="auto" w:fill="auto"/>
            <w:noWrap/>
            <w:vAlign w:val="bottom"/>
            <w:hideMark/>
          </w:tcPr>
          <w:p w14:paraId="2B2162EB"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1.7%</w:t>
            </w:r>
          </w:p>
        </w:tc>
        <w:tc>
          <w:tcPr>
            <w:tcW w:w="900" w:type="dxa"/>
            <w:tcBorders>
              <w:top w:val="nil"/>
              <w:left w:val="nil"/>
              <w:bottom w:val="single" w:sz="4" w:space="0" w:color="auto"/>
              <w:right w:val="single" w:sz="4" w:space="0" w:color="auto"/>
            </w:tcBorders>
            <w:shd w:val="clear" w:color="auto" w:fill="auto"/>
            <w:noWrap/>
            <w:vAlign w:val="bottom"/>
            <w:hideMark/>
          </w:tcPr>
          <w:p w14:paraId="3ADCAB5C"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1.7%</w:t>
            </w:r>
          </w:p>
        </w:tc>
        <w:tc>
          <w:tcPr>
            <w:tcW w:w="1260" w:type="dxa"/>
            <w:tcBorders>
              <w:top w:val="nil"/>
              <w:left w:val="nil"/>
              <w:bottom w:val="single" w:sz="4" w:space="0" w:color="auto"/>
              <w:right w:val="single" w:sz="4" w:space="0" w:color="auto"/>
            </w:tcBorders>
            <w:shd w:val="clear" w:color="auto" w:fill="auto"/>
            <w:noWrap/>
            <w:vAlign w:val="bottom"/>
            <w:hideMark/>
          </w:tcPr>
          <w:p w14:paraId="3EA6C808"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1.6%</w:t>
            </w:r>
          </w:p>
        </w:tc>
        <w:tc>
          <w:tcPr>
            <w:tcW w:w="1391" w:type="dxa"/>
            <w:tcBorders>
              <w:top w:val="nil"/>
              <w:left w:val="nil"/>
              <w:bottom w:val="single" w:sz="4" w:space="0" w:color="auto"/>
              <w:right w:val="single" w:sz="4" w:space="0" w:color="auto"/>
            </w:tcBorders>
            <w:shd w:val="clear" w:color="auto" w:fill="auto"/>
            <w:noWrap/>
            <w:vAlign w:val="bottom"/>
            <w:hideMark/>
          </w:tcPr>
          <w:p w14:paraId="1F54AC0E"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1.6%</w:t>
            </w:r>
          </w:p>
        </w:tc>
      </w:tr>
      <w:tr w:rsidR="0014595D" w:rsidRPr="0014595D" w14:paraId="08207800" w14:textId="77777777" w:rsidTr="003E0B58">
        <w:trPr>
          <w:trHeight w:val="300"/>
          <w:jc w:val="center"/>
        </w:trPr>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607E86" w14:textId="77777777" w:rsidR="0014595D" w:rsidRPr="0014595D" w:rsidRDefault="0014595D" w:rsidP="00C42FC4">
            <w:pPr>
              <w:keepNext/>
              <w:jc w:val="center"/>
              <w:rPr>
                <w:rFonts w:cs="Calibri"/>
                <w:color w:val="000000"/>
                <w:sz w:val="22"/>
                <w:szCs w:val="22"/>
              </w:rPr>
            </w:pPr>
            <w:r w:rsidRPr="0014595D">
              <w:rPr>
                <w:rFonts w:cs="Calibri"/>
                <w:color w:val="000000"/>
                <w:sz w:val="22"/>
                <w:szCs w:val="22"/>
              </w:rPr>
              <w:t>PGNC</w:t>
            </w:r>
          </w:p>
        </w:tc>
        <w:tc>
          <w:tcPr>
            <w:tcW w:w="2501" w:type="dxa"/>
            <w:tcBorders>
              <w:top w:val="nil"/>
              <w:left w:val="nil"/>
              <w:bottom w:val="single" w:sz="4" w:space="0" w:color="auto"/>
              <w:right w:val="single" w:sz="4" w:space="0" w:color="auto"/>
            </w:tcBorders>
            <w:shd w:val="clear" w:color="auto" w:fill="auto"/>
            <w:noWrap/>
            <w:vAlign w:val="center"/>
            <w:hideMark/>
          </w:tcPr>
          <w:p w14:paraId="0EE2A3D0" w14:textId="77777777" w:rsidR="0014595D" w:rsidRPr="0014595D" w:rsidRDefault="0014595D" w:rsidP="00C42FC4">
            <w:pPr>
              <w:keepNext/>
              <w:rPr>
                <w:rFonts w:cs="Calibri"/>
                <w:color w:val="000000"/>
                <w:sz w:val="22"/>
                <w:szCs w:val="22"/>
              </w:rPr>
            </w:pPr>
            <w:r w:rsidRPr="0014595D">
              <w:rPr>
                <w:rFonts w:cs="Calibri"/>
                <w:color w:val="000000"/>
                <w:sz w:val="22"/>
                <w:szCs w:val="22"/>
              </w:rPr>
              <w:t>Hot Days</w:t>
            </w:r>
          </w:p>
        </w:tc>
        <w:tc>
          <w:tcPr>
            <w:tcW w:w="810" w:type="dxa"/>
            <w:tcBorders>
              <w:top w:val="nil"/>
              <w:left w:val="nil"/>
              <w:bottom w:val="single" w:sz="4" w:space="0" w:color="auto"/>
              <w:right w:val="single" w:sz="4" w:space="0" w:color="auto"/>
            </w:tcBorders>
            <w:shd w:val="clear" w:color="auto" w:fill="auto"/>
            <w:noWrap/>
            <w:vAlign w:val="bottom"/>
            <w:hideMark/>
          </w:tcPr>
          <w:p w14:paraId="27B320D4"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-0.6%</w:t>
            </w:r>
          </w:p>
        </w:tc>
        <w:tc>
          <w:tcPr>
            <w:tcW w:w="900" w:type="dxa"/>
            <w:tcBorders>
              <w:top w:val="nil"/>
              <w:left w:val="nil"/>
              <w:bottom w:val="single" w:sz="4" w:space="0" w:color="auto"/>
              <w:right w:val="single" w:sz="4" w:space="0" w:color="auto"/>
            </w:tcBorders>
            <w:shd w:val="clear" w:color="auto" w:fill="auto"/>
            <w:noWrap/>
            <w:vAlign w:val="bottom"/>
            <w:hideMark/>
          </w:tcPr>
          <w:p w14:paraId="1DFF3CAF"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0.6%</w:t>
            </w:r>
          </w:p>
        </w:tc>
        <w:tc>
          <w:tcPr>
            <w:tcW w:w="1260" w:type="dxa"/>
            <w:tcBorders>
              <w:top w:val="nil"/>
              <w:left w:val="nil"/>
              <w:bottom w:val="single" w:sz="4" w:space="0" w:color="auto"/>
              <w:right w:val="single" w:sz="4" w:space="0" w:color="auto"/>
            </w:tcBorders>
            <w:shd w:val="clear" w:color="auto" w:fill="auto"/>
            <w:noWrap/>
            <w:vAlign w:val="bottom"/>
            <w:hideMark/>
          </w:tcPr>
          <w:p w14:paraId="63C7CCFB"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-0.9%</w:t>
            </w:r>
          </w:p>
        </w:tc>
        <w:tc>
          <w:tcPr>
            <w:tcW w:w="1391" w:type="dxa"/>
            <w:tcBorders>
              <w:top w:val="nil"/>
              <w:left w:val="nil"/>
              <w:bottom w:val="single" w:sz="4" w:space="0" w:color="auto"/>
              <w:right w:val="single" w:sz="4" w:space="0" w:color="auto"/>
            </w:tcBorders>
            <w:shd w:val="clear" w:color="auto" w:fill="auto"/>
            <w:noWrap/>
            <w:vAlign w:val="bottom"/>
            <w:hideMark/>
          </w:tcPr>
          <w:p w14:paraId="030F96FF"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0.9%</w:t>
            </w:r>
          </w:p>
        </w:tc>
      </w:tr>
      <w:tr w:rsidR="0014595D" w:rsidRPr="0014595D" w14:paraId="684E01A2"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60A856CA"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35167C75" w14:textId="77777777" w:rsidR="0014595D" w:rsidRPr="0014595D" w:rsidRDefault="0014595D" w:rsidP="00C42FC4">
            <w:pPr>
              <w:keepNext/>
              <w:rPr>
                <w:rFonts w:cs="Calibri"/>
                <w:color w:val="000000"/>
                <w:sz w:val="22"/>
                <w:szCs w:val="22"/>
              </w:rPr>
            </w:pPr>
            <w:r w:rsidRPr="0014595D">
              <w:rPr>
                <w:rFonts w:cs="Calibri"/>
                <w:color w:val="000000"/>
                <w:sz w:val="22"/>
                <w:szCs w:val="22"/>
              </w:rPr>
              <w:t>Cool Days</w:t>
            </w:r>
          </w:p>
        </w:tc>
        <w:tc>
          <w:tcPr>
            <w:tcW w:w="810" w:type="dxa"/>
            <w:tcBorders>
              <w:top w:val="nil"/>
              <w:left w:val="nil"/>
              <w:bottom w:val="single" w:sz="4" w:space="0" w:color="auto"/>
              <w:right w:val="single" w:sz="4" w:space="0" w:color="auto"/>
            </w:tcBorders>
            <w:shd w:val="clear" w:color="auto" w:fill="auto"/>
            <w:noWrap/>
            <w:vAlign w:val="bottom"/>
            <w:hideMark/>
          </w:tcPr>
          <w:p w14:paraId="3AB1737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0.1%</w:t>
            </w:r>
          </w:p>
        </w:tc>
        <w:tc>
          <w:tcPr>
            <w:tcW w:w="900" w:type="dxa"/>
            <w:tcBorders>
              <w:top w:val="nil"/>
              <w:left w:val="nil"/>
              <w:bottom w:val="single" w:sz="4" w:space="0" w:color="auto"/>
              <w:right w:val="single" w:sz="4" w:space="0" w:color="auto"/>
            </w:tcBorders>
            <w:shd w:val="clear" w:color="auto" w:fill="auto"/>
            <w:noWrap/>
            <w:vAlign w:val="bottom"/>
            <w:hideMark/>
          </w:tcPr>
          <w:p w14:paraId="44A66ED9"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0.1%</w:t>
            </w:r>
          </w:p>
        </w:tc>
        <w:tc>
          <w:tcPr>
            <w:tcW w:w="1260" w:type="dxa"/>
            <w:tcBorders>
              <w:top w:val="nil"/>
              <w:left w:val="nil"/>
              <w:bottom w:val="single" w:sz="4" w:space="0" w:color="auto"/>
              <w:right w:val="single" w:sz="4" w:space="0" w:color="auto"/>
            </w:tcBorders>
            <w:shd w:val="clear" w:color="auto" w:fill="auto"/>
            <w:noWrap/>
            <w:vAlign w:val="bottom"/>
            <w:hideMark/>
          </w:tcPr>
          <w:p w14:paraId="3FF74888"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0.1%</w:t>
            </w:r>
          </w:p>
        </w:tc>
        <w:tc>
          <w:tcPr>
            <w:tcW w:w="1391" w:type="dxa"/>
            <w:tcBorders>
              <w:top w:val="nil"/>
              <w:left w:val="nil"/>
              <w:bottom w:val="single" w:sz="4" w:space="0" w:color="auto"/>
              <w:right w:val="single" w:sz="4" w:space="0" w:color="auto"/>
            </w:tcBorders>
            <w:shd w:val="clear" w:color="auto" w:fill="auto"/>
            <w:noWrap/>
            <w:vAlign w:val="bottom"/>
            <w:hideMark/>
          </w:tcPr>
          <w:p w14:paraId="0CA6711C"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0.1%</w:t>
            </w:r>
          </w:p>
        </w:tc>
      </w:tr>
      <w:tr w:rsidR="0014595D" w:rsidRPr="0014595D" w14:paraId="037567A6"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13A1821D"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36095958" w14:textId="77777777" w:rsidR="0014595D" w:rsidRPr="0014595D" w:rsidRDefault="0014595D" w:rsidP="00C42FC4">
            <w:pPr>
              <w:keepNext/>
              <w:rPr>
                <w:rFonts w:cs="Calibri"/>
                <w:color w:val="000000"/>
                <w:sz w:val="22"/>
                <w:szCs w:val="22"/>
              </w:rPr>
            </w:pPr>
            <w:r w:rsidRPr="0014595D">
              <w:rPr>
                <w:rFonts w:cs="Calibri"/>
                <w:color w:val="000000"/>
                <w:sz w:val="22"/>
                <w:szCs w:val="22"/>
              </w:rPr>
              <w:t>Non-Matching Cool Days</w:t>
            </w:r>
          </w:p>
        </w:tc>
        <w:tc>
          <w:tcPr>
            <w:tcW w:w="810" w:type="dxa"/>
            <w:tcBorders>
              <w:top w:val="nil"/>
              <w:left w:val="nil"/>
              <w:bottom w:val="single" w:sz="4" w:space="0" w:color="auto"/>
              <w:right w:val="single" w:sz="4" w:space="0" w:color="auto"/>
            </w:tcBorders>
            <w:shd w:val="clear" w:color="auto" w:fill="auto"/>
            <w:noWrap/>
            <w:vAlign w:val="bottom"/>
            <w:hideMark/>
          </w:tcPr>
          <w:p w14:paraId="1FB55166"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0.4%</w:t>
            </w:r>
          </w:p>
        </w:tc>
        <w:tc>
          <w:tcPr>
            <w:tcW w:w="900" w:type="dxa"/>
            <w:tcBorders>
              <w:top w:val="nil"/>
              <w:left w:val="nil"/>
              <w:bottom w:val="single" w:sz="4" w:space="0" w:color="auto"/>
              <w:right w:val="single" w:sz="4" w:space="0" w:color="auto"/>
            </w:tcBorders>
            <w:shd w:val="clear" w:color="auto" w:fill="auto"/>
            <w:noWrap/>
            <w:vAlign w:val="bottom"/>
            <w:hideMark/>
          </w:tcPr>
          <w:p w14:paraId="0A007406"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0.4%</w:t>
            </w:r>
          </w:p>
        </w:tc>
        <w:tc>
          <w:tcPr>
            <w:tcW w:w="1260" w:type="dxa"/>
            <w:tcBorders>
              <w:top w:val="nil"/>
              <w:left w:val="nil"/>
              <w:bottom w:val="single" w:sz="4" w:space="0" w:color="auto"/>
              <w:right w:val="single" w:sz="4" w:space="0" w:color="auto"/>
            </w:tcBorders>
            <w:shd w:val="clear" w:color="auto" w:fill="auto"/>
            <w:noWrap/>
            <w:vAlign w:val="bottom"/>
            <w:hideMark/>
          </w:tcPr>
          <w:p w14:paraId="4E6FC5F9"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1.5%</w:t>
            </w:r>
          </w:p>
        </w:tc>
        <w:tc>
          <w:tcPr>
            <w:tcW w:w="1391" w:type="dxa"/>
            <w:tcBorders>
              <w:top w:val="nil"/>
              <w:left w:val="nil"/>
              <w:bottom w:val="single" w:sz="4" w:space="0" w:color="auto"/>
              <w:right w:val="single" w:sz="4" w:space="0" w:color="auto"/>
            </w:tcBorders>
            <w:shd w:val="clear" w:color="auto" w:fill="auto"/>
            <w:noWrap/>
            <w:vAlign w:val="bottom"/>
            <w:hideMark/>
          </w:tcPr>
          <w:p w14:paraId="310AB959"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1.5%</w:t>
            </w:r>
          </w:p>
        </w:tc>
      </w:tr>
      <w:tr w:rsidR="0014595D" w:rsidRPr="0014595D" w14:paraId="2BCF587B" w14:textId="77777777" w:rsidTr="003E0B58">
        <w:trPr>
          <w:trHeight w:val="300"/>
          <w:jc w:val="center"/>
        </w:trPr>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15F663" w14:textId="77777777" w:rsidR="0014595D" w:rsidRPr="0014595D" w:rsidRDefault="0014595D" w:rsidP="00C42FC4">
            <w:pPr>
              <w:keepNext/>
              <w:jc w:val="center"/>
              <w:rPr>
                <w:rFonts w:cs="Calibri"/>
                <w:color w:val="000000"/>
                <w:sz w:val="22"/>
                <w:szCs w:val="22"/>
              </w:rPr>
            </w:pPr>
            <w:r w:rsidRPr="0014595D">
              <w:rPr>
                <w:rFonts w:cs="Calibri"/>
                <w:color w:val="000000"/>
                <w:sz w:val="22"/>
                <w:szCs w:val="22"/>
              </w:rPr>
              <w:t>PGNP</w:t>
            </w:r>
          </w:p>
        </w:tc>
        <w:tc>
          <w:tcPr>
            <w:tcW w:w="2501" w:type="dxa"/>
            <w:tcBorders>
              <w:top w:val="nil"/>
              <w:left w:val="nil"/>
              <w:bottom w:val="single" w:sz="4" w:space="0" w:color="auto"/>
              <w:right w:val="single" w:sz="4" w:space="0" w:color="auto"/>
            </w:tcBorders>
            <w:shd w:val="clear" w:color="auto" w:fill="auto"/>
            <w:noWrap/>
            <w:vAlign w:val="center"/>
            <w:hideMark/>
          </w:tcPr>
          <w:p w14:paraId="479A1ED0" w14:textId="77777777" w:rsidR="0014595D" w:rsidRPr="0014595D" w:rsidRDefault="0014595D" w:rsidP="00C42FC4">
            <w:pPr>
              <w:keepNext/>
              <w:rPr>
                <w:rFonts w:cs="Calibri"/>
                <w:color w:val="000000"/>
                <w:sz w:val="22"/>
                <w:szCs w:val="22"/>
              </w:rPr>
            </w:pPr>
            <w:r w:rsidRPr="0014595D">
              <w:rPr>
                <w:rFonts w:cs="Calibri"/>
                <w:color w:val="000000"/>
                <w:sz w:val="22"/>
                <w:szCs w:val="22"/>
              </w:rPr>
              <w:t>Hot Days</w:t>
            </w:r>
          </w:p>
        </w:tc>
        <w:tc>
          <w:tcPr>
            <w:tcW w:w="810" w:type="dxa"/>
            <w:tcBorders>
              <w:top w:val="nil"/>
              <w:left w:val="nil"/>
              <w:bottom w:val="single" w:sz="4" w:space="0" w:color="auto"/>
              <w:right w:val="single" w:sz="4" w:space="0" w:color="auto"/>
            </w:tcBorders>
            <w:shd w:val="clear" w:color="auto" w:fill="auto"/>
            <w:noWrap/>
            <w:vAlign w:val="bottom"/>
            <w:hideMark/>
          </w:tcPr>
          <w:p w14:paraId="7E9CEC26"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900" w:type="dxa"/>
            <w:tcBorders>
              <w:top w:val="nil"/>
              <w:left w:val="nil"/>
              <w:bottom w:val="single" w:sz="4" w:space="0" w:color="auto"/>
              <w:right w:val="single" w:sz="4" w:space="0" w:color="auto"/>
            </w:tcBorders>
            <w:shd w:val="clear" w:color="auto" w:fill="auto"/>
            <w:noWrap/>
            <w:vAlign w:val="bottom"/>
            <w:hideMark/>
          </w:tcPr>
          <w:p w14:paraId="651C5ECB"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1260" w:type="dxa"/>
            <w:tcBorders>
              <w:top w:val="nil"/>
              <w:left w:val="nil"/>
              <w:bottom w:val="single" w:sz="4" w:space="0" w:color="auto"/>
              <w:right w:val="single" w:sz="4" w:space="0" w:color="auto"/>
            </w:tcBorders>
            <w:shd w:val="clear" w:color="auto" w:fill="auto"/>
            <w:noWrap/>
            <w:vAlign w:val="bottom"/>
            <w:hideMark/>
          </w:tcPr>
          <w:p w14:paraId="0C6D8EA8"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0.5%</w:t>
            </w:r>
          </w:p>
        </w:tc>
        <w:tc>
          <w:tcPr>
            <w:tcW w:w="1391" w:type="dxa"/>
            <w:tcBorders>
              <w:top w:val="nil"/>
              <w:left w:val="nil"/>
              <w:bottom w:val="single" w:sz="4" w:space="0" w:color="auto"/>
              <w:right w:val="single" w:sz="4" w:space="0" w:color="auto"/>
            </w:tcBorders>
            <w:shd w:val="clear" w:color="auto" w:fill="auto"/>
            <w:noWrap/>
            <w:vAlign w:val="bottom"/>
            <w:hideMark/>
          </w:tcPr>
          <w:p w14:paraId="62066EA3"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0.5%</w:t>
            </w:r>
          </w:p>
        </w:tc>
      </w:tr>
      <w:tr w:rsidR="0014595D" w:rsidRPr="0014595D" w14:paraId="7B30BB68"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4C82246D"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37BC36D9" w14:textId="77777777" w:rsidR="0014595D" w:rsidRPr="0014595D" w:rsidRDefault="0014595D" w:rsidP="00C42FC4">
            <w:pPr>
              <w:keepNext/>
              <w:rPr>
                <w:rFonts w:cs="Calibri"/>
                <w:color w:val="000000"/>
                <w:sz w:val="22"/>
                <w:szCs w:val="22"/>
              </w:rPr>
            </w:pPr>
            <w:r w:rsidRPr="0014595D">
              <w:rPr>
                <w:rFonts w:cs="Calibri"/>
                <w:color w:val="000000"/>
                <w:sz w:val="22"/>
                <w:szCs w:val="22"/>
              </w:rPr>
              <w:t>Cool Days</w:t>
            </w:r>
          </w:p>
        </w:tc>
        <w:tc>
          <w:tcPr>
            <w:tcW w:w="810" w:type="dxa"/>
            <w:tcBorders>
              <w:top w:val="nil"/>
              <w:left w:val="nil"/>
              <w:bottom w:val="single" w:sz="4" w:space="0" w:color="auto"/>
              <w:right w:val="single" w:sz="4" w:space="0" w:color="auto"/>
            </w:tcBorders>
            <w:shd w:val="clear" w:color="auto" w:fill="auto"/>
            <w:noWrap/>
            <w:vAlign w:val="bottom"/>
            <w:hideMark/>
          </w:tcPr>
          <w:p w14:paraId="4A910716"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0.2%</w:t>
            </w:r>
          </w:p>
        </w:tc>
        <w:tc>
          <w:tcPr>
            <w:tcW w:w="900" w:type="dxa"/>
            <w:tcBorders>
              <w:top w:val="nil"/>
              <w:left w:val="nil"/>
              <w:bottom w:val="single" w:sz="4" w:space="0" w:color="auto"/>
              <w:right w:val="single" w:sz="4" w:space="0" w:color="auto"/>
            </w:tcBorders>
            <w:shd w:val="clear" w:color="auto" w:fill="auto"/>
            <w:noWrap/>
            <w:vAlign w:val="bottom"/>
            <w:hideMark/>
          </w:tcPr>
          <w:p w14:paraId="38C9B22E"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0.2%</w:t>
            </w:r>
          </w:p>
        </w:tc>
        <w:tc>
          <w:tcPr>
            <w:tcW w:w="1260" w:type="dxa"/>
            <w:tcBorders>
              <w:top w:val="nil"/>
              <w:left w:val="nil"/>
              <w:bottom w:val="single" w:sz="4" w:space="0" w:color="auto"/>
              <w:right w:val="single" w:sz="4" w:space="0" w:color="auto"/>
            </w:tcBorders>
            <w:shd w:val="clear" w:color="auto" w:fill="auto"/>
            <w:noWrap/>
            <w:vAlign w:val="bottom"/>
            <w:hideMark/>
          </w:tcPr>
          <w:p w14:paraId="2CC56AB9"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0.4%</w:t>
            </w:r>
          </w:p>
        </w:tc>
        <w:tc>
          <w:tcPr>
            <w:tcW w:w="1391" w:type="dxa"/>
            <w:tcBorders>
              <w:top w:val="nil"/>
              <w:left w:val="nil"/>
              <w:bottom w:val="single" w:sz="4" w:space="0" w:color="auto"/>
              <w:right w:val="single" w:sz="4" w:space="0" w:color="auto"/>
            </w:tcBorders>
            <w:shd w:val="clear" w:color="auto" w:fill="auto"/>
            <w:noWrap/>
            <w:vAlign w:val="bottom"/>
            <w:hideMark/>
          </w:tcPr>
          <w:p w14:paraId="2C9C1725"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0.4%</w:t>
            </w:r>
          </w:p>
        </w:tc>
      </w:tr>
      <w:tr w:rsidR="0014595D" w:rsidRPr="0014595D" w14:paraId="65B745F5"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1792843D"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6AE7CA96" w14:textId="77777777" w:rsidR="0014595D" w:rsidRPr="0014595D" w:rsidRDefault="0014595D" w:rsidP="00C42FC4">
            <w:pPr>
              <w:keepNext/>
              <w:rPr>
                <w:rFonts w:cs="Calibri"/>
                <w:color w:val="000000"/>
                <w:sz w:val="22"/>
                <w:szCs w:val="22"/>
              </w:rPr>
            </w:pPr>
            <w:r w:rsidRPr="0014595D">
              <w:rPr>
                <w:rFonts w:cs="Calibri"/>
                <w:color w:val="000000"/>
                <w:sz w:val="22"/>
                <w:szCs w:val="22"/>
              </w:rPr>
              <w:t>Non-Matching Cool Days</w:t>
            </w:r>
          </w:p>
        </w:tc>
        <w:tc>
          <w:tcPr>
            <w:tcW w:w="810" w:type="dxa"/>
            <w:tcBorders>
              <w:top w:val="nil"/>
              <w:left w:val="nil"/>
              <w:bottom w:val="single" w:sz="4" w:space="0" w:color="auto"/>
              <w:right w:val="single" w:sz="4" w:space="0" w:color="auto"/>
            </w:tcBorders>
            <w:shd w:val="clear" w:color="auto" w:fill="auto"/>
            <w:noWrap/>
            <w:vAlign w:val="bottom"/>
            <w:hideMark/>
          </w:tcPr>
          <w:p w14:paraId="5953BFB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0.4%</w:t>
            </w:r>
          </w:p>
        </w:tc>
        <w:tc>
          <w:tcPr>
            <w:tcW w:w="900" w:type="dxa"/>
            <w:tcBorders>
              <w:top w:val="nil"/>
              <w:left w:val="nil"/>
              <w:bottom w:val="single" w:sz="4" w:space="0" w:color="auto"/>
              <w:right w:val="single" w:sz="4" w:space="0" w:color="auto"/>
            </w:tcBorders>
            <w:shd w:val="clear" w:color="auto" w:fill="auto"/>
            <w:noWrap/>
            <w:vAlign w:val="bottom"/>
            <w:hideMark/>
          </w:tcPr>
          <w:p w14:paraId="7CEDFC6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0.4%</w:t>
            </w:r>
          </w:p>
        </w:tc>
        <w:tc>
          <w:tcPr>
            <w:tcW w:w="1260" w:type="dxa"/>
            <w:tcBorders>
              <w:top w:val="nil"/>
              <w:left w:val="nil"/>
              <w:bottom w:val="single" w:sz="4" w:space="0" w:color="auto"/>
              <w:right w:val="single" w:sz="4" w:space="0" w:color="auto"/>
            </w:tcBorders>
            <w:shd w:val="clear" w:color="auto" w:fill="auto"/>
            <w:noWrap/>
            <w:vAlign w:val="bottom"/>
            <w:hideMark/>
          </w:tcPr>
          <w:p w14:paraId="50F82AF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c>
          <w:tcPr>
            <w:tcW w:w="1391" w:type="dxa"/>
            <w:tcBorders>
              <w:top w:val="nil"/>
              <w:left w:val="nil"/>
              <w:bottom w:val="single" w:sz="4" w:space="0" w:color="auto"/>
              <w:right w:val="single" w:sz="4" w:space="0" w:color="auto"/>
            </w:tcBorders>
            <w:shd w:val="clear" w:color="auto" w:fill="auto"/>
            <w:noWrap/>
            <w:vAlign w:val="bottom"/>
            <w:hideMark/>
          </w:tcPr>
          <w:p w14:paraId="5B945CC1"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r>
      <w:tr w:rsidR="0014595D" w:rsidRPr="0014595D" w14:paraId="034DA723" w14:textId="77777777" w:rsidTr="003E0B58">
        <w:trPr>
          <w:trHeight w:val="300"/>
          <w:jc w:val="center"/>
        </w:trPr>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03ACC8" w14:textId="77777777" w:rsidR="0014595D" w:rsidRPr="0014595D" w:rsidRDefault="0014595D" w:rsidP="00C42FC4">
            <w:pPr>
              <w:keepNext/>
              <w:jc w:val="center"/>
              <w:rPr>
                <w:rFonts w:cs="Calibri"/>
                <w:color w:val="000000"/>
                <w:sz w:val="22"/>
                <w:szCs w:val="22"/>
              </w:rPr>
            </w:pPr>
            <w:r w:rsidRPr="0014595D">
              <w:rPr>
                <w:rFonts w:cs="Calibri"/>
                <w:color w:val="000000"/>
                <w:sz w:val="22"/>
                <w:szCs w:val="22"/>
              </w:rPr>
              <w:t>PGSI</w:t>
            </w:r>
          </w:p>
        </w:tc>
        <w:tc>
          <w:tcPr>
            <w:tcW w:w="2501" w:type="dxa"/>
            <w:tcBorders>
              <w:top w:val="nil"/>
              <w:left w:val="nil"/>
              <w:bottom w:val="single" w:sz="4" w:space="0" w:color="auto"/>
              <w:right w:val="single" w:sz="4" w:space="0" w:color="auto"/>
            </w:tcBorders>
            <w:shd w:val="clear" w:color="auto" w:fill="auto"/>
            <w:noWrap/>
            <w:vAlign w:val="center"/>
            <w:hideMark/>
          </w:tcPr>
          <w:p w14:paraId="7F085A41" w14:textId="77777777" w:rsidR="0014595D" w:rsidRPr="0014595D" w:rsidRDefault="0014595D" w:rsidP="00C42FC4">
            <w:pPr>
              <w:keepNext/>
              <w:rPr>
                <w:rFonts w:cs="Calibri"/>
                <w:color w:val="000000"/>
                <w:sz w:val="22"/>
                <w:szCs w:val="22"/>
              </w:rPr>
            </w:pPr>
            <w:r w:rsidRPr="0014595D">
              <w:rPr>
                <w:rFonts w:cs="Calibri"/>
                <w:color w:val="000000"/>
                <w:sz w:val="22"/>
                <w:szCs w:val="22"/>
              </w:rPr>
              <w:t>Hot Days</w:t>
            </w:r>
          </w:p>
        </w:tc>
        <w:tc>
          <w:tcPr>
            <w:tcW w:w="810" w:type="dxa"/>
            <w:tcBorders>
              <w:top w:val="nil"/>
              <w:left w:val="nil"/>
              <w:bottom w:val="single" w:sz="4" w:space="0" w:color="auto"/>
              <w:right w:val="single" w:sz="4" w:space="0" w:color="auto"/>
            </w:tcBorders>
            <w:shd w:val="clear" w:color="auto" w:fill="auto"/>
            <w:noWrap/>
            <w:vAlign w:val="bottom"/>
            <w:hideMark/>
          </w:tcPr>
          <w:p w14:paraId="7E7B7B8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c>
          <w:tcPr>
            <w:tcW w:w="900" w:type="dxa"/>
            <w:tcBorders>
              <w:top w:val="nil"/>
              <w:left w:val="nil"/>
              <w:bottom w:val="single" w:sz="4" w:space="0" w:color="auto"/>
              <w:right w:val="single" w:sz="4" w:space="0" w:color="auto"/>
            </w:tcBorders>
            <w:shd w:val="clear" w:color="auto" w:fill="auto"/>
            <w:noWrap/>
            <w:vAlign w:val="bottom"/>
            <w:hideMark/>
          </w:tcPr>
          <w:p w14:paraId="623DE27F"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c>
          <w:tcPr>
            <w:tcW w:w="1260" w:type="dxa"/>
            <w:tcBorders>
              <w:top w:val="nil"/>
              <w:left w:val="nil"/>
              <w:bottom w:val="single" w:sz="4" w:space="0" w:color="auto"/>
              <w:right w:val="single" w:sz="4" w:space="0" w:color="auto"/>
            </w:tcBorders>
            <w:shd w:val="clear" w:color="auto" w:fill="auto"/>
            <w:noWrap/>
            <w:vAlign w:val="bottom"/>
            <w:hideMark/>
          </w:tcPr>
          <w:p w14:paraId="7B270BDB"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c>
          <w:tcPr>
            <w:tcW w:w="1391" w:type="dxa"/>
            <w:tcBorders>
              <w:top w:val="nil"/>
              <w:left w:val="nil"/>
              <w:bottom w:val="single" w:sz="4" w:space="0" w:color="auto"/>
              <w:right w:val="single" w:sz="4" w:space="0" w:color="auto"/>
            </w:tcBorders>
            <w:shd w:val="clear" w:color="auto" w:fill="auto"/>
            <w:noWrap/>
            <w:vAlign w:val="bottom"/>
            <w:hideMark/>
          </w:tcPr>
          <w:p w14:paraId="23FEDC14"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r>
      <w:tr w:rsidR="0014595D" w:rsidRPr="0014595D" w14:paraId="2A0BA29C"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5511A236"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2088C9D0" w14:textId="77777777" w:rsidR="0014595D" w:rsidRPr="0014595D" w:rsidRDefault="0014595D" w:rsidP="00C42FC4">
            <w:pPr>
              <w:keepNext/>
              <w:rPr>
                <w:rFonts w:cs="Calibri"/>
                <w:color w:val="000000"/>
                <w:sz w:val="22"/>
                <w:szCs w:val="22"/>
              </w:rPr>
            </w:pPr>
            <w:r w:rsidRPr="0014595D">
              <w:rPr>
                <w:rFonts w:cs="Calibri"/>
                <w:color w:val="000000"/>
                <w:sz w:val="22"/>
                <w:szCs w:val="22"/>
              </w:rPr>
              <w:t>Cool Days</w:t>
            </w:r>
          </w:p>
        </w:tc>
        <w:tc>
          <w:tcPr>
            <w:tcW w:w="810" w:type="dxa"/>
            <w:tcBorders>
              <w:top w:val="nil"/>
              <w:left w:val="nil"/>
              <w:bottom w:val="single" w:sz="4" w:space="0" w:color="auto"/>
              <w:right w:val="single" w:sz="4" w:space="0" w:color="auto"/>
            </w:tcBorders>
            <w:shd w:val="clear" w:color="auto" w:fill="auto"/>
            <w:noWrap/>
            <w:vAlign w:val="bottom"/>
            <w:hideMark/>
          </w:tcPr>
          <w:p w14:paraId="3AB2F306"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900" w:type="dxa"/>
            <w:tcBorders>
              <w:top w:val="nil"/>
              <w:left w:val="nil"/>
              <w:bottom w:val="single" w:sz="4" w:space="0" w:color="auto"/>
              <w:right w:val="single" w:sz="4" w:space="0" w:color="auto"/>
            </w:tcBorders>
            <w:shd w:val="clear" w:color="auto" w:fill="auto"/>
            <w:noWrap/>
            <w:vAlign w:val="bottom"/>
            <w:hideMark/>
          </w:tcPr>
          <w:p w14:paraId="7E220B7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1260" w:type="dxa"/>
            <w:tcBorders>
              <w:top w:val="nil"/>
              <w:left w:val="nil"/>
              <w:bottom w:val="single" w:sz="4" w:space="0" w:color="auto"/>
              <w:right w:val="single" w:sz="4" w:space="0" w:color="auto"/>
            </w:tcBorders>
            <w:shd w:val="clear" w:color="auto" w:fill="auto"/>
            <w:noWrap/>
            <w:vAlign w:val="bottom"/>
            <w:hideMark/>
          </w:tcPr>
          <w:p w14:paraId="7B1DB4DB"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c>
          <w:tcPr>
            <w:tcW w:w="1391" w:type="dxa"/>
            <w:tcBorders>
              <w:top w:val="nil"/>
              <w:left w:val="nil"/>
              <w:bottom w:val="single" w:sz="4" w:space="0" w:color="auto"/>
              <w:right w:val="single" w:sz="4" w:space="0" w:color="auto"/>
            </w:tcBorders>
            <w:shd w:val="clear" w:color="auto" w:fill="auto"/>
            <w:noWrap/>
            <w:vAlign w:val="bottom"/>
            <w:hideMark/>
          </w:tcPr>
          <w:p w14:paraId="3DB0286D"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r>
      <w:tr w:rsidR="0014595D" w:rsidRPr="0014595D" w14:paraId="0F7C00F9"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1B69F951"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4B8E4635" w14:textId="77777777" w:rsidR="0014595D" w:rsidRPr="0014595D" w:rsidRDefault="0014595D" w:rsidP="00C42FC4">
            <w:pPr>
              <w:keepNext/>
              <w:rPr>
                <w:rFonts w:cs="Calibri"/>
                <w:color w:val="000000"/>
                <w:sz w:val="22"/>
                <w:szCs w:val="22"/>
              </w:rPr>
            </w:pPr>
            <w:r w:rsidRPr="0014595D">
              <w:rPr>
                <w:rFonts w:cs="Calibri"/>
                <w:color w:val="000000"/>
                <w:sz w:val="22"/>
                <w:szCs w:val="22"/>
              </w:rPr>
              <w:t>Non-Matching Cool Days</w:t>
            </w:r>
          </w:p>
        </w:tc>
        <w:tc>
          <w:tcPr>
            <w:tcW w:w="810" w:type="dxa"/>
            <w:tcBorders>
              <w:top w:val="nil"/>
              <w:left w:val="nil"/>
              <w:bottom w:val="single" w:sz="4" w:space="0" w:color="auto"/>
              <w:right w:val="single" w:sz="4" w:space="0" w:color="auto"/>
            </w:tcBorders>
            <w:shd w:val="clear" w:color="auto" w:fill="auto"/>
            <w:noWrap/>
            <w:vAlign w:val="bottom"/>
            <w:hideMark/>
          </w:tcPr>
          <w:p w14:paraId="2C28386C"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1.1%</w:t>
            </w:r>
          </w:p>
        </w:tc>
        <w:tc>
          <w:tcPr>
            <w:tcW w:w="900" w:type="dxa"/>
            <w:tcBorders>
              <w:top w:val="nil"/>
              <w:left w:val="nil"/>
              <w:bottom w:val="single" w:sz="4" w:space="0" w:color="auto"/>
              <w:right w:val="single" w:sz="4" w:space="0" w:color="auto"/>
            </w:tcBorders>
            <w:shd w:val="clear" w:color="auto" w:fill="auto"/>
            <w:noWrap/>
            <w:vAlign w:val="bottom"/>
            <w:hideMark/>
          </w:tcPr>
          <w:p w14:paraId="1E09408F"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1.1%</w:t>
            </w:r>
          </w:p>
        </w:tc>
        <w:tc>
          <w:tcPr>
            <w:tcW w:w="1260" w:type="dxa"/>
            <w:tcBorders>
              <w:top w:val="nil"/>
              <w:left w:val="nil"/>
              <w:bottom w:val="single" w:sz="4" w:space="0" w:color="auto"/>
              <w:right w:val="single" w:sz="4" w:space="0" w:color="auto"/>
            </w:tcBorders>
            <w:shd w:val="clear" w:color="auto" w:fill="auto"/>
            <w:noWrap/>
            <w:vAlign w:val="bottom"/>
            <w:hideMark/>
          </w:tcPr>
          <w:p w14:paraId="63FE5FB3"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2.0%</w:t>
            </w:r>
          </w:p>
        </w:tc>
        <w:tc>
          <w:tcPr>
            <w:tcW w:w="1391" w:type="dxa"/>
            <w:tcBorders>
              <w:top w:val="nil"/>
              <w:left w:val="nil"/>
              <w:bottom w:val="single" w:sz="4" w:space="0" w:color="auto"/>
              <w:right w:val="single" w:sz="4" w:space="0" w:color="auto"/>
            </w:tcBorders>
            <w:shd w:val="clear" w:color="auto" w:fill="auto"/>
            <w:noWrap/>
            <w:vAlign w:val="bottom"/>
            <w:hideMark/>
          </w:tcPr>
          <w:p w14:paraId="30AA473F"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2.0%</w:t>
            </w:r>
          </w:p>
        </w:tc>
      </w:tr>
      <w:tr w:rsidR="0014595D" w:rsidRPr="0014595D" w14:paraId="58DC3FF6" w14:textId="77777777" w:rsidTr="003E0B58">
        <w:trPr>
          <w:trHeight w:val="300"/>
          <w:jc w:val="center"/>
        </w:trPr>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3E1611" w14:textId="77777777" w:rsidR="0014595D" w:rsidRPr="0014595D" w:rsidRDefault="0014595D" w:rsidP="00C42FC4">
            <w:pPr>
              <w:keepNext/>
              <w:jc w:val="center"/>
              <w:rPr>
                <w:rFonts w:cs="Calibri"/>
                <w:color w:val="000000"/>
                <w:sz w:val="22"/>
                <w:szCs w:val="22"/>
              </w:rPr>
            </w:pPr>
            <w:r w:rsidRPr="0014595D">
              <w:rPr>
                <w:rFonts w:cs="Calibri"/>
                <w:color w:val="000000"/>
                <w:sz w:val="22"/>
                <w:szCs w:val="22"/>
              </w:rPr>
              <w:t>PGST</w:t>
            </w:r>
          </w:p>
        </w:tc>
        <w:tc>
          <w:tcPr>
            <w:tcW w:w="2501" w:type="dxa"/>
            <w:tcBorders>
              <w:top w:val="nil"/>
              <w:left w:val="nil"/>
              <w:bottom w:val="single" w:sz="4" w:space="0" w:color="auto"/>
              <w:right w:val="single" w:sz="4" w:space="0" w:color="auto"/>
            </w:tcBorders>
            <w:shd w:val="clear" w:color="auto" w:fill="auto"/>
            <w:noWrap/>
            <w:vAlign w:val="center"/>
            <w:hideMark/>
          </w:tcPr>
          <w:p w14:paraId="1FE15A34" w14:textId="77777777" w:rsidR="0014595D" w:rsidRPr="0014595D" w:rsidRDefault="0014595D" w:rsidP="00C42FC4">
            <w:pPr>
              <w:keepNext/>
              <w:rPr>
                <w:rFonts w:cs="Calibri"/>
                <w:color w:val="000000"/>
                <w:sz w:val="22"/>
                <w:szCs w:val="22"/>
              </w:rPr>
            </w:pPr>
            <w:r w:rsidRPr="0014595D">
              <w:rPr>
                <w:rFonts w:cs="Calibri"/>
                <w:color w:val="000000"/>
                <w:sz w:val="22"/>
                <w:szCs w:val="22"/>
              </w:rPr>
              <w:t>Hot Days</w:t>
            </w:r>
          </w:p>
        </w:tc>
        <w:tc>
          <w:tcPr>
            <w:tcW w:w="810" w:type="dxa"/>
            <w:tcBorders>
              <w:top w:val="nil"/>
              <w:left w:val="nil"/>
              <w:bottom w:val="single" w:sz="4" w:space="0" w:color="auto"/>
              <w:right w:val="single" w:sz="4" w:space="0" w:color="auto"/>
            </w:tcBorders>
            <w:shd w:val="clear" w:color="auto" w:fill="auto"/>
            <w:noWrap/>
            <w:vAlign w:val="bottom"/>
            <w:hideMark/>
          </w:tcPr>
          <w:p w14:paraId="234E301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900" w:type="dxa"/>
            <w:tcBorders>
              <w:top w:val="nil"/>
              <w:left w:val="nil"/>
              <w:bottom w:val="single" w:sz="4" w:space="0" w:color="auto"/>
              <w:right w:val="single" w:sz="4" w:space="0" w:color="auto"/>
            </w:tcBorders>
            <w:shd w:val="clear" w:color="auto" w:fill="auto"/>
            <w:noWrap/>
            <w:vAlign w:val="bottom"/>
            <w:hideMark/>
          </w:tcPr>
          <w:p w14:paraId="0996D857"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0.7%</w:t>
            </w:r>
          </w:p>
        </w:tc>
        <w:tc>
          <w:tcPr>
            <w:tcW w:w="1260" w:type="dxa"/>
            <w:tcBorders>
              <w:top w:val="nil"/>
              <w:left w:val="nil"/>
              <w:bottom w:val="single" w:sz="4" w:space="0" w:color="auto"/>
              <w:right w:val="single" w:sz="4" w:space="0" w:color="auto"/>
            </w:tcBorders>
            <w:shd w:val="clear" w:color="auto" w:fill="auto"/>
            <w:noWrap/>
            <w:vAlign w:val="bottom"/>
            <w:hideMark/>
          </w:tcPr>
          <w:p w14:paraId="7AF6451D"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-0.1%</w:t>
            </w:r>
          </w:p>
        </w:tc>
        <w:tc>
          <w:tcPr>
            <w:tcW w:w="1391" w:type="dxa"/>
            <w:tcBorders>
              <w:top w:val="nil"/>
              <w:left w:val="nil"/>
              <w:bottom w:val="single" w:sz="4" w:space="0" w:color="auto"/>
              <w:right w:val="single" w:sz="4" w:space="0" w:color="auto"/>
            </w:tcBorders>
            <w:shd w:val="clear" w:color="auto" w:fill="auto"/>
            <w:noWrap/>
            <w:vAlign w:val="bottom"/>
            <w:hideMark/>
          </w:tcPr>
          <w:p w14:paraId="54C65CA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0.1%</w:t>
            </w:r>
          </w:p>
        </w:tc>
      </w:tr>
      <w:tr w:rsidR="0014595D" w:rsidRPr="0014595D" w14:paraId="1487EF6F"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148EB868"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424520CF" w14:textId="77777777" w:rsidR="0014595D" w:rsidRPr="0014595D" w:rsidRDefault="0014595D" w:rsidP="00C42FC4">
            <w:pPr>
              <w:keepNext/>
              <w:rPr>
                <w:rFonts w:cs="Calibri"/>
                <w:color w:val="000000"/>
                <w:sz w:val="22"/>
                <w:szCs w:val="22"/>
              </w:rPr>
            </w:pPr>
            <w:r w:rsidRPr="0014595D">
              <w:rPr>
                <w:rFonts w:cs="Calibri"/>
                <w:color w:val="000000"/>
                <w:sz w:val="22"/>
                <w:szCs w:val="22"/>
              </w:rPr>
              <w:t>Cool Days</w:t>
            </w:r>
          </w:p>
        </w:tc>
        <w:tc>
          <w:tcPr>
            <w:tcW w:w="810" w:type="dxa"/>
            <w:tcBorders>
              <w:top w:val="nil"/>
              <w:left w:val="nil"/>
              <w:bottom w:val="single" w:sz="4" w:space="0" w:color="auto"/>
              <w:right w:val="single" w:sz="4" w:space="0" w:color="auto"/>
            </w:tcBorders>
            <w:shd w:val="clear" w:color="auto" w:fill="auto"/>
            <w:noWrap/>
            <w:vAlign w:val="bottom"/>
            <w:hideMark/>
          </w:tcPr>
          <w:p w14:paraId="7108736C"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-1.5%</w:t>
            </w:r>
          </w:p>
        </w:tc>
        <w:tc>
          <w:tcPr>
            <w:tcW w:w="900" w:type="dxa"/>
            <w:tcBorders>
              <w:top w:val="nil"/>
              <w:left w:val="nil"/>
              <w:bottom w:val="single" w:sz="4" w:space="0" w:color="auto"/>
              <w:right w:val="single" w:sz="4" w:space="0" w:color="auto"/>
            </w:tcBorders>
            <w:shd w:val="clear" w:color="auto" w:fill="auto"/>
            <w:noWrap/>
            <w:vAlign w:val="bottom"/>
            <w:hideMark/>
          </w:tcPr>
          <w:p w14:paraId="6C40E859"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1.5%</w:t>
            </w:r>
          </w:p>
        </w:tc>
        <w:tc>
          <w:tcPr>
            <w:tcW w:w="1260" w:type="dxa"/>
            <w:tcBorders>
              <w:top w:val="nil"/>
              <w:left w:val="nil"/>
              <w:bottom w:val="single" w:sz="4" w:space="0" w:color="auto"/>
              <w:right w:val="single" w:sz="4" w:space="0" w:color="auto"/>
            </w:tcBorders>
            <w:shd w:val="clear" w:color="auto" w:fill="auto"/>
            <w:noWrap/>
            <w:vAlign w:val="bottom"/>
            <w:hideMark/>
          </w:tcPr>
          <w:p w14:paraId="111E90C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-0.3%</w:t>
            </w:r>
          </w:p>
        </w:tc>
        <w:tc>
          <w:tcPr>
            <w:tcW w:w="1391" w:type="dxa"/>
            <w:tcBorders>
              <w:top w:val="nil"/>
              <w:left w:val="nil"/>
              <w:bottom w:val="single" w:sz="4" w:space="0" w:color="auto"/>
              <w:right w:val="single" w:sz="4" w:space="0" w:color="auto"/>
            </w:tcBorders>
            <w:shd w:val="clear" w:color="auto" w:fill="auto"/>
            <w:noWrap/>
            <w:vAlign w:val="bottom"/>
            <w:hideMark/>
          </w:tcPr>
          <w:p w14:paraId="5CA3D75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0.3%</w:t>
            </w:r>
          </w:p>
        </w:tc>
      </w:tr>
      <w:tr w:rsidR="0014595D" w:rsidRPr="0014595D" w14:paraId="423803E5"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3DF920DC"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196E5FDB" w14:textId="77777777" w:rsidR="0014595D" w:rsidRPr="0014595D" w:rsidRDefault="0014595D" w:rsidP="00C42FC4">
            <w:pPr>
              <w:keepNext/>
              <w:rPr>
                <w:rFonts w:cs="Calibri"/>
                <w:color w:val="000000"/>
                <w:sz w:val="22"/>
                <w:szCs w:val="22"/>
              </w:rPr>
            </w:pPr>
            <w:r w:rsidRPr="0014595D">
              <w:rPr>
                <w:rFonts w:cs="Calibri"/>
                <w:color w:val="000000"/>
                <w:sz w:val="22"/>
                <w:szCs w:val="22"/>
              </w:rPr>
              <w:t>Non-Matching Cool Days</w:t>
            </w:r>
          </w:p>
        </w:tc>
        <w:tc>
          <w:tcPr>
            <w:tcW w:w="810" w:type="dxa"/>
            <w:tcBorders>
              <w:top w:val="nil"/>
              <w:left w:val="nil"/>
              <w:bottom w:val="single" w:sz="4" w:space="0" w:color="auto"/>
              <w:right w:val="single" w:sz="4" w:space="0" w:color="auto"/>
            </w:tcBorders>
            <w:shd w:val="clear" w:color="auto" w:fill="auto"/>
            <w:noWrap/>
            <w:vAlign w:val="bottom"/>
            <w:hideMark/>
          </w:tcPr>
          <w:p w14:paraId="3A60166C"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c>
          <w:tcPr>
            <w:tcW w:w="900" w:type="dxa"/>
            <w:tcBorders>
              <w:top w:val="nil"/>
              <w:left w:val="nil"/>
              <w:bottom w:val="single" w:sz="4" w:space="0" w:color="auto"/>
              <w:right w:val="single" w:sz="4" w:space="0" w:color="auto"/>
            </w:tcBorders>
            <w:shd w:val="clear" w:color="auto" w:fill="auto"/>
            <w:noWrap/>
            <w:vAlign w:val="bottom"/>
            <w:hideMark/>
          </w:tcPr>
          <w:p w14:paraId="1348FA1D"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0.8%</w:t>
            </w:r>
          </w:p>
        </w:tc>
        <w:tc>
          <w:tcPr>
            <w:tcW w:w="1260" w:type="dxa"/>
            <w:tcBorders>
              <w:top w:val="nil"/>
              <w:left w:val="nil"/>
              <w:bottom w:val="single" w:sz="4" w:space="0" w:color="auto"/>
              <w:right w:val="single" w:sz="4" w:space="0" w:color="auto"/>
            </w:tcBorders>
            <w:shd w:val="clear" w:color="auto" w:fill="auto"/>
            <w:noWrap/>
            <w:vAlign w:val="bottom"/>
            <w:hideMark/>
          </w:tcPr>
          <w:p w14:paraId="71AFEBF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0.9%</w:t>
            </w:r>
          </w:p>
        </w:tc>
        <w:tc>
          <w:tcPr>
            <w:tcW w:w="1391" w:type="dxa"/>
            <w:tcBorders>
              <w:top w:val="nil"/>
              <w:left w:val="nil"/>
              <w:bottom w:val="single" w:sz="4" w:space="0" w:color="auto"/>
              <w:right w:val="single" w:sz="4" w:space="0" w:color="auto"/>
            </w:tcBorders>
            <w:shd w:val="clear" w:color="auto" w:fill="auto"/>
            <w:noWrap/>
            <w:vAlign w:val="bottom"/>
            <w:hideMark/>
          </w:tcPr>
          <w:p w14:paraId="04FB92B6"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0.9%</w:t>
            </w:r>
          </w:p>
        </w:tc>
      </w:tr>
      <w:tr w:rsidR="0014595D" w:rsidRPr="0014595D" w14:paraId="6883EBEF" w14:textId="77777777" w:rsidTr="003E0B58">
        <w:trPr>
          <w:trHeight w:val="300"/>
          <w:jc w:val="center"/>
        </w:trPr>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FA2F5F" w14:textId="77777777" w:rsidR="0014595D" w:rsidRPr="0014595D" w:rsidRDefault="0014595D" w:rsidP="00C42FC4">
            <w:pPr>
              <w:keepNext/>
              <w:jc w:val="center"/>
              <w:rPr>
                <w:rFonts w:cs="Calibri"/>
                <w:color w:val="000000"/>
                <w:sz w:val="22"/>
                <w:szCs w:val="22"/>
              </w:rPr>
            </w:pPr>
            <w:r w:rsidRPr="0014595D">
              <w:rPr>
                <w:rFonts w:cs="Calibri"/>
                <w:color w:val="000000"/>
                <w:sz w:val="22"/>
                <w:szCs w:val="22"/>
              </w:rPr>
              <w:t>PGZP</w:t>
            </w:r>
          </w:p>
        </w:tc>
        <w:tc>
          <w:tcPr>
            <w:tcW w:w="2501" w:type="dxa"/>
            <w:tcBorders>
              <w:top w:val="nil"/>
              <w:left w:val="nil"/>
              <w:bottom w:val="single" w:sz="4" w:space="0" w:color="auto"/>
              <w:right w:val="single" w:sz="4" w:space="0" w:color="auto"/>
            </w:tcBorders>
            <w:shd w:val="clear" w:color="auto" w:fill="auto"/>
            <w:noWrap/>
            <w:vAlign w:val="center"/>
            <w:hideMark/>
          </w:tcPr>
          <w:p w14:paraId="0DF83EC9" w14:textId="77777777" w:rsidR="0014595D" w:rsidRPr="0014595D" w:rsidRDefault="0014595D" w:rsidP="00C42FC4">
            <w:pPr>
              <w:keepNext/>
              <w:rPr>
                <w:rFonts w:cs="Calibri"/>
                <w:color w:val="000000"/>
                <w:sz w:val="22"/>
                <w:szCs w:val="22"/>
              </w:rPr>
            </w:pPr>
            <w:r w:rsidRPr="0014595D">
              <w:rPr>
                <w:rFonts w:cs="Calibri"/>
                <w:color w:val="000000"/>
                <w:sz w:val="22"/>
                <w:szCs w:val="22"/>
              </w:rPr>
              <w:t>Hot Days</w:t>
            </w:r>
          </w:p>
        </w:tc>
        <w:tc>
          <w:tcPr>
            <w:tcW w:w="810" w:type="dxa"/>
            <w:tcBorders>
              <w:top w:val="nil"/>
              <w:left w:val="nil"/>
              <w:bottom w:val="single" w:sz="4" w:space="0" w:color="auto"/>
              <w:right w:val="single" w:sz="4" w:space="0" w:color="auto"/>
            </w:tcBorders>
            <w:shd w:val="clear" w:color="auto" w:fill="auto"/>
            <w:noWrap/>
            <w:vAlign w:val="bottom"/>
            <w:hideMark/>
          </w:tcPr>
          <w:p w14:paraId="078D4E75"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c>
          <w:tcPr>
            <w:tcW w:w="900" w:type="dxa"/>
            <w:tcBorders>
              <w:top w:val="nil"/>
              <w:left w:val="nil"/>
              <w:bottom w:val="single" w:sz="4" w:space="0" w:color="auto"/>
              <w:right w:val="single" w:sz="4" w:space="0" w:color="auto"/>
            </w:tcBorders>
            <w:shd w:val="clear" w:color="auto" w:fill="auto"/>
            <w:noWrap/>
            <w:vAlign w:val="bottom"/>
            <w:hideMark/>
          </w:tcPr>
          <w:p w14:paraId="5307A323"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70A5E3D"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2.1%</w:t>
            </w:r>
          </w:p>
        </w:tc>
        <w:tc>
          <w:tcPr>
            <w:tcW w:w="1391" w:type="dxa"/>
            <w:tcBorders>
              <w:top w:val="nil"/>
              <w:left w:val="nil"/>
              <w:bottom w:val="single" w:sz="4" w:space="0" w:color="auto"/>
              <w:right w:val="single" w:sz="4" w:space="0" w:color="auto"/>
            </w:tcBorders>
            <w:shd w:val="clear" w:color="auto" w:fill="auto"/>
            <w:noWrap/>
            <w:vAlign w:val="bottom"/>
            <w:hideMark/>
          </w:tcPr>
          <w:p w14:paraId="13CE32EA"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2.1%</w:t>
            </w:r>
          </w:p>
        </w:tc>
      </w:tr>
      <w:tr w:rsidR="0014595D" w:rsidRPr="0014595D" w14:paraId="2D5B5377"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27FF211E" w14:textId="77777777" w:rsidR="0014595D" w:rsidRPr="0014595D" w:rsidRDefault="0014595D" w:rsidP="00C42FC4">
            <w:pPr>
              <w:keepNext/>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01A647F4" w14:textId="77777777" w:rsidR="0014595D" w:rsidRPr="0014595D" w:rsidRDefault="0014595D" w:rsidP="00C42FC4">
            <w:pPr>
              <w:keepNext/>
              <w:rPr>
                <w:rFonts w:cs="Calibri"/>
                <w:color w:val="000000"/>
                <w:sz w:val="22"/>
                <w:szCs w:val="22"/>
              </w:rPr>
            </w:pPr>
            <w:r w:rsidRPr="0014595D">
              <w:rPr>
                <w:rFonts w:cs="Calibri"/>
                <w:color w:val="000000"/>
                <w:sz w:val="22"/>
                <w:szCs w:val="22"/>
              </w:rPr>
              <w:t>Cool Days</w:t>
            </w:r>
          </w:p>
        </w:tc>
        <w:tc>
          <w:tcPr>
            <w:tcW w:w="810" w:type="dxa"/>
            <w:tcBorders>
              <w:top w:val="nil"/>
              <w:left w:val="nil"/>
              <w:bottom w:val="single" w:sz="4" w:space="0" w:color="auto"/>
              <w:right w:val="single" w:sz="4" w:space="0" w:color="auto"/>
            </w:tcBorders>
            <w:shd w:val="clear" w:color="auto" w:fill="auto"/>
            <w:noWrap/>
            <w:vAlign w:val="bottom"/>
            <w:hideMark/>
          </w:tcPr>
          <w:p w14:paraId="63231D2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-0.3%</w:t>
            </w:r>
          </w:p>
        </w:tc>
        <w:tc>
          <w:tcPr>
            <w:tcW w:w="900" w:type="dxa"/>
            <w:tcBorders>
              <w:top w:val="nil"/>
              <w:left w:val="nil"/>
              <w:bottom w:val="single" w:sz="4" w:space="0" w:color="auto"/>
              <w:right w:val="single" w:sz="4" w:space="0" w:color="auto"/>
            </w:tcBorders>
            <w:shd w:val="clear" w:color="auto" w:fill="auto"/>
            <w:noWrap/>
            <w:vAlign w:val="bottom"/>
            <w:hideMark/>
          </w:tcPr>
          <w:p w14:paraId="55214B63"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0.3%</w:t>
            </w:r>
          </w:p>
        </w:tc>
        <w:tc>
          <w:tcPr>
            <w:tcW w:w="1260" w:type="dxa"/>
            <w:tcBorders>
              <w:top w:val="nil"/>
              <w:left w:val="nil"/>
              <w:bottom w:val="single" w:sz="4" w:space="0" w:color="auto"/>
              <w:right w:val="single" w:sz="4" w:space="0" w:color="auto"/>
            </w:tcBorders>
            <w:shd w:val="clear" w:color="auto" w:fill="auto"/>
            <w:noWrap/>
            <w:vAlign w:val="bottom"/>
            <w:hideMark/>
          </w:tcPr>
          <w:p w14:paraId="7955F672"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0.1%</w:t>
            </w:r>
          </w:p>
        </w:tc>
        <w:tc>
          <w:tcPr>
            <w:tcW w:w="1391" w:type="dxa"/>
            <w:tcBorders>
              <w:top w:val="nil"/>
              <w:left w:val="nil"/>
              <w:bottom w:val="single" w:sz="4" w:space="0" w:color="auto"/>
              <w:right w:val="single" w:sz="4" w:space="0" w:color="auto"/>
            </w:tcBorders>
            <w:shd w:val="clear" w:color="auto" w:fill="auto"/>
            <w:noWrap/>
            <w:vAlign w:val="bottom"/>
            <w:hideMark/>
          </w:tcPr>
          <w:p w14:paraId="71DC5950" w14:textId="77777777" w:rsidR="0014595D" w:rsidRPr="0014595D" w:rsidRDefault="0014595D" w:rsidP="00C42FC4">
            <w:pPr>
              <w:keepNext/>
              <w:jc w:val="right"/>
              <w:rPr>
                <w:rFonts w:cs="Calibri"/>
                <w:color w:val="000000"/>
                <w:sz w:val="22"/>
                <w:szCs w:val="22"/>
              </w:rPr>
            </w:pPr>
            <w:r w:rsidRPr="0014595D">
              <w:rPr>
                <w:rFonts w:cs="Calibri"/>
                <w:color w:val="000000"/>
                <w:sz w:val="22"/>
                <w:szCs w:val="22"/>
              </w:rPr>
              <w:t>0.1%</w:t>
            </w:r>
          </w:p>
        </w:tc>
      </w:tr>
      <w:tr w:rsidR="0014595D" w:rsidRPr="0014595D" w14:paraId="762CC81C" w14:textId="77777777" w:rsidTr="003E0B58">
        <w:trPr>
          <w:trHeight w:val="300"/>
          <w:jc w:val="center"/>
        </w:trPr>
        <w:tc>
          <w:tcPr>
            <w:tcW w:w="1189" w:type="dxa"/>
            <w:vMerge/>
            <w:tcBorders>
              <w:top w:val="nil"/>
              <w:left w:val="single" w:sz="4" w:space="0" w:color="auto"/>
              <w:bottom w:val="single" w:sz="4" w:space="0" w:color="000000"/>
              <w:right w:val="single" w:sz="4" w:space="0" w:color="auto"/>
            </w:tcBorders>
            <w:vAlign w:val="center"/>
            <w:hideMark/>
          </w:tcPr>
          <w:p w14:paraId="239DCA62" w14:textId="77777777" w:rsidR="0014595D" w:rsidRPr="0014595D" w:rsidRDefault="0014595D" w:rsidP="0014595D">
            <w:pPr>
              <w:rPr>
                <w:rFonts w:cs="Calibri"/>
                <w:color w:val="000000"/>
                <w:sz w:val="22"/>
                <w:szCs w:val="22"/>
              </w:rPr>
            </w:pPr>
          </w:p>
        </w:tc>
        <w:tc>
          <w:tcPr>
            <w:tcW w:w="2501" w:type="dxa"/>
            <w:tcBorders>
              <w:top w:val="nil"/>
              <w:left w:val="nil"/>
              <w:bottom w:val="single" w:sz="4" w:space="0" w:color="auto"/>
              <w:right w:val="single" w:sz="4" w:space="0" w:color="auto"/>
            </w:tcBorders>
            <w:shd w:val="clear" w:color="auto" w:fill="auto"/>
            <w:noWrap/>
            <w:vAlign w:val="center"/>
            <w:hideMark/>
          </w:tcPr>
          <w:p w14:paraId="7769D662" w14:textId="77777777" w:rsidR="0014595D" w:rsidRPr="0014595D" w:rsidRDefault="0014595D" w:rsidP="0014595D">
            <w:pPr>
              <w:rPr>
                <w:rFonts w:cs="Calibri"/>
                <w:color w:val="000000"/>
                <w:sz w:val="22"/>
                <w:szCs w:val="22"/>
              </w:rPr>
            </w:pPr>
            <w:r w:rsidRPr="0014595D">
              <w:rPr>
                <w:rFonts w:cs="Calibri"/>
                <w:color w:val="000000"/>
                <w:sz w:val="22"/>
                <w:szCs w:val="22"/>
              </w:rPr>
              <w:t>Non-Matching Cool Days</w:t>
            </w:r>
          </w:p>
        </w:tc>
        <w:tc>
          <w:tcPr>
            <w:tcW w:w="810" w:type="dxa"/>
            <w:tcBorders>
              <w:top w:val="nil"/>
              <w:left w:val="nil"/>
              <w:bottom w:val="single" w:sz="4" w:space="0" w:color="auto"/>
              <w:right w:val="single" w:sz="4" w:space="0" w:color="auto"/>
            </w:tcBorders>
            <w:shd w:val="clear" w:color="auto" w:fill="auto"/>
            <w:noWrap/>
            <w:vAlign w:val="bottom"/>
            <w:hideMark/>
          </w:tcPr>
          <w:p w14:paraId="32526410" w14:textId="77777777" w:rsidR="0014595D" w:rsidRPr="0014595D" w:rsidRDefault="0014595D" w:rsidP="0014595D">
            <w:pPr>
              <w:jc w:val="right"/>
              <w:rPr>
                <w:rFonts w:cs="Calibri"/>
                <w:color w:val="000000"/>
                <w:sz w:val="22"/>
                <w:szCs w:val="22"/>
              </w:rPr>
            </w:pPr>
            <w:r w:rsidRPr="0014595D">
              <w:rPr>
                <w:rFonts w:cs="Calibri"/>
                <w:color w:val="000000"/>
                <w:sz w:val="22"/>
                <w:szCs w:val="22"/>
              </w:rPr>
              <w:t>-0.1%</w:t>
            </w:r>
          </w:p>
        </w:tc>
        <w:tc>
          <w:tcPr>
            <w:tcW w:w="900" w:type="dxa"/>
            <w:tcBorders>
              <w:top w:val="nil"/>
              <w:left w:val="nil"/>
              <w:bottom w:val="single" w:sz="4" w:space="0" w:color="auto"/>
              <w:right w:val="single" w:sz="4" w:space="0" w:color="auto"/>
            </w:tcBorders>
            <w:shd w:val="clear" w:color="auto" w:fill="auto"/>
            <w:noWrap/>
            <w:vAlign w:val="bottom"/>
            <w:hideMark/>
          </w:tcPr>
          <w:p w14:paraId="1DD59A66" w14:textId="77777777" w:rsidR="0014595D" w:rsidRPr="0014595D" w:rsidRDefault="0014595D" w:rsidP="0014595D">
            <w:pPr>
              <w:jc w:val="right"/>
              <w:rPr>
                <w:rFonts w:cs="Calibri"/>
                <w:color w:val="000000"/>
                <w:sz w:val="22"/>
                <w:szCs w:val="22"/>
              </w:rPr>
            </w:pPr>
            <w:r w:rsidRPr="0014595D">
              <w:rPr>
                <w:rFonts w:cs="Calibri"/>
                <w:color w:val="000000"/>
                <w:sz w:val="22"/>
                <w:szCs w:val="22"/>
              </w:rPr>
              <w:t>0.1%</w:t>
            </w:r>
          </w:p>
        </w:tc>
        <w:tc>
          <w:tcPr>
            <w:tcW w:w="1260" w:type="dxa"/>
            <w:tcBorders>
              <w:top w:val="nil"/>
              <w:left w:val="nil"/>
              <w:bottom w:val="single" w:sz="4" w:space="0" w:color="auto"/>
              <w:right w:val="single" w:sz="4" w:space="0" w:color="auto"/>
            </w:tcBorders>
            <w:shd w:val="clear" w:color="auto" w:fill="auto"/>
            <w:noWrap/>
            <w:vAlign w:val="bottom"/>
            <w:hideMark/>
          </w:tcPr>
          <w:p w14:paraId="2690F3B4" w14:textId="77777777" w:rsidR="0014595D" w:rsidRPr="0014595D" w:rsidRDefault="0014595D" w:rsidP="0014595D">
            <w:pPr>
              <w:jc w:val="right"/>
              <w:rPr>
                <w:rFonts w:cs="Calibri"/>
                <w:color w:val="000000"/>
                <w:sz w:val="22"/>
                <w:szCs w:val="22"/>
              </w:rPr>
            </w:pPr>
            <w:r w:rsidRPr="0014595D">
              <w:rPr>
                <w:rFonts w:cs="Calibri"/>
                <w:color w:val="000000"/>
                <w:sz w:val="22"/>
                <w:szCs w:val="22"/>
              </w:rPr>
              <w:t>0.4%</w:t>
            </w:r>
          </w:p>
        </w:tc>
        <w:tc>
          <w:tcPr>
            <w:tcW w:w="1391" w:type="dxa"/>
            <w:tcBorders>
              <w:top w:val="nil"/>
              <w:left w:val="nil"/>
              <w:bottom w:val="single" w:sz="4" w:space="0" w:color="auto"/>
              <w:right w:val="single" w:sz="4" w:space="0" w:color="auto"/>
            </w:tcBorders>
            <w:shd w:val="clear" w:color="auto" w:fill="auto"/>
            <w:noWrap/>
            <w:vAlign w:val="bottom"/>
            <w:hideMark/>
          </w:tcPr>
          <w:p w14:paraId="21E20028" w14:textId="77777777" w:rsidR="0014595D" w:rsidRPr="0014595D" w:rsidRDefault="0014595D" w:rsidP="0014595D">
            <w:pPr>
              <w:jc w:val="right"/>
              <w:rPr>
                <w:rFonts w:cs="Calibri"/>
                <w:color w:val="000000"/>
                <w:sz w:val="22"/>
                <w:szCs w:val="22"/>
              </w:rPr>
            </w:pPr>
            <w:r w:rsidRPr="0014595D">
              <w:rPr>
                <w:rFonts w:cs="Calibri"/>
                <w:color w:val="000000"/>
                <w:sz w:val="22"/>
                <w:szCs w:val="22"/>
              </w:rPr>
              <w:t>0.4%</w:t>
            </w:r>
          </w:p>
        </w:tc>
      </w:tr>
    </w:tbl>
    <w:p w14:paraId="711776C6" w14:textId="2DDEC533" w:rsidR="00E8428B" w:rsidRDefault="00E8428B" w:rsidP="00E8428B">
      <w:pPr>
        <w:pStyle w:val="Heading2"/>
        <w:numPr>
          <w:ilvl w:val="0"/>
          <w:numId w:val="0"/>
        </w:numPr>
        <w:spacing w:before="0" w:afterLines="120" w:after="288"/>
      </w:pPr>
      <w:bookmarkStart w:id="186" w:name="_Toc2253861"/>
      <w:bookmarkStart w:id="187" w:name="_Toc4578170"/>
      <w:r>
        <w:t>Appendix B. Additional Ex-Ante Results</w:t>
      </w:r>
      <w:bookmarkEnd w:id="186"/>
      <w:bookmarkEnd w:id="187"/>
    </w:p>
    <w:p w14:paraId="7664CEF1" w14:textId="115071BA" w:rsidR="00E8428B" w:rsidRPr="00346D78" w:rsidRDefault="00E8428B" w:rsidP="00E8428B">
      <w:pPr>
        <w:spacing w:afterLines="120" w:after="288"/>
        <w:rPr>
          <w:b/>
        </w:rPr>
      </w:pPr>
      <w:r w:rsidRPr="004C54C7">
        <w:rPr>
          <w:b/>
        </w:rPr>
        <w:t xml:space="preserve">Previous vs Current </w:t>
      </w:r>
      <w:r w:rsidRPr="004C54C7">
        <w:rPr>
          <w:b/>
          <w:i/>
        </w:rPr>
        <w:t>Ex-Ante</w:t>
      </w:r>
      <w:r w:rsidRPr="00346D78">
        <w:rPr>
          <w:b/>
        </w:rPr>
        <w:t xml:space="preserve"> Load Impacts</w:t>
      </w:r>
    </w:p>
    <w:p w14:paraId="1463E1D9" w14:textId="35F63EA6" w:rsidR="00E8428B" w:rsidRDefault="00E8428B" w:rsidP="00E8428B">
      <w:pPr>
        <w:spacing w:after="120"/>
      </w:pPr>
      <w:r>
        <w:t xml:space="preserve">Figure B-1 illustrates the </w:t>
      </w:r>
      <w:r w:rsidRPr="00586EB8">
        <w:rPr>
          <w:i/>
        </w:rPr>
        <w:t>ex-ante</w:t>
      </w:r>
      <w:r>
        <w:t xml:space="preserve"> load impacts for a PG&amp;E 1-in-2 scenario corresponding to an August peak load from the previous study and the current study. </w:t>
      </w:r>
      <w:r w:rsidR="00223CD0">
        <w:t xml:space="preserve">To illustrate how the magnitude of per-customer </w:t>
      </w:r>
      <w:r w:rsidR="00223CD0" w:rsidRPr="00223CD0">
        <w:rPr>
          <w:i/>
        </w:rPr>
        <w:t>ex-ante</w:t>
      </w:r>
      <w:r w:rsidR="00223CD0">
        <w:t xml:space="preserve"> load impacts is consistent with the PY2017 forecast, we first present the average load impacts excluding Kern. </w:t>
      </w:r>
      <w:r>
        <w:t>Although the shape</w:t>
      </w:r>
      <w:r w:rsidR="00DE436C">
        <w:t>s</w:t>
      </w:r>
      <w:r>
        <w:t xml:space="preserve"> of the load impacts differ</w:t>
      </w:r>
      <w:r w:rsidR="00223CD0">
        <w:t>,</w:t>
      </w:r>
      <w:r>
        <w:t xml:space="preserve"> the magnitude</w:t>
      </w:r>
      <w:r w:rsidR="00223CD0">
        <w:t>s</w:t>
      </w:r>
      <w:r>
        <w:t xml:space="preserve"> of the peak</w:t>
      </w:r>
      <w:r w:rsidR="00223CD0">
        <w:t>s are identical as well as the magnitudes of the post-event snapback</w:t>
      </w:r>
      <w:r>
        <w:t>. The reason for the different hours over which there is a positive load impact is due to the different RA windows for each forecast. The figure shows the consistency between forecasts across years, despite the change in the RA window.</w:t>
      </w:r>
    </w:p>
    <w:p w14:paraId="56DC03B1" w14:textId="4E2FF1DA" w:rsidR="00E8428B" w:rsidRDefault="00E8428B" w:rsidP="00E8428B">
      <w:pPr>
        <w:pStyle w:val="FigureCaption"/>
      </w:pPr>
      <w:bookmarkStart w:id="188" w:name="_Toc2253895"/>
      <w:bookmarkStart w:id="189" w:name="_Toc4578205"/>
      <w:r>
        <w:t>Figure B-</w:t>
      </w:r>
      <w:r>
        <w:rPr>
          <w:noProof/>
        </w:rPr>
        <w:fldChar w:fldCharType="begin"/>
      </w:r>
      <w:r>
        <w:rPr>
          <w:noProof/>
        </w:rPr>
        <w:instrText xml:space="preserve"> SEQ Figure_B \* ARABIC </w:instrText>
      </w:r>
      <w:r>
        <w:rPr>
          <w:noProof/>
        </w:rPr>
        <w:fldChar w:fldCharType="separate"/>
      </w:r>
      <w:r w:rsidR="00445DF3">
        <w:rPr>
          <w:noProof/>
        </w:rPr>
        <w:t>1</w:t>
      </w:r>
      <w:r>
        <w:rPr>
          <w:noProof/>
        </w:rPr>
        <w:fldChar w:fldCharType="end"/>
      </w:r>
      <w:r>
        <w:t>: Average Load Impacts</w:t>
      </w:r>
      <w:r w:rsidR="00223CD0">
        <w:t xml:space="preserve"> (excluding Kern)</w:t>
      </w:r>
      <w:r>
        <w:t xml:space="preserve"> for a PG&amp;E 1-in-2 August Peak:                         Previous Study vs. Current Study</w:t>
      </w:r>
      <w:bookmarkEnd w:id="188"/>
      <w:bookmarkEnd w:id="189"/>
    </w:p>
    <w:p w14:paraId="1E5A10FF" w14:textId="12B32D72" w:rsidR="00223CD0" w:rsidRDefault="00223CD0" w:rsidP="00F06467">
      <w:pPr>
        <w:keepNext/>
        <w:spacing w:after="120"/>
        <w:jc w:val="center"/>
      </w:pPr>
      <w:r>
        <w:rPr>
          <w:noProof/>
        </w:rPr>
        <w:drawing>
          <wp:inline distT="0" distB="0" distL="0" distR="0" wp14:anchorId="7EE33538" wp14:editId="5D7FAFAB">
            <wp:extent cx="5486400" cy="3982720"/>
            <wp:effectExtent l="0" t="0" r="0" b="0"/>
            <wp:docPr id="9" name="Chart 9">
              <a:extLst xmlns:a="http://schemas.openxmlformats.org/drawingml/2006/main">
                <a:ext uri="{FF2B5EF4-FFF2-40B4-BE49-F238E27FC236}">
                  <a16:creationId xmlns:a16="http://schemas.microsoft.com/office/drawing/2014/main" id="{8F33A02D-FCE8-4C2F-896A-A5736D59E0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A24E3D" w14:textId="77777777" w:rsidR="00DE436C" w:rsidRDefault="00DE436C" w:rsidP="00DE436C"/>
    <w:p w14:paraId="1B50C868" w14:textId="77777777" w:rsidR="00DA4AC2" w:rsidRDefault="00DA4AC2" w:rsidP="00DE436C"/>
    <w:p w14:paraId="750345C0" w14:textId="77777777" w:rsidR="00DA4AC2" w:rsidRDefault="00DA4AC2" w:rsidP="00DE436C"/>
    <w:p w14:paraId="6E9FFD18" w14:textId="77777777" w:rsidR="00DA4AC2" w:rsidRDefault="00DA4AC2" w:rsidP="00DE436C"/>
    <w:p w14:paraId="2347EB3F" w14:textId="77777777" w:rsidR="00DA4AC2" w:rsidRDefault="00DA4AC2" w:rsidP="00DE436C"/>
    <w:p w14:paraId="1E925791" w14:textId="2109F6CD" w:rsidR="00E67E0C" w:rsidRDefault="00DE436C" w:rsidP="00DE436C">
      <w:r>
        <w:t xml:space="preserve">To illustrate the role of the downward adjustment to Kern’s </w:t>
      </w:r>
      <w:r w:rsidRPr="00DE436C">
        <w:rPr>
          <w:i/>
        </w:rPr>
        <w:t>ex-ante</w:t>
      </w:r>
      <w:r>
        <w:t xml:space="preserve"> load impacts, </w:t>
      </w:r>
      <w:r>
        <w:fldChar w:fldCharType="begin"/>
      </w:r>
      <w:r>
        <w:instrText xml:space="preserve"> REF _Ref2863786 \h </w:instrText>
      </w:r>
      <w:r>
        <w:fldChar w:fldCharType="separate"/>
      </w:r>
      <w:r w:rsidR="00445DF3">
        <w:t>Figure B-</w:t>
      </w:r>
      <w:r w:rsidR="00445DF3">
        <w:rPr>
          <w:noProof/>
        </w:rPr>
        <w:t>2</w:t>
      </w:r>
      <w:r>
        <w:fldChar w:fldCharType="end"/>
      </w:r>
      <w:r>
        <w:t xml:space="preserve"> presents the </w:t>
      </w:r>
      <w:r w:rsidRPr="00DE436C">
        <w:rPr>
          <w:i/>
        </w:rPr>
        <w:t>ex-ante</w:t>
      </w:r>
      <w:r>
        <w:t xml:space="preserve"> load impacts for all LCAs. Anticipated dispatch issues in Kern lead to a peak of 0.58 kWh/customer/hour compared to 0.61 kWh/customer/hour in the PY2017 forecast. The post-event snapback in the current forecast is 0.25 kWh/customer/hour compared to 0.27 kWh/customer/hour in the PY2017 forecast.</w:t>
      </w:r>
    </w:p>
    <w:p w14:paraId="3DDBE0AC" w14:textId="6BDC0F1F" w:rsidR="005A10EC" w:rsidRDefault="005A10EC" w:rsidP="00223CD0"/>
    <w:p w14:paraId="743D0115" w14:textId="635F8753" w:rsidR="00223CD0" w:rsidRDefault="00223CD0" w:rsidP="00223CD0"/>
    <w:p w14:paraId="7DF2606B" w14:textId="405E87BE" w:rsidR="00223CD0" w:rsidRDefault="00223CD0" w:rsidP="00223CD0">
      <w:pPr>
        <w:pStyle w:val="FigureCaption"/>
      </w:pPr>
      <w:bookmarkStart w:id="190" w:name="_Ref2863786"/>
      <w:bookmarkStart w:id="191" w:name="_Toc4578206"/>
      <w:r>
        <w:t>Figure B-</w:t>
      </w:r>
      <w:r w:rsidR="0001162E">
        <w:rPr>
          <w:noProof/>
        </w:rPr>
        <w:fldChar w:fldCharType="begin"/>
      </w:r>
      <w:r w:rsidR="0001162E">
        <w:rPr>
          <w:noProof/>
        </w:rPr>
        <w:instrText xml:space="preserve"> SEQ Figure_B \* ARABIC </w:instrText>
      </w:r>
      <w:r w:rsidR="0001162E">
        <w:rPr>
          <w:noProof/>
        </w:rPr>
        <w:fldChar w:fldCharType="separate"/>
      </w:r>
      <w:r w:rsidR="00445DF3">
        <w:rPr>
          <w:noProof/>
        </w:rPr>
        <w:t>2</w:t>
      </w:r>
      <w:r w:rsidR="0001162E">
        <w:rPr>
          <w:noProof/>
        </w:rPr>
        <w:fldChar w:fldCharType="end"/>
      </w:r>
      <w:bookmarkEnd w:id="190"/>
      <w:r>
        <w:t>: Average Load Impacts (all LCAs) for a PG&amp;E 1-in-2 August Peak:                         Previous Study vs. Current Study</w:t>
      </w:r>
      <w:bookmarkEnd w:id="191"/>
    </w:p>
    <w:p w14:paraId="62D76F5D" w14:textId="7E5C728D" w:rsidR="00223CD0" w:rsidRDefault="00223CD0" w:rsidP="00223CD0">
      <w:r>
        <w:rPr>
          <w:noProof/>
        </w:rPr>
        <w:drawing>
          <wp:inline distT="0" distB="0" distL="0" distR="0" wp14:anchorId="3BA38CA0" wp14:editId="7D811E98">
            <wp:extent cx="5486400" cy="3982720"/>
            <wp:effectExtent l="0" t="0" r="0" b="0"/>
            <wp:docPr id="6" name="Chart 6">
              <a:extLst xmlns:a="http://schemas.openxmlformats.org/drawingml/2006/main">
                <a:ext uri="{FF2B5EF4-FFF2-40B4-BE49-F238E27FC236}">
                  <a16:creationId xmlns:a16="http://schemas.microsoft.com/office/drawing/2014/main" id="{C2BB6AA7-4613-415B-8F44-2CC5F4FDE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sectPr w:rsidR="00223CD0" w:rsidSect="000343F7">
      <w:footerReference w:type="defaul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32708" w14:textId="77777777" w:rsidR="00E61BA3" w:rsidRDefault="00E61BA3">
      <w:r>
        <w:separator/>
      </w:r>
    </w:p>
  </w:endnote>
  <w:endnote w:type="continuationSeparator" w:id="0">
    <w:p w14:paraId="145F11E2" w14:textId="77777777" w:rsidR="00E61BA3" w:rsidRDefault="00E61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92F77" w14:textId="77777777" w:rsidR="00E61BA3" w:rsidRDefault="00E61BA3" w:rsidP="000B5A5D">
    <w:pPr>
      <w:pStyle w:val="FootnoteText"/>
      <w:framePr w:wrap="around" w:vAnchor="text" w:hAnchor="margin" w:xAlign="center" w:y="1"/>
      <w:rPr>
        <w:rStyle w:val="FootnoteReference"/>
      </w:rPr>
    </w:pPr>
    <w:r>
      <w:rPr>
        <w:rStyle w:val="FootnoteReference"/>
      </w:rPr>
      <w:fldChar w:fldCharType="begin"/>
    </w:r>
    <w:r>
      <w:rPr>
        <w:rStyle w:val="FootnoteReference"/>
      </w:rPr>
      <w:instrText xml:space="preserve">PAGE  </w:instrText>
    </w:r>
    <w:r>
      <w:rPr>
        <w:rStyle w:val="FootnoteReference"/>
      </w:rPr>
      <w:fldChar w:fldCharType="end"/>
    </w:r>
  </w:p>
  <w:p w14:paraId="6CEEAD03" w14:textId="77777777" w:rsidR="00E61BA3" w:rsidRDefault="00E61BA3">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5FBCE" w14:textId="77777777" w:rsidR="00E61BA3" w:rsidRPr="003601DE" w:rsidRDefault="00E61BA3" w:rsidP="003601DE">
    <w:pPr>
      <w:pStyle w:val="Footer"/>
      <w:rPr>
        <w:rFonts w:ascii="AvantGarde" w:hAnsi="AvantGarde"/>
        <w:sz w:val="20"/>
        <w:szCs w:val="20"/>
      </w:rPr>
    </w:pPr>
    <w:r w:rsidRPr="003601DE">
      <w:rPr>
        <w:rFonts w:ascii="AvantGarde" w:hAnsi="AvantGarde"/>
        <w:sz w:val="20"/>
        <w:szCs w:val="20"/>
      </w:rPr>
      <w:t>Christensen Associates Energy Consulting, LLC</w:t>
    </w:r>
  </w:p>
  <w:p w14:paraId="2C89ECD9" w14:textId="77777777" w:rsidR="00E61BA3" w:rsidRPr="003C0234" w:rsidRDefault="00E61BA3" w:rsidP="003601DE">
    <w:pPr>
      <w:pStyle w:val="Footer"/>
      <w:rPr>
        <w:rFonts w:ascii="AvantGarde" w:hAnsi="AvantGarde"/>
        <w:sz w:val="20"/>
        <w:szCs w:val="20"/>
      </w:rPr>
    </w:pPr>
    <w:smartTag w:uri="urn:schemas-microsoft-com:office:smarttags" w:element="Street">
      <w:smartTag w:uri="urn:schemas-microsoft-com:office:smarttags" w:element="address">
        <w:r w:rsidRPr="003C0234">
          <w:rPr>
            <w:rFonts w:ascii="AvantGarde" w:hAnsi="AvantGarde"/>
            <w:sz w:val="20"/>
            <w:szCs w:val="20"/>
          </w:rPr>
          <w:t>800 University Bay Drive, Suite 400</w:t>
        </w:r>
      </w:smartTag>
    </w:smartTag>
  </w:p>
  <w:p w14:paraId="42500099" w14:textId="77777777" w:rsidR="00E61BA3" w:rsidRPr="003C0234" w:rsidRDefault="00E61BA3" w:rsidP="003601DE">
    <w:pPr>
      <w:pStyle w:val="Footer"/>
      <w:rPr>
        <w:rFonts w:ascii="AvantGarde" w:hAnsi="AvantGarde"/>
        <w:sz w:val="20"/>
        <w:szCs w:val="20"/>
      </w:rPr>
    </w:pPr>
    <w:smartTag w:uri="urn:schemas-microsoft-com:office:smarttags" w:element="place">
      <w:smartTag w:uri="urn:schemas-microsoft-com:office:smarttags" w:element="City">
        <w:r>
          <w:rPr>
            <w:rFonts w:ascii="AvantGarde" w:hAnsi="AvantGarde"/>
            <w:sz w:val="20"/>
            <w:szCs w:val="20"/>
          </w:rPr>
          <w:t>Madison</w:t>
        </w:r>
      </w:smartTag>
      <w:r>
        <w:rPr>
          <w:rFonts w:ascii="AvantGarde" w:hAnsi="AvantGarde"/>
          <w:sz w:val="20"/>
          <w:szCs w:val="20"/>
        </w:rPr>
        <w:t xml:space="preserve">, </w:t>
      </w:r>
      <w:smartTag w:uri="urn:schemas-microsoft-com:office:smarttags" w:element="State">
        <w:r>
          <w:rPr>
            <w:rFonts w:ascii="AvantGarde" w:hAnsi="AvantGarde"/>
            <w:sz w:val="20"/>
            <w:szCs w:val="20"/>
          </w:rPr>
          <w:t>WI</w:t>
        </w:r>
      </w:smartTag>
      <w:r>
        <w:rPr>
          <w:rFonts w:ascii="AvantGarde" w:hAnsi="AvantGarde"/>
          <w:sz w:val="20"/>
          <w:szCs w:val="20"/>
        </w:rPr>
        <w:t xml:space="preserve">  </w:t>
      </w:r>
      <w:smartTag w:uri="urn:schemas-microsoft-com:office:smarttags" w:element="PostalCode">
        <w:r>
          <w:rPr>
            <w:rFonts w:ascii="AvantGarde" w:hAnsi="AvantGarde"/>
            <w:sz w:val="20"/>
            <w:szCs w:val="20"/>
          </w:rPr>
          <w:t>53705-2299</w:t>
        </w:r>
      </w:smartTag>
    </w:smartTag>
  </w:p>
  <w:p w14:paraId="1233B72A" w14:textId="77777777" w:rsidR="00E61BA3" w:rsidRPr="003C0234" w:rsidRDefault="00E61BA3" w:rsidP="003601DE">
    <w:pPr>
      <w:pStyle w:val="Footer"/>
      <w:rPr>
        <w:rFonts w:ascii="AvantGarde" w:hAnsi="AvantGarde"/>
        <w:sz w:val="20"/>
        <w:szCs w:val="20"/>
      </w:rPr>
    </w:pPr>
  </w:p>
  <w:p w14:paraId="650687F8" w14:textId="77777777" w:rsidR="00E61BA3" w:rsidRPr="003601DE" w:rsidRDefault="00E61BA3">
    <w:pPr>
      <w:pStyle w:val="Footer"/>
      <w:rPr>
        <w:rFonts w:ascii="AvantGarde" w:hAnsi="AvantGarde"/>
        <w:sz w:val="20"/>
        <w:szCs w:val="20"/>
      </w:rPr>
    </w:pPr>
    <w:r w:rsidRPr="003C0234">
      <w:rPr>
        <w:rFonts w:ascii="AvantGarde" w:hAnsi="AvantGarde"/>
        <w:sz w:val="20"/>
        <w:szCs w:val="20"/>
      </w:rPr>
      <w:t>Voice</w:t>
    </w:r>
    <w:r>
      <w:rPr>
        <w:rFonts w:ascii="AvantGarde" w:hAnsi="AvantGarde"/>
        <w:sz w:val="20"/>
        <w:szCs w:val="20"/>
      </w:rPr>
      <w:t xml:space="preserve"> 608.231.2266  Fax 608.231.2108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82D4A" w14:textId="5980C63F" w:rsidR="00E61BA3" w:rsidRDefault="00E61BA3" w:rsidP="00CD37BE">
    <w:pPr>
      <w:pStyle w:val="Footer"/>
      <w:pBdr>
        <w:top w:val="single" w:sz="4" w:space="1" w:color="auto"/>
      </w:pBdr>
      <w:tabs>
        <w:tab w:val="clear" w:pos="8640"/>
        <w:tab w:val="right" w:pos="9360"/>
      </w:tabs>
    </w:pPr>
    <w:r w:rsidRPr="009B66F6">
      <w:tab/>
    </w:r>
    <w:r>
      <w:rPr>
        <w:rStyle w:val="FootnoteReference"/>
        <w:vertAlign w:val="baseline"/>
      </w:rPr>
      <w:fldChar w:fldCharType="begin"/>
    </w:r>
    <w:r>
      <w:rPr>
        <w:rStyle w:val="FootnoteReference"/>
        <w:vertAlign w:val="baseline"/>
      </w:rPr>
      <w:instrText xml:space="preserve"> PAGE </w:instrText>
    </w:r>
    <w:r>
      <w:rPr>
        <w:rStyle w:val="FootnoteReference"/>
        <w:vertAlign w:val="baseline"/>
      </w:rPr>
      <w:fldChar w:fldCharType="separate"/>
    </w:r>
    <w:r>
      <w:rPr>
        <w:rStyle w:val="FootnoteReference"/>
        <w:noProof/>
        <w:vertAlign w:val="baseline"/>
      </w:rPr>
      <w:t>i</w:t>
    </w:r>
    <w:r>
      <w:rPr>
        <w:rStyle w:val="FootnoteReference"/>
        <w:vertAlign w:val="baseline"/>
      </w:rPr>
      <w:fldChar w:fldCharType="end"/>
    </w:r>
    <w:r w:rsidRPr="009B66F6">
      <w:tab/>
    </w:r>
    <w:r w:rsidRPr="00376A3F">
      <w:rPr>
        <w:i/>
      </w:rPr>
      <w:t>CA Energy Consulting</w:t>
    </w:r>
  </w:p>
  <w:p w14:paraId="36A44FB4" w14:textId="4DA77109" w:rsidR="00E61BA3" w:rsidRDefault="00E61BA3" w:rsidP="00CD37BE">
    <w:pPr>
      <w:pStyle w:val="Footer"/>
      <w:pBdr>
        <w:top w:val="single" w:sz="4" w:space="1" w:color="auto"/>
      </w:pBdr>
      <w:tabs>
        <w:tab w:val="clear" w:pos="864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C44A2" w14:textId="70CFE61B" w:rsidR="00E61BA3" w:rsidRPr="003D3D4C" w:rsidRDefault="00E61BA3" w:rsidP="003D3D4C">
    <w:pPr>
      <w:pStyle w:val="Footer"/>
      <w:pBdr>
        <w:top w:val="single" w:sz="4" w:space="1" w:color="auto"/>
      </w:pBdr>
      <w:rPr>
        <w:i/>
      </w:rPr>
    </w:pPr>
    <w:r>
      <w:tab/>
    </w:r>
    <w:r>
      <w:rPr>
        <w:rStyle w:val="FootnoteReference"/>
        <w:vertAlign w:val="baseline"/>
      </w:rPr>
      <w:fldChar w:fldCharType="begin"/>
    </w:r>
    <w:r>
      <w:rPr>
        <w:rStyle w:val="FootnoteReference"/>
        <w:vertAlign w:val="baseline"/>
      </w:rPr>
      <w:instrText xml:space="preserve"> PAGE </w:instrText>
    </w:r>
    <w:r>
      <w:rPr>
        <w:rStyle w:val="FootnoteReference"/>
        <w:vertAlign w:val="baseline"/>
      </w:rPr>
      <w:fldChar w:fldCharType="separate"/>
    </w:r>
    <w:r>
      <w:rPr>
        <w:rStyle w:val="FootnoteReference"/>
        <w:noProof/>
        <w:vertAlign w:val="baseline"/>
      </w:rPr>
      <w:t>iv</w:t>
    </w:r>
    <w:r>
      <w:rPr>
        <w:rStyle w:val="FootnoteReference"/>
        <w:vertAlign w:val="baseline"/>
      </w:rPr>
      <w:fldChar w:fldCharType="end"/>
    </w:r>
    <w:r>
      <w:rPr>
        <w:rStyle w:val="FootnoteReference"/>
        <w:vertAlign w:val="baseline"/>
      </w:rPr>
      <w:tab/>
    </w:r>
    <w:r w:rsidRPr="003D3D4C">
      <w:rPr>
        <w:rStyle w:val="FootnoteReference"/>
        <w:i/>
        <w:vertAlign w:val="baseline"/>
      </w:rPr>
      <w:t>CA Energy Consulting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ADFF2" w14:textId="77777777" w:rsidR="00E61BA3" w:rsidRPr="003D3D4C" w:rsidRDefault="00E61BA3" w:rsidP="000343F7">
    <w:pPr>
      <w:pStyle w:val="Footer"/>
      <w:pBdr>
        <w:top w:val="single" w:sz="4" w:space="1" w:color="auto"/>
      </w:pBdr>
      <w:tabs>
        <w:tab w:val="clear" w:pos="4320"/>
        <w:tab w:val="clear" w:pos="8640"/>
        <w:tab w:val="center" w:pos="6570"/>
        <w:tab w:val="right" w:pos="12960"/>
      </w:tabs>
      <w:rPr>
        <w:i/>
      </w:rPr>
    </w:pPr>
    <w:r>
      <w:tab/>
    </w:r>
    <w:r>
      <w:rPr>
        <w:rStyle w:val="FootnoteReference"/>
        <w:vertAlign w:val="baseline"/>
      </w:rPr>
      <w:fldChar w:fldCharType="begin"/>
    </w:r>
    <w:r>
      <w:rPr>
        <w:rStyle w:val="FootnoteReference"/>
        <w:vertAlign w:val="baseline"/>
      </w:rPr>
      <w:instrText xml:space="preserve"> PAGE </w:instrText>
    </w:r>
    <w:r>
      <w:rPr>
        <w:rStyle w:val="FootnoteReference"/>
        <w:vertAlign w:val="baseline"/>
      </w:rPr>
      <w:fldChar w:fldCharType="separate"/>
    </w:r>
    <w:r>
      <w:rPr>
        <w:rStyle w:val="FootnoteReference"/>
        <w:noProof/>
        <w:vertAlign w:val="baseline"/>
      </w:rPr>
      <w:t>iv</w:t>
    </w:r>
    <w:r>
      <w:rPr>
        <w:rStyle w:val="FootnoteReference"/>
        <w:vertAlign w:val="baseline"/>
      </w:rPr>
      <w:fldChar w:fldCharType="end"/>
    </w:r>
    <w:r>
      <w:rPr>
        <w:rStyle w:val="FootnoteReference"/>
        <w:vertAlign w:val="baseline"/>
      </w:rPr>
      <w:tab/>
    </w:r>
    <w:r w:rsidRPr="003D3D4C">
      <w:rPr>
        <w:rStyle w:val="FootnoteReference"/>
        <w:i/>
        <w:vertAlign w:val="baseline"/>
      </w:rPr>
      <w:t>CA Energy Consulting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DD417" w14:textId="77777777" w:rsidR="00E61BA3" w:rsidRPr="003D3D4C" w:rsidRDefault="00E61BA3" w:rsidP="000343F7">
    <w:pPr>
      <w:pStyle w:val="Footer"/>
      <w:pBdr>
        <w:top w:val="single" w:sz="4" w:space="1" w:color="auto"/>
      </w:pBdr>
      <w:tabs>
        <w:tab w:val="clear" w:pos="8640"/>
        <w:tab w:val="left" w:pos="6480"/>
        <w:tab w:val="right" w:pos="12960"/>
      </w:tabs>
      <w:rPr>
        <w:i/>
      </w:rPr>
    </w:pPr>
    <w:r>
      <w:tab/>
    </w:r>
    <w:r>
      <w:rPr>
        <w:rStyle w:val="FootnoteReference"/>
        <w:vertAlign w:val="baseline"/>
      </w:rPr>
      <w:fldChar w:fldCharType="begin"/>
    </w:r>
    <w:r>
      <w:rPr>
        <w:rStyle w:val="FootnoteReference"/>
        <w:vertAlign w:val="baseline"/>
      </w:rPr>
      <w:instrText xml:space="preserve"> PAGE </w:instrText>
    </w:r>
    <w:r>
      <w:rPr>
        <w:rStyle w:val="FootnoteReference"/>
        <w:vertAlign w:val="baseline"/>
      </w:rPr>
      <w:fldChar w:fldCharType="separate"/>
    </w:r>
    <w:r>
      <w:rPr>
        <w:rStyle w:val="FootnoteReference"/>
        <w:noProof/>
        <w:vertAlign w:val="baseline"/>
      </w:rPr>
      <w:t>iv</w:t>
    </w:r>
    <w:r>
      <w:rPr>
        <w:rStyle w:val="FootnoteReference"/>
        <w:vertAlign w:val="baseline"/>
      </w:rPr>
      <w:fldChar w:fldCharType="end"/>
    </w:r>
    <w:r>
      <w:rPr>
        <w:rStyle w:val="FootnoteReference"/>
        <w:vertAlign w:val="baseline"/>
      </w:rPr>
      <w:tab/>
    </w:r>
    <w:r w:rsidRPr="003D3D4C">
      <w:rPr>
        <w:rStyle w:val="FootnoteReference"/>
        <w:i/>
        <w:vertAlign w:val="baseline"/>
      </w:rPr>
      <w:t>CA Energy Consulting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03578" w14:textId="77777777" w:rsidR="00E61BA3" w:rsidRDefault="00E61BA3">
      <w:r>
        <w:separator/>
      </w:r>
    </w:p>
  </w:footnote>
  <w:footnote w:type="continuationSeparator" w:id="0">
    <w:p w14:paraId="6C8A85B5" w14:textId="77777777" w:rsidR="00E61BA3" w:rsidRDefault="00E61BA3">
      <w:r>
        <w:continuationSeparator/>
      </w:r>
    </w:p>
  </w:footnote>
  <w:footnote w:id="1">
    <w:p w14:paraId="272FB161" w14:textId="6F82073D" w:rsidR="00E61BA3" w:rsidRPr="004C54C7" w:rsidRDefault="00E61BA3">
      <w:pPr>
        <w:pStyle w:val="FootnoteText"/>
        <w:rPr>
          <w:rFonts w:asciiTheme="minorHAnsi" w:hAnsiTheme="minorHAnsi" w:cstheme="minorHAnsi"/>
        </w:rPr>
      </w:pPr>
      <w:r w:rsidRPr="004C54C7">
        <w:rPr>
          <w:rStyle w:val="FootnoteReference"/>
          <w:rFonts w:asciiTheme="minorHAnsi" w:hAnsiTheme="minorHAnsi" w:cstheme="minorHAnsi"/>
        </w:rPr>
        <w:footnoteRef/>
      </w:r>
      <w:r w:rsidRPr="004C54C7">
        <w:rPr>
          <w:rFonts w:asciiTheme="minorHAnsi" w:hAnsiTheme="minorHAnsi" w:cstheme="minorHAnsi"/>
        </w:rPr>
        <w:t xml:space="preserve"> These enrollment values include some customers not included in this study, as described in Section 4.</w:t>
      </w:r>
    </w:p>
  </w:footnote>
  <w:footnote w:id="2">
    <w:p w14:paraId="58488902" w14:textId="2AC09CFD" w:rsidR="00E61BA3" w:rsidRPr="000B22AB" w:rsidRDefault="00E61BA3">
      <w:pPr>
        <w:pStyle w:val="FootnoteText"/>
        <w:rPr>
          <w:rFonts w:asciiTheme="minorHAnsi" w:hAnsiTheme="minorHAnsi" w:cstheme="minorHAnsi"/>
        </w:rPr>
      </w:pPr>
      <w:r w:rsidRPr="008B69EF">
        <w:rPr>
          <w:rStyle w:val="FootnoteReference"/>
          <w:rFonts w:asciiTheme="minorHAnsi" w:hAnsiTheme="minorHAnsi" w:cstheme="minorHAnsi"/>
        </w:rPr>
        <w:footnoteRef/>
      </w:r>
      <w:r w:rsidRPr="008B69EF">
        <w:rPr>
          <w:rFonts w:asciiTheme="minorHAnsi" w:hAnsiTheme="minorHAnsi" w:cstheme="minorHAnsi"/>
        </w:rPr>
        <w:t xml:space="preserve"> </w:t>
      </w:r>
      <w:r>
        <w:rPr>
          <w:rFonts w:asciiTheme="minorHAnsi" w:hAnsiTheme="minorHAnsi" w:cstheme="minorHAnsi"/>
        </w:rPr>
        <w:t xml:space="preserve">Two-way devices were not dispatchable during PY2018 due to IT systems integration efforts. Customers with two-way devices are not </w:t>
      </w:r>
      <w:r w:rsidRPr="000B22AB">
        <w:rPr>
          <w:rFonts w:asciiTheme="minorHAnsi" w:hAnsiTheme="minorHAnsi" w:cstheme="minorHAnsi"/>
        </w:rPr>
        <w:t xml:space="preserve">included in </w:t>
      </w:r>
      <w:r>
        <w:rPr>
          <w:rFonts w:asciiTheme="minorHAnsi" w:hAnsiTheme="minorHAnsi" w:cstheme="minorHAnsi"/>
        </w:rPr>
        <w:t xml:space="preserve">the </w:t>
      </w:r>
      <w:r w:rsidRPr="006F6A24">
        <w:rPr>
          <w:rFonts w:asciiTheme="minorHAnsi" w:hAnsiTheme="minorHAnsi" w:cstheme="minorHAnsi"/>
          <w:i/>
        </w:rPr>
        <w:t>ex-post</w:t>
      </w:r>
      <w:r>
        <w:rPr>
          <w:rFonts w:asciiTheme="minorHAnsi" w:hAnsiTheme="minorHAnsi" w:cstheme="minorHAnsi"/>
        </w:rPr>
        <w:t xml:space="preserve"> analysis but are included in the </w:t>
      </w:r>
      <w:r w:rsidRPr="006F6A24">
        <w:rPr>
          <w:rFonts w:asciiTheme="minorHAnsi" w:hAnsiTheme="minorHAnsi" w:cstheme="minorHAnsi"/>
          <w:i/>
        </w:rPr>
        <w:t>ex-ante</w:t>
      </w:r>
      <w:r>
        <w:rPr>
          <w:rFonts w:asciiTheme="minorHAnsi" w:hAnsiTheme="minorHAnsi" w:cstheme="minorHAnsi"/>
        </w:rPr>
        <w:t xml:space="preserve"> reference loads</w:t>
      </w:r>
      <w:r w:rsidRPr="000B22AB">
        <w:rPr>
          <w:rFonts w:asciiTheme="minorHAnsi" w:hAnsiTheme="minorHAnsi" w:cstheme="minorHAnsi"/>
        </w:rPr>
        <w:t>.</w:t>
      </w:r>
    </w:p>
  </w:footnote>
  <w:footnote w:id="3">
    <w:p w14:paraId="50F6EE2B" w14:textId="75D1C9BC" w:rsidR="00E61BA3" w:rsidRPr="0033070F" w:rsidRDefault="00E61BA3">
      <w:pPr>
        <w:pStyle w:val="FootnoteText"/>
        <w:rPr>
          <w:rFonts w:asciiTheme="minorHAnsi" w:hAnsiTheme="minorHAnsi" w:cstheme="minorHAnsi"/>
        </w:rPr>
      </w:pPr>
      <w:r w:rsidRPr="000B22AB">
        <w:rPr>
          <w:rStyle w:val="FootnoteReference"/>
          <w:rFonts w:asciiTheme="minorHAnsi" w:hAnsiTheme="minorHAnsi" w:cstheme="minorHAnsi"/>
        </w:rPr>
        <w:footnoteRef/>
      </w:r>
      <w:r w:rsidRPr="000B22AB">
        <w:rPr>
          <w:rFonts w:asciiTheme="minorHAnsi" w:hAnsiTheme="minorHAnsi" w:cstheme="minorHAnsi"/>
        </w:rPr>
        <w:t xml:space="preserve"> Since 2015, PG&amp;E has employed a targeted marketing strategy to recruit SmartAC</w:t>
      </w:r>
      <w:r w:rsidR="00DC200C">
        <w:rPr>
          <w:rFonts w:asciiTheme="minorHAnsi" w:hAnsiTheme="minorHAnsi" w:cstheme="minorHAnsi"/>
        </w:rPr>
        <w:t>™</w:t>
      </w:r>
      <w:r w:rsidRPr="000B22AB">
        <w:rPr>
          <w:rFonts w:asciiTheme="minorHAnsi" w:hAnsiTheme="minorHAnsi" w:cstheme="minorHAnsi"/>
        </w:rPr>
        <w:t xml:space="preserve"> customers with the greatest potential</w:t>
      </w:r>
      <w:r w:rsidRPr="0033070F">
        <w:rPr>
          <w:rFonts w:asciiTheme="minorHAnsi" w:hAnsiTheme="minorHAnsi" w:cstheme="minorHAnsi"/>
        </w:rPr>
        <w:t xml:space="preserve"> for producing large load reductions.</w:t>
      </w:r>
      <w:r>
        <w:rPr>
          <w:rFonts w:asciiTheme="minorHAnsi" w:hAnsiTheme="minorHAnsi" w:cstheme="minorHAnsi"/>
        </w:rPr>
        <w:t xml:space="preserve"> PG&amp;E defines these customers as medium and high AC usage customers.</w:t>
      </w:r>
    </w:p>
  </w:footnote>
  <w:footnote w:id="4">
    <w:p w14:paraId="1846BC82" w14:textId="79752CE3" w:rsidR="00E61BA3" w:rsidRDefault="00E61BA3">
      <w:pPr>
        <w:pStyle w:val="FootnoteText"/>
      </w:pPr>
      <w:r w:rsidRPr="0033070F">
        <w:rPr>
          <w:rStyle w:val="FootnoteReference"/>
          <w:rFonts w:asciiTheme="minorHAnsi" w:hAnsiTheme="minorHAnsi" w:cstheme="minorHAnsi"/>
        </w:rPr>
        <w:footnoteRef/>
      </w:r>
      <w:r w:rsidRPr="0033070F">
        <w:rPr>
          <w:rFonts w:asciiTheme="minorHAnsi" w:hAnsiTheme="minorHAnsi" w:cstheme="minorHAnsi"/>
        </w:rPr>
        <w:t xml:space="preserve"> The opt-out rate is the portion of program participants who request by phone or website to override the control of their AC device during specific events.</w:t>
      </w:r>
    </w:p>
  </w:footnote>
  <w:footnote w:id="5">
    <w:p w14:paraId="52681BC8" w14:textId="2C12E005" w:rsidR="00E61BA3" w:rsidRPr="004C54C7" w:rsidRDefault="00E61BA3">
      <w:pPr>
        <w:pStyle w:val="FootnoteText"/>
        <w:rPr>
          <w:rFonts w:asciiTheme="minorHAnsi" w:hAnsiTheme="minorHAnsi" w:cstheme="minorHAnsi"/>
        </w:rPr>
      </w:pPr>
      <w:r w:rsidRPr="004C54C7">
        <w:rPr>
          <w:rStyle w:val="FootnoteReference"/>
          <w:rFonts w:asciiTheme="minorHAnsi" w:hAnsiTheme="minorHAnsi" w:cstheme="minorHAnsi"/>
        </w:rPr>
        <w:footnoteRef/>
      </w:r>
      <w:r w:rsidRPr="004C54C7">
        <w:rPr>
          <w:rFonts w:asciiTheme="minorHAnsi" w:hAnsiTheme="minorHAnsi" w:cstheme="minorHAnsi"/>
        </w:rPr>
        <w:t xml:space="preserve"> Because there is an almost perfect correlation between the hour of the event and the hour of day (</w:t>
      </w:r>
      <w:r w:rsidRPr="004C54C7">
        <w:rPr>
          <w:rFonts w:asciiTheme="minorHAnsi" w:hAnsiTheme="minorHAnsi" w:cstheme="minorHAnsi"/>
          <w:i/>
        </w:rPr>
        <w:t>e.g.</w:t>
      </w:r>
      <w:r w:rsidRPr="004C54C7">
        <w:rPr>
          <w:rFonts w:asciiTheme="minorHAnsi" w:hAnsiTheme="minorHAnsi" w:cstheme="minorHAnsi"/>
        </w:rPr>
        <w:t>, HE 18 is the second event hour in 29 of 3</w:t>
      </w:r>
      <w:r>
        <w:rPr>
          <w:rFonts w:asciiTheme="minorHAnsi" w:hAnsiTheme="minorHAnsi" w:cstheme="minorHAnsi"/>
        </w:rPr>
        <w:t>4</w:t>
      </w:r>
      <w:r w:rsidRPr="004C54C7">
        <w:rPr>
          <w:rFonts w:asciiTheme="minorHAnsi" w:hAnsiTheme="minorHAnsi" w:cstheme="minorHAnsi"/>
        </w:rPr>
        <w:t xml:space="preserve"> sub-LAP events), we cannot effectively analyze the persistence of load impacts across hours within an event. Instead, we focus on the persistence of load impacts across consecutive event days.</w:t>
      </w:r>
    </w:p>
  </w:footnote>
  <w:footnote w:id="6">
    <w:p w14:paraId="0CDFB55B" w14:textId="2300DD09" w:rsidR="00E61BA3" w:rsidRPr="00E6482F" w:rsidRDefault="00E61BA3" w:rsidP="00025EDD">
      <w:pPr>
        <w:pStyle w:val="FootnoteText"/>
        <w:rPr>
          <w:rFonts w:asciiTheme="minorHAnsi" w:hAnsiTheme="minorHAnsi" w:cstheme="minorHAnsi"/>
        </w:rPr>
      </w:pPr>
      <w:r w:rsidRPr="00E6482F">
        <w:rPr>
          <w:rStyle w:val="FootnoteReference"/>
          <w:rFonts w:asciiTheme="minorHAnsi" w:hAnsiTheme="minorHAnsi" w:cstheme="minorHAnsi"/>
        </w:rPr>
        <w:footnoteRef/>
      </w:r>
      <w:r w:rsidRPr="00E6482F">
        <w:rPr>
          <w:rFonts w:asciiTheme="minorHAnsi" w:hAnsiTheme="minorHAnsi" w:cstheme="minorHAnsi"/>
        </w:rPr>
        <w:t xml:space="preserve"> The inclusion of weather variables may improve the effectiveness of the date fixed effects, particularly in models that include customers in different weather regions (</w:t>
      </w:r>
      <w:r w:rsidRPr="00E6482F">
        <w:rPr>
          <w:rFonts w:asciiTheme="minorHAnsi" w:hAnsiTheme="minorHAnsi" w:cstheme="minorHAnsi"/>
          <w:i/>
        </w:rPr>
        <w:t>e.g.</w:t>
      </w:r>
      <w:r>
        <w:rPr>
          <w:rFonts w:asciiTheme="minorHAnsi" w:hAnsiTheme="minorHAnsi" w:cstheme="minorHAnsi"/>
        </w:rPr>
        <w:t>,</w:t>
      </w:r>
      <w:r w:rsidRPr="00E6482F">
        <w:rPr>
          <w:rFonts w:asciiTheme="minorHAnsi" w:hAnsiTheme="minorHAnsi" w:cstheme="minorHAnsi"/>
        </w:rPr>
        <w:t xml:space="preserve"> models by s</w:t>
      </w:r>
      <w:r>
        <w:rPr>
          <w:rFonts w:asciiTheme="minorHAnsi" w:hAnsiTheme="minorHAnsi" w:cstheme="minorHAnsi"/>
        </w:rPr>
        <w:t>ub-LAP</w:t>
      </w:r>
      <w:r w:rsidRPr="00E6482F">
        <w:rPr>
          <w:rFonts w:asciiTheme="minorHAnsi" w:hAnsiTheme="minorHAnsi" w:cstheme="minorHAnsi"/>
        </w:rPr>
        <w:t>).</w:t>
      </w:r>
    </w:p>
  </w:footnote>
  <w:footnote w:id="7">
    <w:p w14:paraId="60DA97F0" w14:textId="7F98BCA5" w:rsidR="00E61BA3" w:rsidRPr="00CC0B53" w:rsidRDefault="00E61BA3">
      <w:pPr>
        <w:pStyle w:val="FootnoteText"/>
        <w:rPr>
          <w:rFonts w:asciiTheme="minorHAnsi" w:hAnsiTheme="minorHAnsi" w:cstheme="minorHAnsi"/>
        </w:rPr>
      </w:pPr>
      <w:r w:rsidRPr="00CC0B53">
        <w:rPr>
          <w:rStyle w:val="FootnoteReference"/>
          <w:rFonts w:asciiTheme="minorHAnsi" w:hAnsiTheme="minorHAnsi" w:cstheme="minorHAnsi"/>
        </w:rPr>
        <w:footnoteRef/>
      </w:r>
      <w:r w:rsidRPr="00CC0B53">
        <w:rPr>
          <w:rFonts w:asciiTheme="minorHAnsi" w:hAnsiTheme="minorHAnsi" w:cstheme="minorHAnsi"/>
        </w:rPr>
        <w:t xml:space="preserve"> Calling specific sub-LAPs historically depended on all devices being properly addressed</w:t>
      </w:r>
      <w:r>
        <w:rPr>
          <w:rFonts w:asciiTheme="minorHAnsi" w:hAnsiTheme="minorHAnsi" w:cstheme="minorHAnsi"/>
        </w:rPr>
        <w:t xml:space="preserve"> to sub-LAPs</w:t>
      </w:r>
      <w:r w:rsidR="002B6016">
        <w:rPr>
          <w:rFonts w:asciiTheme="minorHAnsi" w:hAnsiTheme="minorHAnsi" w:cstheme="minorHAnsi"/>
        </w:rPr>
        <w:t xml:space="preserve">, which is </w:t>
      </w:r>
      <w:r w:rsidRPr="00CC0B53">
        <w:rPr>
          <w:rFonts w:asciiTheme="minorHAnsi" w:hAnsiTheme="minorHAnsi" w:cstheme="minorHAnsi"/>
        </w:rPr>
        <w:t xml:space="preserve">imperfect process. The installation of new two-way communicating devices, which </w:t>
      </w:r>
      <w:r>
        <w:rPr>
          <w:rFonts w:asciiTheme="minorHAnsi" w:hAnsiTheme="minorHAnsi" w:cstheme="minorHAnsi"/>
        </w:rPr>
        <w:t xml:space="preserve">are not dependent on sub-LAP </w:t>
      </w:r>
      <w:r w:rsidRPr="00CC0B53">
        <w:rPr>
          <w:rFonts w:asciiTheme="minorHAnsi" w:hAnsiTheme="minorHAnsi" w:cstheme="minorHAnsi"/>
        </w:rPr>
        <w:t>address</w:t>
      </w:r>
      <w:r>
        <w:rPr>
          <w:rFonts w:asciiTheme="minorHAnsi" w:hAnsiTheme="minorHAnsi" w:cstheme="minorHAnsi"/>
        </w:rPr>
        <w:t>ing</w:t>
      </w:r>
      <w:r w:rsidRPr="00CC0B53">
        <w:rPr>
          <w:rFonts w:asciiTheme="minorHAnsi" w:hAnsiTheme="minorHAnsi" w:cstheme="minorHAnsi"/>
        </w:rPr>
        <w:t>, should bring sub-LAP event load impacts more in line with serial number event load impacts</w:t>
      </w:r>
      <w:r>
        <w:rPr>
          <w:rFonts w:asciiTheme="minorHAnsi" w:hAnsiTheme="minorHAnsi" w:cstheme="minorHAnsi"/>
        </w:rPr>
        <w:t xml:space="preserve"> for future evaluations</w:t>
      </w:r>
      <w:r w:rsidRPr="00CC0B53">
        <w:rPr>
          <w:rFonts w:asciiTheme="minorHAnsi" w:hAnsiTheme="minorHAnsi" w:cstheme="minorHAnsi"/>
        </w:rPr>
        <w:t>.</w:t>
      </w:r>
    </w:p>
  </w:footnote>
  <w:footnote w:id="8">
    <w:p w14:paraId="4743E84C" w14:textId="13338381" w:rsidR="00E61BA3" w:rsidRPr="00A5498F" w:rsidRDefault="00E61BA3" w:rsidP="00174148">
      <w:pPr>
        <w:pStyle w:val="FootnoteText"/>
        <w:rPr>
          <w:rFonts w:asciiTheme="minorHAnsi" w:hAnsiTheme="minorHAnsi" w:cstheme="minorHAnsi"/>
        </w:rPr>
      </w:pPr>
      <w:r w:rsidRPr="00A5498F">
        <w:rPr>
          <w:rStyle w:val="FootnoteReference"/>
          <w:rFonts w:asciiTheme="minorHAnsi" w:hAnsiTheme="minorHAnsi" w:cstheme="minorHAnsi"/>
        </w:rPr>
        <w:footnoteRef/>
      </w:r>
      <w:r w:rsidRPr="00A5498F">
        <w:rPr>
          <w:rFonts w:asciiTheme="minorHAnsi" w:hAnsiTheme="minorHAnsi" w:cstheme="minorHAnsi"/>
        </w:rPr>
        <w:t xml:space="preserve"> Note that “biased” matches do not necessarily adversely affect the estimated load impacts, as we employ a difference-in-differences estimation methodology that accounts for load differences during the matching period.</w:t>
      </w:r>
    </w:p>
  </w:footnote>
  <w:footnote w:id="9">
    <w:p w14:paraId="509489BB" w14:textId="01BC2E6F" w:rsidR="00E61BA3" w:rsidRPr="0037108F" w:rsidRDefault="00E61BA3">
      <w:pPr>
        <w:pStyle w:val="FootnoteText"/>
        <w:rPr>
          <w:rFonts w:asciiTheme="minorHAnsi" w:hAnsiTheme="minorHAnsi" w:cstheme="minorHAnsi"/>
        </w:rPr>
      </w:pPr>
      <w:r w:rsidRPr="0037108F">
        <w:rPr>
          <w:rStyle w:val="FootnoteReference"/>
          <w:rFonts w:asciiTheme="minorHAnsi" w:hAnsiTheme="minorHAnsi" w:cstheme="minorHAnsi"/>
        </w:rPr>
        <w:footnoteRef/>
      </w:r>
      <w:r w:rsidRPr="0037108F">
        <w:rPr>
          <w:rFonts w:asciiTheme="minorHAnsi" w:hAnsiTheme="minorHAnsi" w:cstheme="minorHAnsi"/>
        </w:rPr>
        <w:t xml:space="preserve"> On July 24</w:t>
      </w:r>
      <w:r w:rsidRPr="0037108F">
        <w:rPr>
          <w:rFonts w:asciiTheme="minorHAnsi" w:hAnsiTheme="minorHAnsi" w:cstheme="minorHAnsi"/>
          <w:vertAlign w:val="superscript"/>
        </w:rPr>
        <w:t>th</w:t>
      </w:r>
      <w:r w:rsidRPr="0037108F">
        <w:rPr>
          <w:rFonts w:asciiTheme="minorHAnsi" w:hAnsiTheme="minorHAnsi" w:cstheme="minorHAnsi"/>
        </w:rPr>
        <w:t>, July 25</w:t>
      </w:r>
      <w:r w:rsidRPr="0037108F">
        <w:rPr>
          <w:rFonts w:asciiTheme="minorHAnsi" w:hAnsiTheme="minorHAnsi" w:cstheme="minorHAnsi"/>
          <w:vertAlign w:val="superscript"/>
        </w:rPr>
        <w:t>th</w:t>
      </w:r>
      <w:r w:rsidRPr="0037108F">
        <w:rPr>
          <w:rFonts w:asciiTheme="minorHAnsi" w:hAnsiTheme="minorHAnsi" w:cstheme="minorHAnsi"/>
        </w:rPr>
        <w:t>, and July 26</w:t>
      </w:r>
      <w:r w:rsidRPr="0037108F">
        <w:rPr>
          <w:rFonts w:asciiTheme="minorHAnsi" w:hAnsiTheme="minorHAnsi" w:cstheme="minorHAnsi"/>
          <w:vertAlign w:val="superscript"/>
        </w:rPr>
        <w:t>th</w:t>
      </w:r>
      <w:r w:rsidRPr="0037108F">
        <w:rPr>
          <w:rFonts w:asciiTheme="minorHAnsi" w:hAnsiTheme="minorHAnsi" w:cstheme="minorHAnsi"/>
        </w:rPr>
        <w:t xml:space="preserve"> not all called sub-LAP areas were called for the same event hours. In </w:t>
      </w:r>
      <w:r w:rsidRPr="0037108F">
        <w:rPr>
          <w:rFonts w:asciiTheme="minorHAnsi" w:hAnsiTheme="minorHAnsi" w:cstheme="minorHAnsi"/>
        </w:rPr>
        <w:fldChar w:fldCharType="begin"/>
      </w:r>
      <w:r w:rsidRPr="0037108F">
        <w:rPr>
          <w:rFonts w:asciiTheme="minorHAnsi" w:hAnsiTheme="minorHAnsi" w:cstheme="minorHAnsi"/>
        </w:rPr>
        <w:instrText xml:space="preserve"> REF _Ref507494669 \h  \* MERGEFORMAT </w:instrText>
      </w:r>
      <w:r w:rsidRPr="0037108F">
        <w:rPr>
          <w:rFonts w:asciiTheme="minorHAnsi" w:hAnsiTheme="minorHAnsi" w:cstheme="minorHAnsi"/>
        </w:rPr>
      </w:r>
      <w:r w:rsidRPr="0037108F">
        <w:rPr>
          <w:rFonts w:asciiTheme="minorHAnsi" w:hAnsiTheme="minorHAnsi" w:cstheme="minorHAnsi"/>
        </w:rPr>
        <w:fldChar w:fldCharType="separate"/>
      </w:r>
      <w:r w:rsidR="00445DF3" w:rsidRPr="00445DF3">
        <w:rPr>
          <w:rFonts w:asciiTheme="minorHAnsi" w:hAnsiTheme="minorHAnsi" w:cstheme="minorHAnsi"/>
        </w:rPr>
        <w:t xml:space="preserve">Figure </w:t>
      </w:r>
      <w:r w:rsidR="00445DF3" w:rsidRPr="00445DF3">
        <w:rPr>
          <w:rFonts w:asciiTheme="minorHAnsi" w:hAnsiTheme="minorHAnsi" w:cstheme="minorHAnsi"/>
          <w:noProof/>
        </w:rPr>
        <w:t>3</w:t>
      </w:r>
      <w:r w:rsidR="00445DF3" w:rsidRPr="00445DF3">
        <w:rPr>
          <w:rFonts w:asciiTheme="minorHAnsi" w:hAnsiTheme="minorHAnsi" w:cstheme="minorHAnsi"/>
          <w:noProof/>
        </w:rPr>
        <w:noBreakHyphen/>
        <w:t>2</w:t>
      </w:r>
      <w:r w:rsidRPr="0037108F">
        <w:rPr>
          <w:rFonts w:asciiTheme="minorHAnsi" w:hAnsiTheme="minorHAnsi" w:cstheme="minorHAnsi"/>
        </w:rPr>
        <w:fldChar w:fldCharType="end"/>
      </w:r>
      <w:r w:rsidRPr="0037108F">
        <w:rPr>
          <w:rFonts w:asciiTheme="minorHAnsi" w:hAnsiTheme="minorHAnsi" w:cstheme="minorHAnsi"/>
        </w:rPr>
        <w:t>, we aggregate across hours during which customers were called, while in the protocol table generators the hourly load impacts are aggregated across all called sub-LAPs for each hour of the day. This can dampen the estimated load impacts during hours where only a subset of called sub-LAP areas are called during the hour.</w:t>
      </w:r>
    </w:p>
  </w:footnote>
  <w:footnote w:id="10">
    <w:p w14:paraId="390E7462" w14:textId="138586FA" w:rsidR="00E61BA3" w:rsidRPr="00540DAD" w:rsidRDefault="00E61BA3">
      <w:pPr>
        <w:pStyle w:val="FootnoteText"/>
        <w:rPr>
          <w:rFonts w:asciiTheme="minorHAnsi" w:hAnsiTheme="minorHAnsi" w:cstheme="minorHAnsi"/>
        </w:rPr>
      </w:pPr>
      <w:r w:rsidRPr="00540DAD">
        <w:rPr>
          <w:rStyle w:val="FootnoteReference"/>
          <w:rFonts w:asciiTheme="minorHAnsi" w:hAnsiTheme="minorHAnsi" w:cstheme="minorHAnsi"/>
        </w:rPr>
        <w:footnoteRef/>
      </w:r>
      <w:r w:rsidRPr="00540DAD">
        <w:rPr>
          <w:rFonts w:asciiTheme="minorHAnsi" w:hAnsiTheme="minorHAnsi" w:cstheme="minorHAnsi"/>
        </w:rPr>
        <w:t xml:space="preserve"> </w:t>
      </w:r>
      <w:r>
        <w:rPr>
          <w:rFonts w:asciiTheme="minorHAnsi" w:hAnsiTheme="minorHAnsi" w:cstheme="minorHAnsi"/>
        </w:rPr>
        <w:t>PG&amp;E confirmed that a transmitter in Bakersfield was not functioning during PGKN’s event days, though they were not aware of this at the time of the events</w:t>
      </w:r>
      <w:r w:rsidRPr="00DF38C0">
        <w:rPr>
          <w:rFonts w:asciiTheme="minorHAnsi" w:hAnsiTheme="minorHAnsi" w:cstheme="minorHAnsi"/>
        </w:rPr>
        <w:t>. Th</w:t>
      </w:r>
      <w:r>
        <w:rPr>
          <w:rFonts w:asciiTheme="minorHAnsi" w:hAnsiTheme="minorHAnsi" w:cstheme="minorHAnsi"/>
        </w:rPr>
        <w:t xml:space="preserve">is </w:t>
      </w:r>
      <w:r w:rsidRPr="00DF38C0">
        <w:rPr>
          <w:rFonts w:asciiTheme="minorHAnsi" w:hAnsiTheme="minorHAnsi" w:cstheme="minorHAnsi"/>
        </w:rPr>
        <w:t xml:space="preserve">malfunction is expected to persist in PY2019. </w:t>
      </w:r>
      <w:r>
        <w:rPr>
          <w:rFonts w:asciiTheme="minorHAnsi" w:hAnsiTheme="minorHAnsi" w:cstheme="minorHAnsi"/>
        </w:rPr>
        <w:t xml:space="preserve">As a result, we make an adjustment in our </w:t>
      </w:r>
      <w:r w:rsidRPr="00DF38C0">
        <w:rPr>
          <w:rFonts w:asciiTheme="minorHAnsi" w:hAnsiTheme="minorHAnsi" w:cstheme="minorHAnsi"/>
          <w:i/>
        </w:rPr>
        <w:t>ex-ante</w:t>
      </w:r>
      <w:r>
        <w:rPr>
          <w:rFonts w:asciiTheme="minorHAnsi" w:hAnsiTheme="minorHAnsi" w:cstheme="minorHAnsi"/>
        </w:rPr>
        <w:t xml:space="preserve"> forecast to account for this issue.</w:t>
      </w:r>
    </w:p>
  </w:footnote>
  <w:footnote w:id="11">
    <w:p w14:paraId="183B78E5" w14:textId="6F9C0E8A" w:rsidR="00E61BA3" w:rsidRPr="00540DAD" w:rsidRDefault="00E61BA3">
      <w:pPr>
        <w:pStyle w:val="FootnoteText"/>
        <w:rPr>
          <w:rFonts w:asciiTheme="minorHAnsi" w:hAnsiTheme="minorHAnsi" w:cstheme="minorHAnsi"/>
        </w:rPr>
      </w:pPr>
      <w:r w:rsidRPr="00540DAD">
        <w:rPr>
          <w:rStyle w:val="FootnoteReference"/>
          <w:rFonts w:asciiTheme="minorHAnsi" w:hAnsiTheme="minorHAnsi" w:cstheme="minorHAnsi"/>
        </w:rPr>
        <w:footnoteRef/>
      </w:r>
      <w:r w:rsidRPr="00540DAD">
        <w:rPr>
          <w:rFonts w:asciiTheme="minorHAnsi" w:hAnsiTheme="minorHAnsi" w:cstheme="minorHAnsi"/>
        </w:rPr>
        <w:t xml:space="preserve"> A large share of the difference in enrollments between 2018 and 2019 are two-way device customers who enrolled in 2018 but were not dispatchable for any events in 2018. There were 8,987 two-way device customers who were enrolled in SmartAC</w:t>
      </w:r>
      <w:r w:rsidR="00DC200C">
        <w:rPr>
          <w:rFonts w:asciiTheme="minorHAnsi" w:hAnsiTheme="minorHAnsi" w:cstheme="minorHAnsi"/>
        </w:rPr>
        <w:t>™</w:t>
      </w:r>
      <w:r w:rsidRPr="00540DAD">
        <w:rPr>
          <w:rFonts w:asciiTheme="minorHAnsi" w:hAnsiTheme="minorHAnsi" w:cstheme="minorHAnsi"/>
        </w:rPr>
        <w:t xml:space="preserve"> at some point during PY2018. The 2018 enrollments reported in this table also do not include customers who were enrolled at some point during PY2018 but were not enrolled during any of the PY2018 events. Overall, there were 117,220 customers who were enrolled at some point during PY2018 in the SmartAC</w:t>
      </w:r>
      <w:r w:rsidR="00DC200C">
        <w:rPr>
          <w:rFonts w:asciiTheme="minorHAnsi" w:hAnsiTheme="minorHAnsi" w:cstheme="minorHAnsi"/>
        </w:rPr>
        <w:t>™</w:t>
      </w:r>
      <w:r w:rsidRPr="00540DAD">
        <w:rPr>
          <w:rFonts w:asciiTheme="minorHAnsi" w:hAnsiTheme="minorHAnsi" w:cstheme="minorHAnsi"/>
        </w:rPr>
        <w:t xml:space="preserve"> program, compared to 102,345 dispatchable customers who were enrolled for at least one event.</w:t>
      </w:r>
    </w:p>
  </w:footnote>
  <w:footnote w:id="12">
    <w:p w14:paraId="1A33E7C1" w14:textId="50E6A756" w:rsidR="00E61BA3" w:rsidRPr="006E78CA" w:rsidRDefault="00E61BA3">
      <w:pPr>
        <w:pStyle w:val="FootnoteText"/>
        <w:rPr>
          <w:rFonts w:asciiTheme="minorHAnsi" w:hAnsiTheme="minorHAnsi" w:cstheme="minorHAnsi"/>
        </w:rPr>
      </w:pPr>
      <w:r w:rsidRPr="00540DAD">
        <w:rPr>
          <w:rStyle w:val="FootnoteReference"/>
          <w:rFonts w:asciiTheme="minorHAnsi" w:hAnsiTheme="minorHAnsi" w:cstheme="minorHAnsi"/>
        </w:rPr>
        <w:footnoteRef/>
      </w:r>
      <w:r w:rsidRPr="00540DAD">
        <w:rPr>
          <w:rFonts w:asciiTheme="minorHAnsi" w:hAnsiTheme="minorHAnsi" w:cstheme="minorHAnsi"/>
        </w:rPr>
        <w:t xml:space="preserve"> Although there is a slight increase in dual enrollments projected for Stockton, this is not true once we </w:t>
      </w:r>
      <w:r w:rsidRPr="006E78CA">
        <w:rPr>
          <w:rFonts w:asciiTheme="minorHAnsi" w:hAnsiTheme="minorHAnsi" w:cstheme="minorHAnsi"/>
        </w:rPr>
        <w:t>consider more broadly defined enrollment figures. There were at least 1,835 customers who were dually enrolled in SmartAC</w:t>
      </w:r>
      <w:r w:rsidR="00DC200C">
        <w:rPr>
          <w:rFonts w:asciiTheme="minorHAnsi" w:hAnsiTheme="minorHAnsi" w:cstheme="minorHAnsi"/>
        </w:rPr>
        <w:t>™</w:t>
      </w:r>
      <w:r w:rsidRPr="006E78CA">
        <w:rPr>
          <w:rFonts w:asciiTheme="minorHAnsi" w:hAnsiTheme="minorHAnsi" w:cstheme="minorHAnsi"/>
        </w:rPr>
        <w:t xml:space="preserve"> and SmartRate™ in Stockton at some point during PY2018.</w:t>
      </w:r>
    </w:p>
  </w:footnote>
  <w:footnote w:id="13">
    <w:p w14:paraId="2700EBF1" w14:textId="43E858C9" w:rsidR="00E61BA3" w:rsidRDefault="00E61BA3">
      <w:pPr>
        <w:pStyle w:val="FootnoteText"/>
      </w:pPr>
      <w:r w:rsidRPr="006E78CA">
        <w:rPr>
          <w:rStyle w:val="FootnoteReference"/>
          <w:rFonts w:asciiTheme="minorHAnsi" w:hAnsiTheme="minorHAnsi" w:cstheme="minorHAnsi"/>
        </w:rPr>
        <w:footnoteRef/>
      </w:r>
      <w:r w:rsidRPr="006E78CA">
        <w:rPr>
          <w:rFonts w:asciiTheme="minorHAnsi" w:hAnsiTheme="minorHAnsi" w:cstheme="minorHAnsi"/>
        </w:rPr>
        <w:t xml:space="preserve"> Per CPUC Decision 18-11-029, enrollment in Critical Peak Pricing (including </w:t>
      </w:r>
      <w:r>
        <w:rPr>
          <w:rFonts w:asciiTheme="minorHAnsi" w:hAnsiTheme="minorHAnsi" w:cstheme="minorHAnsi"/>
        </w:rPr>
        <w:t>SmartRate™</w:t>
      </w:r>
      <w:r w:rsidRPr="006E78CA">
        <w:rPr>
          <w:rFonts w:asciiTheme="minorHAnsi" w:hAnsiTheme="minorHAnsi" w:cstheme="minorHAnsi"/>
        </w:rPr>
        <w:t>) and another DR program is prohibited for all customers not currently dually-enrolled, until further notice. The existing dually-enrolled customers may continue to participate in both programs.</w:t>
      </w:r>
    </w:p>
  </w:footnote>
  <w:footnote w:id="14">
    <w:p w14:paraId="3E67B273" w14:textId="40203786" w:rsidR="00E61BA3" w:rsidRPr="003A21CB" w:rsidRDefault="00E61BA3" w:rsidP="00DD77C7">
      <w:pPr>
        <w:pStyle w:val="FootnoteText"/>
        <w:rPr>
          <w:rFonts w:asciiTheme="minorHAnsi" w:hAnsiTheme="minorHAnsi" w:cstheme="minorHAnsi"/>
        </w:rPr>
      </w:pPr>
      <w:r w:rsidRPr="003A21CB">
        <w:rPr>
          <w:rStyle w:val="FootnoteReference"/>
          <w:rFonts w:asciiTheme="minorHAnsi" w:hAnsiTheme="minorHAnsi" w:cstheme="minorHAnsi"/>
        </w:rPr>
        <w:footnoteRef/>
      </w:r>
      <w:r w:rsidRPr="003A21CB">
        <w:rPr>
          <w:rFonts w:asciiTheme="minorHAnsi" w:hAnsiTheme="minorHAnsi" w:cstheme="minorHAnsi"/>
        </w:rPr>
        <w:t xml:space="preserve"> </w:t>
      </w:r>
      <w:r>
        <w:rPr>
          <w:rFonts w:asciiTheme="minorHAnsi" w:hAnsiTheme="minorHAnsi" w:cstheme="minorHAnsi"/>
        </w:rPr>
        <w:t>Due to small sample size issues, t</w:t>
      </w:r>
      <w:r w:rsidRPr="003A21CB">
        <w:rPr>
          <w:rFonts w:asciiTheme="minorHAnsi" w:hAnsiTheme="minorHAnsi" w:cstheme="minorHAnsi"/>
        </w:rPr>
        <w:t xml:space="preserve">he </w:t>
      </w:r>
      <w:r>
        <w:rPr>
          <w:rFonts w:asciiTheme="minorHAnsi" w:hAnsiTheme="minorHAnsi" w:cstheme="minorHAnsi"/>
        </w:rPr>
        <w:t xml:space="preserve">forecast </w:t>
      </w:r>
      <w:r w:rsidRPr="003A21CB">
        <w:rPr>
          <w:rFonts w:asciiTheme="minorHAnsi" w:hAnsiTheme="minorHAnsi" w:cstheme="minorHAnsi"/>
        </w:rPr>
        <w:t xml:space="preserve">for Humboldt </w:t>
      </w:r>
      <w:r>
        <w:rPr>
          <w:rFonts w:asciiTheme="minorHAnsi" w:hAnsiTheme="minorHAnsi" w:cstheme="minorHAnsi"/>
        </w:rPr>
        <w:t>is</w:t>
      </w:r>
      <w:r w:rsidRPr="003A21CB">
        <w:rPr>
          <w:rFonts w:asciiTheme="minorHAnsi" w:hAnsiTheme="minorHAnsi" w:cstheme="minorHAnsi"/>
        </w:rPr>
        <w:t xml:space="preserve"> based on the estimated load impacts and per-customer reference loads for Northern Coast.</w:t>
      </w:r>
      <w:r>
        <w:rPr>
          <w:rFonts w:asciiTheme="minorHAnsi" w:hAnsiTheme="minorHAnsi" w:cstheme="minorHAnsi"/>
        </w:rPr>
        <w:t xml:space="preserve"> The two listed customers for Humboldt are not directly used to develop the forecast.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A6D2D" w14:textId="77777777" w:rsidR="00E61BA3" w:rsidRDefault="00E61BA3">
    <w:pPr>
      <w:pStyle w:val="Header"/>
    </w:pPr>
    <w:r>
      <w:rPr>
        <w:noProof/>
      </w:rPr>
      <w:drawing>
        <wp:inline distT="0" distB="0" distL="0" distR="0" wp14:anchorId="6265FF2B" wp14:editId="7DFAFF04">
          <wp:extent cx="3267075" cy="1009650"/>
          <wp:effectExtent l="0" t="0" r="9525" b="0"/>
          <wp:docPr id="1" name="Picture 10" descr="CA Energy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 Energy Consulting"/>
                  <pic:cNvPicPr>
                    <a:picLocks noChangeAspect="1" noChangeArrowheads="1"/>
                  </pic:cNvPicPr>
                </pic:nvPicPr>
                <pic:blipFill>
                  <a:blip r:embed="rId1">
                    <a:extLst>
                      <a:ext uri="{28A0092B-C50C-407E-A947-70E740481C1C}">
                        <a14:useLocalDpi xmlns:a14="http://schemas.microsoft.com/office/drawing/2010/main" val="0"/>
                      </a:ext>
                    </a:extLst>
                  </a:blip>
                  <a:srcRect l="12318"/>
                  <a:stretch>
                    <a:fillRect/>
                  </a:stretch>
                </pic:blipFill>
                <pic:spPr bwMode="auto">
                  <a:xfrm>
                    <a:off x="0" y="0"/>
                    <a:ext cx="3267075" cy="10096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84B6" w14:textId="68775F36" w:rsidR="00E61BA3" w:rsidRPr="00BF5CF6" w:rsidRDefault="00E61BA3">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3BFD"/>
    <w:multiLevelType w:val="multilevel"/>
    <w:tmpl w:val="128A74DE"/>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6253888"/>
    <w:multiLevelType w:val="hybridMultilevel"/>
    <w:tmpl w:val="ED04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311DF"/>
    <w:multiLevelType w:val="hybridMultilevel"/>
    <w:tmpl w:val="3AB8213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726687"/>
    <w:multiLevelType w:val="hybridMultilevel"/>
    <w:tmpl w:val="1564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1978B7"/>
    <w:multiLevelType w:val="hybridMultilevel"/>
    <w:tmpl w:val="D368C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07791"/>
    <w:multiLevelType w:val="multilevel"/>
    <w:tmpl w:val="2A08E924"/>
    <w:lvl w:ilvl="0">
      <w:start w:val="1"/>
      <w:numFmt w:val="decimal"/>
      <w:pStyle w:val="Heading1"/>
      <w:suff w:val="space"/>
      <w:lvlText w:val="%1."/>
      <w:lvlJc w:val="left"/>
      <w:pPr>
        <w:ind w:left="360" w:hanging="360"/>
      </w:pPr>
      <w:rPr>
        <w:rFonts w:ascii="Arial" w:hAnsi="Arial" w:hint="default"/>
        <w:b/>
        <w:i w:val="0"/>
        <w:sz w:val="32"/>
      </w:rPr>
    </w:lvl>
    <w:lvl w:ilvl="1">
      <w:start w:val="1"/>
      <w:numFmt w:val="decimal"/>
      <w:pStyle w:val="Heading2"/>
      <w:suff w:val="space"/>
      <w:lvlText w:val="%1.%2"/>
      <w:lvlJc w:val="left"/>
      <w:pPr>
        <w:ind w:left="270" w:firstLine="0"/>
      </w:pPr>
      <w:rPr>
        <w:rFonts w:ascii="Arial" w:hAnsi="Arial" w:hint="default"/>
        <w:b/>
        <w:i/>
        <w:sz w:val="28"/>
      </w:rPr>
    </w:lvl>
    <w:lvl w:ilvl="2">
      <w:start w:val="1"/>
      <w:numFmt w:val="decimal"/>
      <w:pStyle w:val="Heading3"/>
      <w:suff w:val="space"/>
      <w:lvlText w:val="%1.%2.%3"/>
      <w:lvlJc w:val="left"/>
      <w:pPr>
        <w:ind w:left="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84D0537"/>
    <w:multiLevelType w:val="hybridMultilevel"/>
    <w:tmpl w:val="57EEE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757DCE"/>
    <w:multiLevelType w:val="hybridMultilevel"/>
    <w:tmpl w:val="3AB8213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3030CA"/>
    <w:multiLevelType w:val="hybridMultilevel"/>
    <w:tmpl w:val="04FA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210ED1"/>
    <w:multiLevelType w:val="multilevel"/>
    <w:tmpl w:val="128A74DE"/>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8687BE6"/>
    <w:multiLevelType w:val="hybridMultilevel"/>
    <w:tmpl w:val="01A68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7"/>
  </w:num>
  <w:num w:numId="4">
    <w:abstractNumId w:val="5"/>
  </w:num>
  <w:num w:numId="5">
    <w:abstractNumId w:val="1"/>
  </w:num>
  <w:num w:numId="6">
    <w:abstractNumId w:val="9"/>
  </w:num>
  <w:num w:numId="7">
    <w:abstractNumId w:val="0"/>
  </w:num>
  <w:num w:numId="8">
    <w:abstractNumId w:val="2"/>
  </w:num>
  <w:num w:numId="9">
    <w:abstractNumId w:val="6"/>
  </w:num>
  <w:num w:numId="10">
    <w:abstractNumId w:val="3"/>
  </w:num>
  <w:num w:numId="1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0" w:nlCheck="1" w:checkStyle="0"/>
  <w:activeWritingStyle w:appName="MSWord" w:lang="en-US"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0152"/>
    <w:rsid w:val="0000036B"/>
    <w:rsid w:val="000003F4"/>
    <w:rsid w:val="00000ABC"/>
    <w:rsid w:val="00000F64"/>
    <w:rsid w:val="00000FFA"/>
    <w:rsid w:val="00001114"/>
    <w:rsid w:val="0000185B"/>
    <w:rsid w:val="000020F2"/>
    <w:rsid w:val="00002343"/>
    <w:rsid w:val="0000252B"/>
    <w:rsid w:val="00002762"/>
    <w:rsid w:val="00002B18"/>
    <w:rsid w:val="00002D6C"/>
    <w:rsid w:val="00002E97"/>
    <w:rsid w:val="0000300C"/>
    <w:rsid w:val="00003581"/>
    <w:rsid w:val="00003F3D"/>
    <w:rsid w:val="00005050"/>
    <w:rsid w:val="0000507C"/>
    <w:rsid w:val="000050F0"/>
    <w:rsid w:val="0000535B"/>
    <w:rsid w:val="00005543"/>
    <w:rsid w:val="00005BFB"/>
    <w:rsid w:val="00005E83"/>
    <w:rsid w:val="00006D75"/>
    <w:rsid w:val="00006EAE"/>
    <w:rsid w:val="00007D62"/>
    <w:rsid w:val="00007DFA"/>
    <w:rsid w:val="000108F5"/>
    <w:rsid w:val="00010ABB"/>
    <w:rsid w:val="0001162E"/>
    <w:rsid w:val="0001220B"/>
    <w:rsid w:val="000123D1"/>
    <w:rsid w:val="000126F6"/>
    <w:rsid w:val="00012890"/>
    <w:rsid w:val="00012EAE"/>
    <w:rsid w:val="00013CF1"/>
    <w:rsid w:val="0001406F"/>
    <w:rsid w:val="000149E2"/>
    <w:rsid w:val="0001525A"/>
    <w:rsid w:val="0001546C"/>
    <w:rsid w:val="00015EA5"/>
    <w:rsid w:val="00015F7C"/>
    <w:rsid w:val="00016113"/>
    <w:rsid w:val="00016547"/>
    <w:rsid w:val="000166D4"/>
    <w:rsid w:val="00016871"/>
    <w:rsid w:val="0001729D"/>
    <w:rsid w:val="00017319"/>
    <w:rsid w:val="00017A5A"/>
    <w:rsid w:val="00017E85"/>
    <w:rsid w:val="000203BC"/>
    <w:rsid w:val="00020A68"/>
    <w:rsid w:val="00020B08"/>
    <w:rsid w:val="00020B85"/>
    <w:rsid w:val="0002282A"/>
    <w:rsid w:val="000228FB"/>
    <w:rsid w:val="00022FE3"/>
    <w:rsid w:val="000236E4"/>
    <w:rsid w:val="00023781"/>
    <w:rsid w:val="00023B81"/>
    <w:rsid w:val="00024FF4"/>
    <w:rsid w:val="000258C5"/>
    <w:rsid w:val="00025EDD"/>
    <w:rsid w:val="000266B6"/>
    <w:rsid w:val="000268D5"/>
    <w:rsid w:val="00026948"/>
    <w:rsid w:val="00026AA0"/>
    <w:rsid w:val="00027555"/>
    <w:rsid w:val="0002766D"/>
    <w:rsid w:val="00027862"/>
    <w:rsid w:val="000278A7"/>
    <w:rsid w:val="0002790C"/>
    <w:rsid w:val="00027D93"/>
    <w:rsid w:val="00030E4E"/>
    <w:rsid w:val="00030F74"/>
    <w:rsid w:val="0003244D"/>
    <w:rsid w:val="000334AA"/>
    <w:rsid w:val="00033523"/>
    <w:rsid w:val="00033939"/>
    <w:rsid w:val="00033B2D"/>
    <w:rsid w:val="00033BE8"/>
    <w:rsid w:val="00033EBC"/>
    <w:rsid w:val="000343F7"/>
    <w:rsid w:val="00034D36"/>
    <w:rsid w:val="00034D45"/>
    <w:rsid w:val="00034DD7"/>
    <w:rsid w:val="000350B8"/>
    <w:rsid w:val="00035BF1"/>
    <w:rsid w:val="00036433"/>
    <w:rsid w:val="00036580"/>
    <w:rsid w:val="000367FE"/>
    <w:rsid w:val="00036912"/>
    <w:rsid w:val="00037539"/>
    <w:rsid w:val="000402E2"/>
    <w:rsid w:val="000409E9"/>
    <w:rsid w:val="00040B1B"/>
    <w:rsid w:val="00040CDD"/>
    <w:rsid w:val="00041055"/>
    <w:rsid w:val="000412D3"/>
    <w:rsid w:val="00041630"/>
    <w:rsid w:val="00041A71"/>
    <w:rsid w:val="00042286"/>
    <w:rsid w:val="00044759"/>
    <w:rsid w:val="00044F79"/>
    <w:rsid w:val="000452FA"/>
    <w:rsid w:val="000466CE"/>
    <w:rsid w:val="0004679B"/>
    <w:rsid w:val="00047A89"/>
    <w:rsid w:val="00047B5B"/>
    <w:rsid w:val="00050306"/>
    <w:rsid w:val="00050370"/>
    <w:rsid w:val="000507BD"/>
    <w:rsid w:val="00050B8A"/>
    <w:rsid w:val="00050C0C"/>
    <w:rsid w:val="000515C9"/>
    <w:rsid w:val="000515F6"/>
    <w:rsid w:val="000518A7"/>
    <w:rsid w:val="0005199B"/>
    <w:rsid w:val="00051B0F"/>
    <w:rsid w:val="00052A0A"/>
    <w:rsid w:val="00053A94"/>
    <w:rsid w:val="00053AAD"/>
    <w:rsid w:val="00053DF3"/>
    <w:rsid w:val="00053E81"/>
    <w:rsid w:val="0005405B"/>
    <w:rsid w:val="00054A32"/>
    <w:rsid w:val="00054B50"/>
    <w:rsid w:val="00055129"/>
    <w:rsid w:val="00055160"/>
    <w:rsid w:val="0005535F"/>
    <w:rsid w:val="00055DCD"/>
    <w:rsid w:val="000564F2"/>
    <w:rsid w:val="00056855"/>
    <w:rsid w:val="0005693D"/>
    <w:rsid w:val="00060051"/>
    <w:rsid w:val="00060B4B"/>
    <w:rsid w:val="00061320"/>
    <w:rsid w:val="00061547"/>
    <w:rsid w:val="000617A8"/>
    <w:rsid w:val="000619F5"/>
    <w:rsid w:val="00061C89"/>
    <w:rsid w:val="00061E03"/>
    <w:rsid w:val="00061FC5"/>
    <w:rsid w:val="00062078"/>
    <w:rsid w:val="00062D9B"/>
    <w:rsid w:val="0006376B"/>
    <w:rsid w:val="0006471C"/>
    <w:rsid w:val="000651C0"/>
    <w:rsid w:val="000652FF"/>
    <w:rsid w:val="0006560A"/>
    <w:rsid w:val="0006701E"/>
    <w:rsid w:val="00067329"/>
    <w:rsid w:val="00067D1E"/>
    <w:rsid w:val="000700BB"/>
    <w:rsid w:val="00070607"/>
    <w:rsid w:val="00070D46"/>
    <w:rsid w:val="00070E3F"/>
    <w:rsid w:val="00071339"/>
    <w:rsid w:val="00071500"/>
    <w:rsid w:val="00071849"/>
    <w:rsid w:val="00071910"/>
    <w:rsid w:val="00071C54"/>
    <w:rsid w:val="0007241B"/>
    <w:rsid w:val="00072751"/>
    <w:rsid w:val="0007282E"/>
    <w:rsid w:val="00072937"/>
    <w:rsid w:val="00072F42"/>
    <w:rsid w:val="000731CE"/>
    <w:rsid w:val="000735C7"/>
    <w:rsid w:val="00074291"/>
    <w:rsid w:val="00074828"/>
    <w:rsid w:val="00074E99"/>
    <w:rsid w:val="00075203"/>
    <w:rsid w:val="000752DD"/>
    <w:rsid w:val="000755D3"/>
    <w:rsid w:val="000758C4"/>
    <w:rsid w:val="00075969"/>
    <w:rsid w:val="0007628B"/>
    <w:rsid w:val="0007646E"/>
    <w:rsid w:val="00076CA1"/>
    <w:rsid w:val="00077BB9"/>
    <w:rsid w:val="00077D21"/>
    <w:rsid w:val="00080278"/>
    <w:rsid w:val="000808AB"/>
    <w:rsid w:val="0008198D"/>
    <w:rsid w:val="0008298F"/>
    <w:rsid w:val="00082E39"/>
    <w:rsid w:val="00083537"/>
    <w:rsid w:val="0008397B"/>
    <w:rsid w:val="00083A7E"/>
    <w:rsid w:val="00083F91"/>
    <w:rsid w:val="00084100"/>
    <w:rsid w:val="00084917"/>
    <w:rsid w:val="000854B4"/>
    <w:rsid w:val="00085A1E"/>
    <w:rsid w:val="00085F59"/>
    <w:rsid w:val="00086149"/>
    <w:rsid w:val="00086C15"/>
    <w:rsid w:val="000871BA"/>
    <w:rsid w:val="000875F2"/>
    <w:rsid w:val="000877C4"/>
    <w:rsid w:val="00087B03"/>
    <w:rsid w:val="00090823"/>
    <w:rsid w:val="00090F29"/>
    <w:rsid w:val="000913F8"/>
    <w:rsid w:val="00091696"/>
    <w:rsid w:val="00092448"/>
    <w:rsid w:val="0009359B"/>
    <w:rsid w:val="00093DF4"/>
    <w:rsid w:val="0009420B"/>
    <w:rsid w:val="00094ED8"/>
    <w:rsid w:val="000953AB"/>
    <w:rsid w:val="00095BA1"/>
    <w:rsid w:val="00096A37"/>
    <w:rsid w:val="00097524"/>
    <w:rsid w:val="000978C2"/>
    <w:rsid w:val="000A0A14"/>
    <w:rsid w:val="000A131B"/>
    <w:rsid w:val="000A159F"/>
    <w:rsid w:val="000A1B9B"/>
    <w:rsid w:val="000A20E4"/>
    <w:rsid w:val="000A24BE"/>
    <w:rsid w:val="000A271C"/>
    <w:rsid w:val="000A2934"/>
    <w:rsid w:val="000A30CE"/>
    <w:rsid w:val="000A3361"/>
    <w:rsid w:val="000A3B22"/>
    <w:rsid w:val="000A3C94"/>
    <w:rsid w:val="000A3DB1"/>
    <w:rsid w:val="000A3F28"/>
    <w:rsid w:val="000A44FD"/>
    <w:rsid w:val="000A52D9"/>
    <w:rsid w:val="000A5415"/>
    <w:rsid w:val="000A5C9F"/>
    <w:rsid w:val="000A62B0"/>
    <w:rsid w:val="000A688F"/>
    <w:rsid w:val="000A6F11"/>
    <w:rsid w:val="000A709E"/>
    <w:rsid w:val="000A774B"/>
    <w:rsid w:val="000A7938"/>
    <w:rsid w:val="000A7981"/>
    <w:rsid w:val="000A7FEF"/>
    <w:rsid w:val="000B0C9B"/>
    <w:rsid w:val="000B22AB"/>
    <w:rsid w:val="000B246D"/>
    <w:rsid w:val="000B35D6"/>
    <w:rsid w:val="000B3892"/>
    <w:rsid w:val="000B3C39"/>
    <w:rsid w:val="000B3E40"/>
    <w:rsid w:val="000B49DE"/>
    <w:rsid w:val="000B4FFE"/>
    <w:rsid w:val="000B5063"/>
    <w:rsid w:val="000B548C"/>
    <w:rsid w:val="000B5A5D"/>
    <w:rsid w:val="000B5F71"/>
    <w:rsid w:val="000B630C"/>
    <w:rsid w:val="000B680C"/>
    <w:rsid w:val="000C0012"/>
    <w:rsid w:val="000C0049"/>
    <w:rsid w:val="000C0369"/>
    <w:rsid w:val="000C05A8"/>
    <w:rsid w:val="000C14C7"/>
    <w:rsid w:val="000C1EFB"/>
    <w:rsid w:val="000C1FB1"/>
    <w:rsid w:val="000C269B"/>
    <w:rsid w:val="000C2DD5"/>
    <w:rsid w:val="000C33F6"/>
    <w:rsid w:val="000C3E81"/>
    <w:rsid w:val="000C4500"/>
    <w:rsid w:val="000C4FF3"/>
    <w:rsid w:val="000C5D98"/>
    <w:rsid w:val="000C5D9E"/>
    <w:rsid w:val="000C6887"/>
    <w:rsid w:val="000C72E7"/>
    <w:rsid w:val="000C7616"/>
    <w:rsid w:val="000C7BA3"/>
    <w:rsid w:val="000C7E92"/>
    <w:rsid w:val="000D03E3"/>
    <w:rsid w:val="000D0681"/>
    <w:rsid w:val="000D06FE"/>
    <w:rsid w:val="000D0F27"/>
    <w:rsid w:val="000D1BFC"/>
    <w:rsid w:val="000D1C75"/>
    <w:rsid w:val="000D2046"/>
    <w:rsid w:val="000D2791"/>
    <w:rsid w:val="000D3801"/>
    <w:rsid w:val="000D389C"/>
    <w:rsid w:val="000D3C60"/>
    <w:rsid w:val="000D4772"/>
    <w:rsid w:val="000D4B4C"/>
    <w:rsid w:val="000D4C10"/>
    <w:rsid w:val="000D5055"/>
    <w:rsid w:val="000D557D"/>
    <w:rsid w:val="000D62DB"/>
    <w:rsid w:val="000D65CE"/>
    <w:rsid w:val="000D6664"/>
    <w:rsid w:val="000D77A1"/>
    <w:rsid w:val="000D7BCA"/>
    <w:rsid w:val="000D7FE3"/>
    <w:rsid w:val="000E0946"/>
    <w:rsid w:val="000E0BF1"/>
    <w:rsid w:val="000E113A"/>
    <w:rsid w:val="000E177C"/>
    <w:rsid w:val="000E17CF"/>
    <w:rsid w:val="000E1D13"/>
    <w:rsid w:val="000E20AC"/>
    <w:rsid w:val="000E211A"/>
    <w:rsid w:val="000E21EC"/>
    <w:rsid w:val="000E2230"/>
    <w:rsid w:val="000E22F3"/>
    <w:rsid w:val="000E3091"/>
    <w:rsid w:val="000E35C3"/>
    <w:rsid w:val="000E364C"/>
    <w:rsid w:val="000E38E8"/>
    <w:rsid w:val="000E4A6F"/>
    <w:rsid w:val="000E54AC"/>
    <w:rsid w:val="000E553B"/>
    <w:rsid w:val="000E5ADF"/>
    <w:rsid w:val="000E6034"/>
    <w:rsid w:val="000E6094"/>
    <w:rsid w:val="000E751D"/>
    <w:rsid w:val="000E76C7"/>
    <w:rsid w:val="000E7E46"/>
    <w:rsid w:val="000F0BD6"/>
    <w:rsid w:val="000F0BFA"/>
    <w:rsid w:val="000F1539"/>
    <w:rsid w:val="000F1D9A"/>
    <w:rsid w:val="000F20F7"/>
    <w:rsid w:val="000F223A"/>
    <w:rsid w:val="000F2649"/>
    <w:rsid w:val="000F2EAB"/>
    <w:rsid w:val="000F2F8E"/>
    <w:rsid w:val="000F3A8C"/>
    <w:rsid w:val="000F3BD9"/>
    <w:rsid w:val="000F4111"/>
    <w:rsid w:val="000F5552"/>
    <w:rsid w:val="000F5952"/>
    <w:rsid w:val="000F6635"/>
    <w:rsid w:val="000F694E"/>
    <w:rsid w:val="000F6E31"/>
    <w:rsid w:val="000F75A8"/>
    <w:rsid w:val="000F77A4"/>
    <w:rsid w:val="000F7998"/>
    <w:rsid w:val="000F7C62"/>
    <w:rsid w:val="00101116"/>
    <w:rsid w:val="0010166C"/>
    <w:rsid w:val="0010173B"/>
    <w:rsid w:val="00101808"/>
    <w:rsid w:val="001022A3"/>
    <w:rsid w:val="00102FCC"/>
    <w:rsid w:val="00103591"/>
    <w:rsid w:val="0010427D"/>
    <w:rsid w:val="001047CE"/>
    <w:rsid w:val="00104977"/>
    <w:rsid w:val="00105D44"/>
    <w:rsid w:val="00107507"/>
    <w:rsid w:val="001078BE"/>
    <w:rsid w:val="001101A4"/>
    <w:rsid w:val="001107D1"/>
    <w:rsid w:val="00111784"/>
    <w:rsid w:val="001117C2"/>
    <w:rsid w:val="001119D0"/>
    <w:rsid w:val="00111A6E"/>
    <w:rsid w:val="00111A73"/>
    <w:rsid w:val="00111E69"/>
    <w:rsid w:val="00111FB1"/>
    <w:rsid w:val="00112459"/>
    <w:rsid w:val="00112F67"/>
    <w:rsid w:val="001140E5"/>
    <w:rsid w:val="001143E8"/>
    <w:rsid w:val="00114823"/>
    <w:rsid w:val="00114FE1"/>
    <w:rsid w:val="0011560E"/>
    <w:rsid w:val="00116445"/>
    <w:rsid w:val="00116D31"/>
    <w:rsid w:val="00117B0D"/>
    <w:rsid w:val="00117F6C"/>
    <w:rsid w:val="00120F3A"/>
    <w:rsid w:val="001210AD"/>
    <w:rsid w:val="00121166"/>
    <w:rsid w:val="00122B24"/>
    <w:rsid w:val="00123E7E"/>
    <w:rsid w:val="001249A4"/>
    <w:rsid w:val="00125195"/>
    <w:rsid w:val="00125284"/>
    <w:rsid w:val="001253E3"/>
    <w:rsid w:val="0012548E"/>
    <w:rsid w:val="00125A72"/>
    <w:rsid w:val="0012665A"/>
    <w:rsid w:val="001267BF"/>
    <w:rsid w:val="00127A10"/>
    <w:rsid w:val="00130284"/>
    <w:rsid w:val="0013054B"/>
    <w:rsid w:val="00130EA2"/>
    <w:rsid w:val="00131108"/>
    <w:rsid w:val="00131131"/>
    <w:rsid w:val="00131574"/>
    <w:rsid w:val="00131683"/>
    <w:rsid w:val="0013181E"/>
    <w:rsid w:val="00131A27"/>
    <w:rsid w:val="00132CE7"/>
    <w:rsid w:val="00133091"/>
    <w:rsid w:val="00133730"/>
    <w:rsid w:val="00135C08"/>
    <w:rsid w:val="00135E8D"/>
    <w:rsid w:val="00136040"/>
    <w:rsid w:val="0013628E"/>
    <w:rsid w:val="00136471"/>
    <w:rsid w:val="00136593"/>
    <w:rsid w:val="00137D19"/>
    <w:rsid w:val="001401B3"/>
    <w:rsid w:val="001408A6"/>
    <w:rsid w:val="00140939"/>
    <w:rsid w:val="00141AD8"/>
    <w:rsid w:val="00141C88"/>
    <w:rsid w:val="00142887"/>
    <w:rsid w:val="00142CBB"/>
    <w:rsid w:val="00142E2B"/>
    <w:rsid w:val="00142FAC"/>
    <w:rsid w:val="00142FB1"/>
    <w:rsid w:val="00143366"/>
    <w:rsid w:val="001441CB"/>
    <w:rsid w:val="0014429A"/>
    <w:rsid w:val="00144CEB"/>
    <w:rsid w:val="0014595D"/>
    <w:rsid w:val="00145B33"/>
    <w:rsid w:val="0014645D"/>
    <w:rsid w:val="00146B5B"/>
    <w:rsid w:val="00146E50"/>
    <w:rsid w:val="00146FDB"/>
    <w:rsid w:val="00147188"/>
    <w:rsid w:val="001473A3"/>
    <w:rsid w:val="00147504"/>
    <w:rsid w:val="00147A66"/>
    <w:rsid w:val="001501B5"/>
    <w:rsid w:val="00150451"/>
    <w:rsid w:val="00151450"/>
    <w:rsid w:val="0015173F"/>
    <w:rsid w:val="00152889"/>
    <w:rsid w:val="00152B65"/>
    <w:rsid w:val="00152D63"/>
    <w:rsid w:val="00152F96"/>
    <w:rsid w:val="001530A9"/>
    <w:rsid w:val="001531FF"/>
    <w:rsid w:val="00153203"/>
    <w:rsid w:val="00153348"/>
    <w:rsid w:val="00153D58"/>
    <w:rsid w:val="001546DD"/>
    <w:rsid w:val="0015489E"/>
    <w:rsid w:val="001548ED"/>
    <w:rsid w:val="00154C99"/>
    <w:rsid w:val="00154E17"/>
    <w:rsid w:val="001557DB"/>
    <w:rsid w:val="00155CC9"/>
    <w:rsid w:val="0015637E"/>
    <w:rsid w:val="001566D4"/>
    <w:rsid w:val="00156FAB"/>
    <w:rsid w:val="0015715C"/>
    <w:rsid w:val="0016236F"/>
    <w:rsid w:val="001629ED"/>
    <w:rsid w:val="00162B44"/>
    <w:rsid w:val="00162E24"/>
    <w:rsid w:val="00163580"/>
    <w:rsid w:val="0016376A"/>
    <w:rsid w:val="00163A47"/>
    <w:rsid w:val="00163BDF"/>
    <w:rsid w:val="0016489A"/>
    <w:rsid w:val="00164A14"/>
    <w:rsid w:val="00164B09"/>
    <w:rsid w:val="00164E8F"/>
    <w:rsid w:val="001651D7"/>
    <w:rsid w:val="00165413"/>
    <w:rsid w:val="00165F61"/>
    <w:rsid w:val="0016643B"/>
    <w:rsid w:val="001669CA"/>
    <w:rsid w:val="00166CD4"/>
    <w:rsid w:val="00166F7C"/>
    <w:rsid w:val="001670CE"/>
    <w:rsid w:val="00167140"/>
    <w:rsid w:val="00167853"/>
    <w:rsid w:val="00170658"/>
    <w:rsid w:val="00170996"/>
    <w:rsid w:val="001709C4"/>
    <w:rsid w:val="001710A9"/>
    <w:rsid w:val="00171887"/>
    <w:rsid w:val="001718A7"/>
    <w:rsid w:val="00171A0F"/>
    <w:rsid w:val="00171B9B"/>
    <w:rsid w:val="001729A0"/>
    <w:rsid w:val="00172AAB"/>
    <w:rsid w:val="00172E38"/>
    <w:rsid w:val="00173469"/>
    <w:rsid w:val="00174148"/>
    <w:rsid w:val="001744E6"/>
    <w:rsid w:val="001746CA"/>
    <w:rsid w:val="00174CFD"/>
    <w:rsid w:val="00174ECB"/>
    <w:rsid w:val="00175010"/>
    <w:rsid w:val="001753F1"/>
    <w:rsid w:val="00175EEA"/>
    <w:rsid w:val="00175FA8"/>
    <w:rsid w:val="00176626"/>
    <w:rsid w:val="00176C49"/>
    <w:rsid w:val="00176D95"/>
    <w:rsid w:val="001771A0"/>
    <w:rsid w:val="00180EC6"/>
    <w:rsid w:val="00181404"/>
    <w:rsid w:val="00182CD6"/>
    <w:rsid w:val="00182D5F"/>
    <w:rsid w:val="00182FFD"/>
    <w:rsid w:val="001832A1"/>
    <w:rsid w:val="001832DE"/>
    <w:rsid w:val="00183BAE"/>
    <w:rsid w:val="00183C04"/>
    <w:rsid w:val="00183E71"/>
    <w:rsid w:val="001845CE"/>
    <w:rsid w:val="00184634"/>
    <w:rsid w:val="00185832"/>
    <w:rsid w:val="00185ED9"/>
    <w:rsid w:val="00186058"/>
    <w:rsid w:val="0018656A"/>
    <w:rsid w:val="00186635"/>
    <w:rsid w:val="00186A8C"/>
    <w:rsid w:val="00187991"/>
    <w:rsid w:val="00187C3A"/>
    <w:rsid w:val="00187D14"/>
    <w:rsid w:val="00187DB3"/>
    <w:rsid w:val="00190015"/>
    <w:rsid w:val="001903D2"/>
    <w:rsid w:val="0019097C"/>
    <w:rsid w:val="00191E4D"/>
    <w:rsid w:val="00191EC6"/>
    <w:rsid w:val="0019201F"/>
    <w:rsid w:val="001921B3"/>
    <w:rsid w:val="00193446"/>
    <w:rsid w:val="00193BBF"/>
    <w:rsid w:val="00193EF2"/>
    <w:rsid w:val="00194793"/>
    <w:rsid w:val="00194B30"/>
    <w:rsid w:val="00194CA7"/>
    <w:rsid w:val="001956B7"/>
    <w:rsid w:val="001958B4"/>
    <w:rsid w:val="0019591D"/>
    <w:rsid w:val="00195A83"/>
    <w:rsid w:val="00195C3E"/>
    <w:rsid w:val="00197099"/>
    <w:rsid w:val="001973DB"/>
    <w:rsid w:val="001A0377"/>
    <w:rsid w:val="001A04EA"/>
    <w:rsid w:val="001A0B8C"/>
    <w:rsid w:val="001A207D"/>
    <w:rsid w:val="001A21C5"/>
    <w:rsid w:val="001A3171"/>
    <w:rsid w:val="001A32D8"/>
    <w:rsid w:val="001A4911"/>
    <w:rsid w:val="001A4F0C"/>
    <w:rsid w:val="001A4F47"/>
    <w:rsid w:val="001A5513"/>
    <w:rsid w:val="001A561F"/>
    <w:rsid w:val="001A65FB"/>
    <w:rsid w:val="001A6AAB"/>
    <w:rsid w:val="001A713B"/>
    <w:rsid w:val="001A75E2"/>
    <w:rsid w:val="001B05F4"/>
    <w:rsid w:val="001B3142"/>
    <w:rsid w:val="001B32EE"/>
    <w:rsid w:val="001B3B4F"/>
    <w:rsid w:val="001B4196"/>
    <w:rsid w:val="001B48E0"/>
    <w:rsid w:val="001B4F37"/>
    <w:rsid w:val="001B53F1"/>
    <w:rsid w:val="001B5C74"/>
    <w:rsid w:val="001B611F"/>
    <w:rsid w:val="001B68E7"/>
    <w:rsid w:val="001B697C"/>
    <w:rsid w:val="001B7BBB"/>
    <w:rsid w:val="001C0903"/>
    <w:rsid w:val="001C0C48"/>
    <w:rsid w:val="001C0C98"/>
    <w:rsid w:val="001C1119"/>
    <w:rsid w:val="001C1578"/>
    <w:rsid w:val="001C17B6"/>
    <w:rsid w:val="001C3116"/>
    <w:rsid w:val="001C375F"/>
    <w:rsid w:val="001C3AF5"/>
    <w:rsid w:val="001C3EDC"/>
    <w:rsid w:val="001C4C5B"/>
    <w:rsid w:val="001C5048"/>
    <w:rsid w:val="001C63DA"/>
    <w:rsid w:val="001C66E9"/>
    <w:rsid w:val="001C6908"/>
    <w:rsid w:val="001C6A3B"/>
    <w:rsid w:val="001C6B35"/>
    <w:rsid w:val="001C7388"/>
    <w:rsid w:val="001C74C8"/>
    <w:rsid w:val="001C75E0"/>
    <w:rsid w:val="001C7D45"/>
    <w:rsid w:val="001D0A56"/>
    <w:rsid w:val="001D0ABA"/>
    <w:rsid w:val="001D0D94"/>
    <w:rsid w:val="001D16A6"/>
    <w:rsid w:val="001D2423"/>
    <w:rsid w:val="001D29E0"/>
    <w:rsid w:val="001D29F7"/>
    <w:rsid w:val="001D2A58"/>
    <w:rsid w:val="001D2B3F"/>
    <w:rsid w:val="001D2BA7"/>
    <w:rsid w:val="001D3348"/>
    <w:rsid w:val="001D3D48"/>
    <w:rsid w:val="001D41D4"/>
    <w:rsid w:val="001D4B51"/>
    <w:rsid w:val="001D4ED4"/>
    <w:rsid w:val="001D4F2E"/>
    <w:rsid w:val="001D5864"/>
    <w:rsid w:val="001D58BA"/>
    <w:rsid w:val="001D5951"/>
    <w:rsid w:val="001D611A"/>
    <w:rsid w:val="001D6450"/>
    <w:rsid w:val="001D6C47"/>
    <w:rsid w:val="001D6FA1"/>
    <w:rsid w:val="001D7451"/>
    <w:rsid w:val="001E0054"/>
    <w:rsid w:val="001E060E"/>
    <w:rsid w:val="001E0AF8"/>
    <w:rsid w:val="001E1B3C"/>
    <w:rsid w:val="001E1E8C"/>
    <w:rsid w:val="001E272B"/>
    <w:rsid w:val="001E2E50"/>
    <w:rsid w:val="001E312F"/>
    <w:rsid w:val="001E35BB"/>
    <w:rsid w:val="001E35CE"/>
    <w:rsid w:val="001E35F9"/>
    <w:rsid w:val="001E36C6"/>
    <w:rsid w:val="001E3C21"/>
    <w:rsid w:val="001E4A1D"/>
    <w:rsid w:val="001E535C"/>
    <w:rsid w:val="001E54C2"/>
    <w:rsid w:val="001E58CE"/>
    <w:rsid w:val="001E6247"/>
    <w:rsid w:val="001E6647"/>
    <w:rsid w:val="001E75B6"/>
    <w:rsid w:val="001F00B0"/>
    <w:rsid w:val="001F04B9"/>
    <w:rsid w:val="001F0D7D"/>
    <w:rsid w:val="001F161A"/>
    <w:rsid w:val="001F1E58"/>
    <w:rsid w:val="001F2F5D"/>
    <w:rsid w:val="001F334D"/>
    <w:rsid w:val="001F4B60"/>
    <w:rsid w:val="001F51BA"/>
    <w:rsid w:val="001F5B92"/>
    <w:rsid w:val="001F603C"/>
    <w:rsid w:val="001F625B"/>
    <w:rsid w:val="001F65E7"/>
    <w:rsid w:val="001F6937"/>
    <w:rsid w:val="001F7B26"/>
    <w:rsid w:val="0020029B"/>
    <w:rsid w:val="002004D9"/>
    <w:rsid w:val="00200840"/>
    <w:rsid w:val="0020289F"/>
    <w:rsid w:val="00202DFD"/>
    <w:rsid w:val="00202F28"/>
    <w:rsid w:val="002030BF"/>
    <w:rsid w:val="0020484C"/>
    <w:rsid w:val="00204881"/>
    <w:rsid w:val="0020493B"/>
    <w:rsid w:val="00204B52"/>
    <w:rsid w:val="0020581B"/>
    <w:rsid w:val="00205876"/>
    <w:rsid w:val="002059EE"/>
    <w:rsid w:val="00205D5C"/>
    <w:rsid w:val="0020601E"/>
    <w:rsid w:val="002069A9"/>
    <w:rsid w:val="00206BE1"/>
    <w:rsid w:val="00207080"/>
    <w:rsid w:val="002070F1"/>
    <w:rsid w:val="00207601"/>
    <w:rsid w:val="00207799"/>
    <w:rsid w:val="00207825"/>
    <w:rsid w:val="00207F2E"/>
    <w:rsid w:val="002106E1"/>
    <w:rsid w:val="00210F87"/>
    <w:rsid w:val="002114B4"/>
    <w:rsid w:val="002119BC"/>
    <w:rsid w:val="00211FB2"/>
    <w:rsid w:val="00211FD9"/>
    <w:rsid w:val="00212CB2"/>
    <w:rsid w:val="00213223"/>
    <w:rsid w:val="002137FF"/>
    <w:rsid w:val="00213D89"/>
    <w:rsid w:val="002142D4"/>
    <w:rsid w:val="00214534"/>
    <w:rsid w:val="002146E8"/>
    <w:rsid w:val="002149D8"/>
    <w:rsid w:val="00214BF0"/>
    <w:rsid w:val="00215918"/>
    <w:rsid w:val="00215EC1"/>
    <w:rsid w:val="002164E1"/>
    <w:rsid w:val="002177EE"/>
    <w:rsid w:val="00217DDA"/>
    <w:rsid w:val="00217EF8"/>
    <w:rsid w:val="00217FB8"/>
    <w:rsid w:val="00220128"/>
    <w:rsid w:val="002202AB"/>
    <w:rsid w:val="00220965"/>
    <w:rsid w:val="00220C8B"/>
    <w:rsid w:val="002211F2"/>
    <w:rsid w:val="0022120D"/>
    <w:rsid w:val="0022247E"/>
    <w:rsid w:val="002225A8"/>
    <w:rsid w:val="00222B7F"/>
    <w:rsid w:val="002234C5"/>
    <w:rsid w:val="002238F6"/>
    <w:rsid w:val="00223CD0"/>
    <w:rsid w:val="00224183"/>
    <w:rsid w:val="002242B5"/>
    <w:rsid w:val="002242DC"/>
    <w:rsid w:val="00224D7F"/>
    <w:rsid w:val="00225179"/>
    <w:rsid w:val="00225C2F"/>
    <w:rsid w:val="00226178"/>
    <w:rsid w:val="00226605"/>
    <w:rsid w:val="002272E1"/>
    <w:rsid w:val="002276DB"/>
    <w:rsid w:val="0023114D"/>
    <w:rsid w:val="00231284"/>
    <w:rsid w:val="00231947"/>
    <w:rsid w:val="00231E46"/>
    <w:rsid w:val="00232530"/>
    <w:rsid w:val="002328BF"/>
    <w:rsid w:val="00232B2B"/>
    <w:rsid w:val="002332B4"/>
    <w:rsid w:val="00233748"/>
    <w:rsid w:val="00233D04"/>
    <w:rsid w:val="00234324"/>
    <w:rsid w:val="0023436F"/>
    <w:rsid w:val="002345EA"/>
    <w:rsid w:val="00234A5F"/>
    <w:rsid w:val="00234E9F"/>
    <w:rsid w:val="0023506A"/>
    <w:rsid w:val="002354AC"/>
    <w:rsid w:val="00235F32"/>
    <w:rsid w:val="00236185"/>
    <w:rsid w:val="0023640D"/>
    <w:rsid w:val="002366EC"/>
    <w:rsid w:val="002367AB"/>
    <w:rsid w:val="00236B9C"/>
    <w:rsid w:val="0023738E"/>
    <w:rsid w:val="0023754E"/>
    <w:rsid w:val="00237700"/>
    <w:rsid w:val="002402D6"/>
    <w:rsid w:val="00241599"/>
    <w:rsid w:val="002423D3"/>
    <w:rsid w:val="00242996"/>
    <w:rsid w:val="002433D9"/>
    <w:rsid w:val="0024365E"/>
    <w:rsid w:val="002446D3"/>
    <w:rsid w:val="0024498E"/>
    <w:rsid w:val="002459F5"/>
    <w:rsid w:val="002462FB"/>
    <w:rsid w:val="002463DB"/>
    <w:rsid w:val="00246E6D"/>
    <w:rsid w:val="002475D9"/>
    <w:rsid w:val="00247C06"/>
    <w:rsid w:val="00247FE8"/>
    <w:rsid w:val="0025105F"/>
    <w:rsid w:val="00252015"/>
    <w:rsid w:val="00252042"/>
    <w:rsid w:val="00252090"/>
    <w:rsid w:val="00252228"/>
    <w:rsid w:val="0025275F"/>
    <w:rsid w:val="002528D9"/>
    <w:rsid w:val="0025350D"/>
    <w:rsid w:val="002537DC"/>
    <w:rsid w:val="0025461A"/>
    <w:rsid w:val="00254E79"/>
    <w:rsid w:val="00255594"/>
    <w:rsid w:val="00255626"/>
    <w:rsid w:val="0025600E"/>
    <w:rsid w:val="00256AB4"/>
    <w:rsid w:val="0025748C"/>
    <w:rsid w:val="0025790B"/>
    <w:rsid w:val="00257B5A"/>
    <w:rsid w:val="00257CC1"/>
    <w:rsid w:val="00260150"/>
    <w:rsid w:val="00260BC0"/>
    <w:rsid w:val="0026124D"/>
    <w:rsid w:val="002613A6"/>
    <w:rsid w:val="002613E9"/>
    <w:rsid w:val="00261AB5"/>
    <w:rsid w:val="00261E0A"/>
    <w:rsid w:val="00261EBC"/>
    <w:rsid w:val="00262D55"/>
    <w:rsid w:val="00262E23"/>
    <w:rsid w:val="0026316C"/>
    <w:rsid w:val="002635FE"/>
    <w:rsid w:val="002645C6"/>
    <w:rsid w:val="00264A1F"/>
    <w:rsid w:val="00264A3C"/>
    <w:rsid w:val="00264B54"/>
    <w:rsid w:val="00264DAB"/>
    <w:rsid w:val="00264DF1"/>
    <w:rsid w:val="00264FB1"/>
    <w:rsid w:val="002657A9"/>
    <w:rsid w:val="00265B5B"/>
    <w:rsid w:val="00265B9F"/>
    <w:rsid w:val="00265EE5"/>
    <w:rsid w:val="002664B4"/>
    <w:rsid w:val="00266866"/>
    <w:rsid w:val="00266A92"/>
    <w:rsid w:val="00266F40"/>
    <w:rsid w:val="0026715F"/>
    <w:rsid w:val="0026739A"/>
    <w:rsid w:val="002673CF"/>
    <w:rsid w:val="0026770D"/>
    <w:rsid w:val="00267A04"/>
    <w:rsid w:val="00267CEA"/>
    <w:rsid w:val="00270EDD"/>
    <w:rsid w:val="002714F5"/>
    <w:rsid w:val="002716A1"/>
    <w:rsid w:val="00271F06"/>
    <w:rsid w:val="00272348"/>
    <w:rsid w:val="00272565"/>
    <w:rsid w:val="00272630"/>
    <w:rsid w:val="002754FD"/>
    <w:rsid w:val="0027601F"/>
    <w:rsid w:val="002761E9"/>
    <w:rsid w:val="002767BD"/>
    <w:rsid w:val="00277061"/>
    <w:rsid w:val="0027718A"/>
    <w:rsid w:val="00277675"/>
    <w:rsid w:val="00277A1F"/>
    <w:rsid w:val="00277B06"/>
    <w:rsid w:val="002804C2"/>
    <w:rsid w:val="0028120D"/>
    <w:rsid w:val="00281C71"/>
    <w:rsid w:val="00283592"/>
    <w:rsid w:val="00283F52"/>
    <w:rsid w:val="00284361"/>
    <w:rsid w:val="0028484B"/>
    <w:rsid w:val="00284BBD"/>
    <w:rsid w:val="00285AB1"/>
    <w:rsid w:val="0028624B"/>
    <w:rsid w:val="00286388"/>
    <w:rsid w:val="00286530"/>
    <w:rsid w:val="00286570"/>
    <w:rsid w:val="00286960"/>
    <w:rsid w:val="00286B5E"/>
    <w:rsid w:val="002870B7"/>
    <w:rsid w:val="0028741C"/>
    <w:rsid w:val="0029004A"/>
    <w:rsid w:val="00290B5F"/>
    <w:rsid w:val="00290B6A"/>
    <w:rsid w:val="00290F08"/>
    <w:rsid w:val="0029118D"/>
    <w:rsid w:val="0029118F"/>
    <w:rsid w:val="00291D0E"/>
    <w:rsid w:val="002921BB"/>
    <w:rsid w:val="0029259B"/>
    <w:rsid w:val="00292968"/>
    <w:rsid w:val="00292F35"/>
    <w:rsid w:val="00293B4B"/>
    <w:rsid w:val="00294095"/>
    <w:rsid w:val="00294490"/>
    <w:rsid w:val="00294E44"/>
    <w:rsid w:val="00294F97"/>
    <w:rsid w:val="002955B5"/>
    <w:rsid w:val="00295E9B"/>
    <w:rsid w:val="00296733"/>
    <w:rsid w:val="002968B0"/>
    <w:rsid w:val="0029729B"/>
    <w:rsid w:val="00297B1B"/>
    <w:rsid w:val="00297F25"/>
    <w:rsid w:val="002A07A9"/>
    <w:rsid w:val="002A17C1"/>
    <w:rsid w:val="002A19F1"/>
    <w:rsid w:val="002A1FD3"/>
    <w:rsid w:val="002A29DD"/>
    <w:rsid w:val="002A2AF0"/>
    <w:rsid w:val="002A2ED5"/>
    <w:rsid w:val="002A2FD4"/>
    <w:rsid w:val="002A436F"/>
    <w:rsid w:val="002A4A62"/>
    <w:rsid w:val="002A561C"/>
    <w:rsid w:val="002A69BC"/>
    <w:rsid w:val="002A6ECF"/>
    <w:rsid w:val="002A72E7"/>
    <w:rsid w:val="002A7556"/>
    <w:rsid w:val="002B0174"/>
    <w:rsid w:val="002B0E14"/>
    <w:rsid w:val="002B153C"/>
    <w:rsid w:val="002B25B5"/>
    <w:rsid w:val="002B3851"/>
    <w:rsid w:val="002B400B"/>
    <w:rsid w:val="002B4908"/>
    <w:rsid w:val="002B4C87"/>
    <w:rsid w:val="002B5065"/>
    <w:rsid w:val="002B6016"/>
    <w:rsid w:val="002B673A"/>
    <w:rsid w:val="002B74D3"/>
    <w:rsid w:val="002B7828"/>
    <w:rsid w:val="002B7BC2"/>
    <w:rsid w:val="002C0327"/>
    <w:rsid w:val="002C0AE6"/>
    <w:rsid w:val="002C14CD"/>
    <w:rsid w:val="002C1A9D"/>
    <w:rsid w:val="002C1B6B"/>
    <w:rsid w:val="002C1E33"/>
    <w:rsid w:val="002C259A"/>
    <w:rsid w:val="002C2664"/>
    <w:rsid w:val="002C2984"/>
    <w:rsid w:val="002C2B44"/>
    <w:rsid w:val="002C2B90"/>
    <w:rsid w:val="002C2FB2"/>
    <w:rsid w:val="002C31CE"/>
    <w:rsid w:val="002C3446"/>
    <w:rsid w:val="002C3882"/>
    <w:rsid w:val="002C3B3B"/>
    <w:rsid w:val="002C3B78"/>
    <w:rsid w:val="002C3BB1"/>
    <w:rsid w:val="002C4062"/>
    <w:rsid w:val="002C417F"/>
    <w:rsid w:val="002C48D8"/>
    <w:rsid w:val="002C51D7"/>
    <w:rsid w:val="002C5926"/>
    <w:rsid w:val="002C599C"/>
    <w:rsid w:val="002C5EF2"/>
    <w:rsid w:val="002C5FCB"/>
    <w:rsid w:val="002C62BF"/>
    <w:rsid w:val="002C6B1B"/>
    <w:rsid w:val="002C760E"/>
    <w:rsid w:val="002C7F8A"/>
    <w:rsid w:val="002D0A81"/>
    <w:rsid w:val="002D2A36"/>
    <w:rsid w:val="002D2FD9"/>
    <w:rsid w:val="002D3035"/>
    <w:rsid w:val="002D3452"/>
    <w:rsid w:val="002D34CD"/>
    <w:rsid w:val="002D39B6"/>
    <w:rsid w:val="002D39E4"/>
    <w:rsid w:val="002D4F93"/>
    <w:rsid w:val="002D50DA"/>
    <w:rsid w:val="002D5672"/>
    <w:rsid w:val="002D66CA"/>
    <w:rsid w:val="002D66D6"/>
    <w:rsid w:val="002D6E39"/>
    <w:rsid w:val="002D731D"/>
    <w:rsid w:val="002D74EE"/>
    <w:rsid w:val="002D7DBB"/>
    <w:rsid w:val="002E0161"/>
    <w:rsid w:val="002E06B8"/>
    <w:rsid w:val="002E1403"/>
    <w:rsid w:val="002E1733"/>
    <w:rsid w:val="002E2F5A"/>
    <w:rsid w:val="002E3452"/>
    <w:rsid w:val="002E37CC"/>
    <w:rsid w:val="002E38E6"/>
    <w:rsid w:val="002E3A46"/>
    <w:rsid w:val="002E3CF5"/>
    <w:rsid w:val="002E44A1"/>
    <w:rsid w:val="002E44CC"/>
    <w:rsid w:val="002E5323"/>
    <w:rsid w:val="002E5431"/>
    <w:rsid w:val="002E5631"/>
    <w:rsid w:val="002E58E9"/>
    <w:rsid w:val="002E59FE"/>
    <w:rsid w:val="002E5ED3"/>
    <w:rsid w:val="002E666F"/>
    <w:rsid w:val="002E6901"/>
    <w:rsid w:val="002E6E0B"/>
    <w:rsid w:val="002E70D4"/>
    <w:rsid w:val="002E7153"/>
    <w:rsid w:val="002E7385"/>
    <w:rsid w:val="002E73E3"/>
    <w:rsid w:val="002F0762"/>
    <w:rsid w:val="002F0A89"/>
    <w:rsid w:val="002F0EE6"/>
    <w:rsid w:val="002F16B5"/>
    <w:rsid w:val="002F1A73"/>
    <w:rsid w:val="002F206E"/>
    <w:rsid w:val="002F20EB"/>
    <w:rsid w:val="002F29FA"/>
    <w:rsid w:val="002F3349"/>
    <w:rsid w:val="002F3ADE"/>
    <w:rsid w:val="002F433C"/>
    <w:rsid w:val="002F43D3"/>
    <w:rsid w:val="002F4B17"/>
    <w:rsid w:val="002F4F77"/>
    <w:rsid w:val="002F58C0"/>
    <w:rsid w:val="002F5C6C"/>
    <w:rsid w:val="002F5CE4"/>
    <w:rsid w:val="002F6168"/>
    <w:rsid w:val="002F62E4"/>
    <w:rsid w:val="002F63D4"/>
    <w:rsid w:val="002F6A10"/>
    <w:rsid w:val="002F744C"/>
    <w:rsid w:val="002F7583"/>
    <w:rsid w:val="002F791E"/>
    <w:rsid w:val="002F79C3"/>
    <w:rsid w:val="00300871"/>
    <w:rsid w:val="00300E95"/>
    <w:rsid w:val="0030162C"/>
    <w:rsid w:val="00301CA0"/>
    <w:rsid w:val="00301E6B"/>
    <w:rsid w:val="00302E41"/>
    <w:rsid w:val="003031D1"/>
    <w:rsid w:val="003037F1"/>
    <w:rsid w:val="00303891"/>
    <w:rsid w:val="0030448C"/>
    <w:rsid w:val="0030549A"/>
    <w:rsid w:val="0030595A"/>
    <w:rsid w:val="00306499"/>
    <w:rsid w:val="00306580"/>
    <w:rsid w:val="003067A8"/>
    <w:rsid w:val="00306976"/>
    <w:rsid w:val="00307E99"/>
    <w:rsid w:val="00307FDD"/>
    <w:rsid w:val="00311267"/>
    <w:rsid w:val="00311378"/>
    <w:rsid w:val="00311BBB"/>
    <w:rsid w:val="00311E20"/>
    <w:rsid w:val="003120B1"/>
    <w:rsid w:val="00312499"/>
    <w:rsid w:val="003126A4"/>
    <w:rsid w:val="003127BD"/>
    <w:rsid w:val="00312BC2"/>
    <w:rsid w:val="00313199"/>
    <w:rsid w:val="00313272"/>
    <w:rsid w:val="00313485"/>
    <w:rsid w:val="00313804"/>
    <w:rsid w:val="00313A94"/>
    <w:rsid w:val="00313AAF"/>
    <w:rsid w:val="0031484F"/>
    <w:rsid w:val="00315582"/>
    <w:rsid w:val="00315762"/>
    <w:rsid w:val="00315F13"/>
    <w:rsid w:val="0031666C"/>
    <w:rsid w:val="003166C0"/>
    <w:rsid w:val="00316851"/>
    <w:rsid w:val="00316AA4"/>
    <w:rsid w:val="0031778A"/>
    <w:rsid w:val="00317DA9"/>
    <w:rsid w:val="00317EA6"/>
    <w:rsid w:val="00317F16"/>
    <w:rsid w:val="003200A8"/>
    <w:rsid w:val="003208ED"/>
    <w:rsid w:val="0032096C"/>
    <w:rsid w:val="00321051"/>
    <w:rsid w:val="00321210"/>
    <w:rsid w:val="00321E09"/>
    <w:rsid w:val="00322173"/>
    <w:rsid w:val="00322DFF"/>
    <w:rsid w:val="00323494"/>
    <w:rsid w:val="00323E2C"/>
    <w:rsid w:val="00324088"/>
    <w:rsid w:val="00324D94"/>
    <w:rsid w:val="003257F7"/>
    <w:rsid w:val="00325864"/>
    <w:rsid w:val="003258BC"/>
    <w:rsid w:val="00326344"/>
    <w:rsid w:val="0032688D"/>
    <w:rsid w:val="00327240"/>
    <w:rsid w:val="00327A22"/>
    <w:rsid w:val="00327B12"/>
    <w:rsid w:val="0033070F"/>
    <w:rsid w:val="00331FF4"/>
    <w:rsid w:val="003321E8"/>
    <w:rsid w:val="003324B3"/>
    <w:rsid w:val="00332D79"/>
    <w:rsid w:val="00332D84"/>
    <w:rsid w:val="00333282"/>
    <w:rsid w:val="00333379"/>
    <w:rsid w:val="003338FC"/>
    <w:rsid w:val="00333EC2"/>
    <w:rsid w:val="00334118"/>
    <w:rsid w:val="00334A94"/>
    <w:rsid w:val="003353D9"/>
    <w:rsid w:val="00335C46"/>
    <w:rsid w:val="00337326"/>
    <w:rsid w:val="00337C73"/>
    <w:rsid w:val="003403C0"/>
    <w:rsid w:val="00340989"/>
    <w:rsid w:val="00340D70"/>
    <w:rsid w:val="003436A8"/>
    <w:rsid w:val="003438FF"/>
    <w:rsid w:val="00343ACC"/>
    <w:rsid w:val="00343E08"/>
    <w:rsid w:val="0034415F"/>
    <w:rsid w:val="00344267"/>
    <w:rsid w:val="0034461D"/>
    <w:rsid w:val="003447FB"/>
    <w:rsid w:val="003457BF"/>
    <w:rsid w:val="003464A8"/>
    <w:rsid w:val="003464EF"/>
    <w:rsid w:val="00346A12"/>
    <w:rsid w:val="00346DF7"/>
    <w:rsid w:val="00346E79"/>
    <w:rsid w:val="003472C6"/>
    <w:rsid w:val="00347C9D"/>
    <w:rsid w:val="00347DA7"/>
    <w:rsid w:val="00347EF7"/>
    <w:rsid w:val="0035044A"/>
    <w:rsid w:val="0035050B"/>
    <w:rsid w:val="0035077D"/>
    <w:rsid w:val="003509DB"/>
    <w:rsid w:val="00350AB1"/>
    <w:rsid w:val="003514CF"/>
    <w:rsid w:val="00351B11"/>
    <w:rsid w:val="003540F6"/>
    <w:rsid w:val="00354AD4"/>
    <w:rsid w:val="00355BAF"/>
    <w:rsid w:val="0035606C"/>
    <w:rsid w:val="003566BE"/>
    <w:rsid w:val="00356A8F"/>
    <w:rsid w:val="00357044"/>
    <w:rsid w:val="003576B2"/>
    <w:rsid w:val="003601DE"/>
    <w:rsid w:val="0036048B"/>
    <w:rsid w:val="003617D4"/>
    <w:rsid w:val="00361B4B"/>
    <w:rsid w:val="00361CA8"/>
    <w:rsid w:val="0036226C"/>
    <w:rsid w:val="00362444"/>
    <w:rsid w:val="00362870"/>
    <w:rsid w:val="00363778"/>
    <w:rsid w:val="00363B84"/>
    <w:rsid w:val="00363F94"/>
    <w:rsid w:val="0036443A"/>
    <w:rsid w:val="00364BF7"/>
    <w:rsid w:val="00364C49"/>
    <w:rsid w:val="00365214"/>
    <w:rsid w:val="0036546C"/>
    <w:rsid w:val="00365779"/>
    <w:rsid w:val="00365B1F"/>
    <w:rsid w:val="00365BBA"/>
    <w:rsid w:val="00365CF2"/>
    <w:rsid w:val="00366591"/>
    <w:rsid w:val="0036672F"/>
    <w:rsid w:val="00367085"/>
    <w:rsid w:val="003706B0"/>
    <w:rsid w:val="0037108F"/>
    <w:rsid w:val="00371F2D"/>
    <w:rsid w:val="0037214D"/>
    <w:rsid w:val="003722B3"/>
    <w:rsid w:val="00373105"/>
    <w:rsid w:val="0037380B"/>
    <w:rsid w:val="00373E7C"/>
    <w:rsid w:val="00374398"/>
    <w:rsid w:val="00374406"/>
    <w:rsid w:val="00374479"/>
    <w:rsid w:val="00374900"/>
    <w:rsid w:val="00374B92"/>
    <w:rsid w:val="00374BF6"/>
    <w:rsid w:val="0037665A"/>
    <w:rsid w:val="00376A3F"/>
    <w:rsid w:val="00376A41"/>
    <w:rsid w:val="00376F46"/>
    <w:rsid w:val="00377DF7"/>
    <w:rsid w:val="00377FC0"/>
    <w:rsid w:val="0038058B"/>
    <w:rsid w:val="0038067E"/>
    <w:rsid w:val="00380730"/>
    <w:rsid w:val="00381C13"/>
    <w:rsid w:val="00382333"/>
    <w:rsid w:val="00383581"/>
    <w:rsid w:val="00383F4F"/>
    <w:rsid w:val="00384084"/>
    <w:rsid w:val="00384698"/>
    <w:rsid w:val="00384EC2"/>
    <w:rsid w:val="00385A50"/>
    <w:rsid w:val="00385FBE"/>
    <w:rsid w:val="00386440"/>
    <w:rsid w:val="0038652B"/>
    <w:rsid w:val="003866F6"/>
    <w:rsid w:val="0038682C"/>
    <w:rsid w:val="00390205"/>
    <w:rsid w:val="00390267"/>
    <w:rsid w:val="003904EC"/>
    <w:rsid w:val="003909BB"/>
    <w:rsid w:val="00390F8D"/>
    <w:rsid w:val="00391034"/>
    <w:rsid w:val="003915B7"/>
    <w:rsid w:val="00391C6E"/>
    <w:rsid w:val="00391D31"/>
    <w:rsid w:val="003928A5"/>
    <w:rsid w:val="00392955"/>
    <w:rsid w:val="00392CD5"/>
    <w:rsid w:val="0039374C"/>
    <w:rsid w:val="00393776"/>
    <w:rsid w:val="00393D28"/>
    <w:rsid w:val="00393EF6"/>
    <w:rsid w:val="003941A4"/>
    <w:rsid w:val="0039454F"/>
    <w:rsid w:val="00394DEA"/>
    <w:rsid w:val="00395EC2"/>
    <w:rsid w:val="00396230"/>
    <w:rsid w:val="0039653F"/>
    <w:rsid w:val="00397023"/>
    <w:rsid w:val="00397822"/>
    <w:rsid w:val="003A045C"/>
    <w:rsid w:val="003A0590"/>
    <w:rsid w:val="003A0B4C"/>
    <w:rsid w:val="003A1013"/>
    <w:rsid w:val="003A12DD"/>
    <w:rsid w:val="003A1E25"/>
    <w:rsid w:val="003A20DB"/>
    <w:rsid w:val="003A21B0"/>
    <w:rsid w:val="003A28E5"/>
    <w:rsid w:val="003A29C4"/>
    <w:rsid w:val="003A31FC"/>
    <w:rsid w:val="003A3AC6"/>
    <w:rsid w:val="003A42D6"/>
    <w:rsid w:val="003A492F"/>
    <w:rsid w:val="003A5800"/>
    <w:rsid w:val="003A5E92"/>
    <w:rsid w:val="003A6203"/>
    <w:rsid w:val="003A6A99"/>
    <w:rsid w:val="003A7103"/>
    <w:rsid w:val="003A76AD"/>
    <w:rsid w:val="003A7F7E"/>
    <w:rsid w:val="003B01C3"/>
    <w:rsid w:val="003B08D0"/>
    <w:rsid w:val="003B0C84"/>
    <w:rsid w:val="003B0D68"/>
    <w:rsid w:val="003B1B34"/>
    <w:rsid w:val="003B278F"/>
    <w:rsid w:val="003B2E7F"/>
    <w:rsid w:val="003B31D4"/>
    <w:rsid w:val="003B360A"/>
    <w:rsid w:val="003B39B5"/>
    <w:rsid w:val="003B3BB7"/>
    <w:rsid w:val="003B4578"/>
    <w:rsid w:val="003B45BC"/>
    <w:rsid w:val="003B4FAC"/>
    <w:rsid w:val="003B518E"/>
    <w:rsid w:val="003B59FD"/>
    <w:rsid w:val="003B6BE9"/>
    <w:rsid w:val="003B739B"/>
    <w:rsid w:val="003B7602"/>
    <w:rsid w:val="003B78F6"/>
    <w:rsid w:val="003B7A38"/>
    <w:rsid w:val="003B7E0D"/>
    <w:rsid w:val="003C0234"/>
    <w:rsid w:val="003C105C"/>
    <w:rsid w:val="003C1088"/>
    <w:rsid w:val="003C23C9"/>
    <w:rsid w:val="003C262F"/>
    <w:rsid w:val="003C30AC"/>
    <w:rsid w:val="003C333C"/>
    <w:rsid w:val="003C37D9"/>
    <w:rsid w:val="003C3858"/>
    <w:rsid w:val="003C39C0"/>
    <w:rsid w:val="003C3AAB"/>
    <w:rsid w:val="003C3E0B"/>
    <w:rsid w:val="003C4BC1"/>
    <w:rsid w:val="003C4CC8"/>
    <w:rsid w:val="003C4D36"/>
    <w:rsid w:val="003C5070"/>
    <w:rsid w:val="003C5C2B"/>
    <w:rsid w:val="003C65DA"/>
    <w:rsid w:val="003C675C"/>
    <w:rsid w:val="003C67C8"/>
    <w:rsid w:val="003C6CBB"/>
    <w:rsid w:val="003C71C3"/>
    <w:rsid w:val="003C7443"/>
    <w:rsid w:val="003C78C4"/>
    <w:rsid w:val="003C79CA"/>
    <w:rsid w:val="003D0014"/>
    <w:rsid w:val="003D0347"/>
    <w:rsid w:val="003D04C5"/>
    <w:rsid w:val="003D063B"/>
    <w:rsid w:val="003D071A"/>
    <w:rsid w:val="003D0BEA"/>
    <w:rsid w:val="003D0F56"/>
    <w:rsid w:val="003D1D4C"/>
    <w:rsid w:val="003D1FFD"/>
    <w:rsid w:val="003D2210"/>
    <w:rsid w:val="003D27AE"/>
    <w:rsid w:val="003D2DE7"/>
    <w:rsid w:val="003D2FF8"/>
    <w:rsid w:val="003D35F9"/>
    <w:rsid w:val="003D365D"/>
    <w:rsid w:val="003D36CB"/>
    <w:rsid w:val="003D3BE0"/>
    <w:rsid w:val="003D3D4C"/>
    <w:rsid w:val="003D41E1"/>
    <w:rsid w:val="003D4E7C"/>
    <w:rsid w:val="003D6ECF"/>
    <w:rsid w:val="003E01A2"/>
    <w:rsid w:val="003E01D7"/>
    <w:rsid w:val="003E0368"/>
    <w:rsid w:val="003E09DC"/>
    <w:rsid w:val="003E0B58"/>
    <w:rsid w:val="003E0BC0"/>
    <w:rsid w:val="003E1414"/>
    <w:rsid w:val="003E1512"/>
    <w:rsid w:val="003E1856"/>
    <w:rsid w:val="003E18E8"/>
    <w:rsid w:val="003E2934"/>
    <w:rsid w:val="003E364F"/>
    <w:rsid w:val="003E36F9"/>
    <w:rsid w:val="003E379F"/>
    <w:rsid w:val="003E3CFE"/>
    <w:rsid w:val="003E4188"/>
    <w:rsid w:val="003E430D"/>
    <w:rsid w:val="003E485E"/>
    <w:rsid w:val="003E4D82"/>
    <w:rsid w:val="003E541C"/>
    <w:rsid w:val="003E579F"/>
    <w:rsid w:val="003E5A7D"/>
    <w:rsid w:val="003E5C57"/>
    <w:rsid w:val="003E6C40"/>
    <w:rsid w:val="003F0715"/>
    <w:rsid w:val="003F2391"/>
    <w:rsid w:val="003F287A"/>
    <w:rsid w:val="003F35EC"/>
    <w:rsid w:val="003F3668"/>
    <w:rsid w:val="003F3B52"/>
    <w:rsid w:val="003F442E"/>
    <w:rsid w:val="003F4DA0"/>
    <w:rsid w:val="003F55A7"/>
    <w:rsid w:val="003F5825"/>
    <w:rsid w:val="003F5A8F"/>
    <w:rsid w:val="003F5B71"/>
    <w:rsid w:val="003F6CC6"/>
    <w:rsid w:val="003F72B2"/>
    <w:rsid w:val="00400A19"/>
    <w:rsid w:val="00400FFE"/>
    <w:rsid w:val="004019D0"/>
    <w:rsid w:val="00402BFC"/>
    <w:rsid w:val="0040307B"/>
    <w:rsid w:val="00403535"/>
    <w:rsid w:val="00403824"/>
    <w:rsid w:val="00403F9B"/>
    <w:rsid w:val="004043B2"/>
    <w:rsid w:val="00404D6D"/>
    <w:rsid w:val="00404DEF"/>
    <w:rsid w:val="00404F89"/>
    <w:rsid w:val="00405685"/>
    <w:rsid w:val="00405802"/>
    <w:rsid w:val="00405E82"/>
    <w:rsid w:val="004069E7"/>
    <w:rsid w:val="004073ED"/>
    <w:rsid w:val="004073F7"/>
    <w:rsid w:val="00407E74"/>
    <w:rsid w:val="0041047B"/>
    <w:rsid w:val="00410A9A"/>
    <w:rsid w:val="00411FC1"/>
    <w:rsid w:val="0041218E"/>
    <w:rsid w:val="00412D1E"/>
    <w:rsid w:val="00412DD3"/>
    <w:rsid w:val="004138E1"/>
    <w:rsid w:val="0041396A"/>
    <w:rsid w:val="00413A71"/>
    <w:rsid w:val="00413DA6"/>
    <w:rsid w:val="00413FAA"/>
    <w:rsid w:val="00414097"/>
    <w:rsid w:val="00414206"/>
    <w:rsid w:val="00414515"/>
    <w:rsid w:val="00414B31"/>
    <w:rsid w:val="0041532A"/>
    <w:rsid w:val="00415857"/>
    <w:rsid w:val="00415B48"/>
    <w:rsid w:val="00416098"/>
    <w:rsid w:val="00417387"/>
    <w:rsid w:val="00417E80"/>
    <w:rsid w:val="00420F94"/>
    <w:rsid w:val="00421141"/>
    <w:rsid w:val="004215B8"/>
    <w:rsid w:val="00421999"/>
    <w:rsid w:val="00421E09"/>
    <w:rsid w:val="00423754"/>
    <w:rsid w:val="004239E2"/>
    <w:rsid w:val="00423EB6"/>
    <w:rsid w:val="0042428D"/>
    <w:rsid w:val="004251A8"/>
    <w:rsid w:val="00425989"/>
    <w:rsid w:val="00426122"/>
    <w:rsid w:val="004267F5"/>
    <w:rsid w:val="00426B4D"/>
    <w:rsid w:val="0042776C"/>
    <w:rsid w:val="00427858"/>
    <w:rsid w:val="00427BA4"/>
    <w:rsid w:val="00427C68"/>
    <w:rsid w:val="0043099F"/>
    <w:rsid w:val="00430E9F"/>
    <w:rsid w:val="004318D4"/>
    <w:rsid w:val="004319C2"/>
    <w:rsid w:val="004327B6"/>
    <w:rsid w:val="004332F3"/>
    <w:rsid w:val="0043336D"/>
    <w:rsid w:val="00433724"/>
    <w:rsid w:val="00433EA6"/>
    <w:rsid w:val="004350AB"/>
    <w:rsid w:val="004353B5"/>
    <w:rsid w:val="00435763"/>
    <w:rsid w:val="00435BE7"/>
    <w:rsid w:val="0043606A"/>
    <w:rsid w:val="004372B6"/>
    <w:rsid w:val="00437B52"/>
    <w:rsid w:val="00437D06"/>
    <w:rsid w:val="00440573"/>
    <w:rsid w:val="00440A18"/>
    <w:rsid w:val="00440AD4"/>
    <w:rsid w:val="00440DAD"/>
    <w:rsid w:val="00440EA5"/>
    <w:rsid w:val="00441052"/>
    <w:rsid w:val="004413D8"/>
    <w:rsid w:val="00441449"/>
    <w:rsid w:val="00441D81"/>
    <w:rsid w:val="0044242D"/>
    <w:rsid w:val="00443127"/>
    <w:rsid w:val="00443EE0"/>
    <w:rsid w:val="0044444A"/>
    <w:rsid w:val="0044448B"/>
    <w:rsid w:val="004449F7"/>
    <w:rsid w:val="00444B32"/>
    <w:rsid w:val="00444F7D"/>
    <w:rsid w:val="00445DF3"/>
    <w:rsid w:val="00447B93"/>
    <w:rsid w:val="00450B62"/>
    <w:rsid w:val="004529EC"/>
    <w:rsid w:val="0045320D"/>
    <w:rsid w:val="0045345C"/>
    <w:rsid w:val="00453579"/>
    <w:rsid w:val="004538BF"/>
    <w:rsid w:val="00454234"/>
    <w:rsid w:val="0045495C"/>
    <w:rsid w:val="004553C8"/>
    <w:rsid w:val="004555E7"/>
    <w:rsid w:val="004557DD"/>
    <w:rsid w:val="004558E5"/>
    <w:rsid w:val="0045626B"/>
    <w:rsid w:val="004563B0"/>
    <w:rsid w:val="0045649E"/>
    <w:rsid w:val="00456884"/>
    <w:rsid w:val="004569F7"/>
    <w:rsid w:val="0045763F"/>
    <w:rsid w:val="004577D2"/>
    <w:rsid w:val="00461295"/>
    <w:rsid w:val="00461302"/>
    <w:rsid w:val="004618A8"/>
    <w:rsid w:val="00461D9C"/>
    <w:rsid w:val="004639F9"/>
    <w:rsid w:val="00463A88"/>
    <w:rsid w:val="00463D55"/>
    <w:rsid w:val="00463DCB"/>
    <w:rsid w:val="00465203"/>
    <w:rsid w:val="004652AA"/>
    <w:rsid w:val="00465456"/>
    <w:rsid w:val="004655C0"/>
    <w:rsid w:val="00465F49"/>
    <w:rsid w:val="00467252"/>
    <w:rsid w:val="00467BD7"/>
    <w:rsid w:val="00467C13"/>
    <w:rsid w:val="00467F2A"/>
    <w:rsid w:val="00467FA8"/>
    <w:rsid w:val="00470F93"/>
    <w:rsid w:val="00471843"/>
    <w:rsid w:val="00471E1F"/>
    <w:rsid w:val="00472920"/>
    <w:rsid w:val="00472B28"/>
    <w:rsid w:val="0047304C"/>
    <w:rsid w:val="004746D6"/>
    <w:rsid w:val="0047486A"/>
    <w:rsid w:val="004749FD"/>
    <w:rsid w:val="00474DB4"/>
    <w:rsid w:val="004756C2"/>
    <w:rsid w:val="00475920"/>
    <w:rsid w:val="00475DD0"/>
    <w:rsid w:val="0047605A"/>
    <w:rsid w:val="00476DF1"/>
    <w:rsid w:val="004771BB"/>
    <w:rsid w:val="00477222"/>
    <w:rsid w:val="00477A67"/>
    <w:rsid w:val="00480222"/>
    <w:rsid w:val="00480675"/>
    <w:rsid w:val="00480F24"/>
    <w:rsid w:val="00482132"/>
    <w:rsid w:val="00482FCF"/>
    <w:rsid w:val="0048349E"/>
    <w:rsid w:val="00484164"/>
    <w:rsid w:val="00484365"/>
    <w:rsid w:val="00484E21"/>
    <w:rsid w:val="00484E2A"/>
    <w:rsid w:val="00486045"/>
    <w:rsid w:val="00486ACE"/>
    <w:rsid w:val="004873CE"/>
    <w:rsid w:val="00487430"/>
    <w:rsid w:val="00487AAF"/>
    <w:rsid w:val="00487CDB"/>
    <w:rsid w:val="00487EF7"/>
    <w:rsid w:val="00487F7D"/>
    <w:rsid w:val="004900FD"/>
    <w:rsid w:val="0049317A"/>
    <w:rsid w:val="00493E2D"/>
    <w:rsid w:val="004941FB"/>
    <w:rsid w:val="0049467F"/>
    <w:rsid w:val="00494D73"/>
    <w:rsid w:val="00494EC8"/>
    <w:rsid w:val="00495A2D"/>
    <w:rsid w:val="00495DA9"/>
    <w:rsid w:val="004968C7"/>
    <w:rsid w:val="00496D63"/>
    <w:rsid w:val="00496FE2"/>
    <w:rsid w:val="004972F9"/>
    <w:rsid w:val="004A028C"/>
    <w:rsid w:val="004A0611"/>
    <w:rsid w:val="004A0683"/>
    <w:rsid w:val="004A0722"/>
    <w:rsid w:val="004A0F8A"/>
    <w:rsid w:val="004A1295"/>
    <w:rsid w:val="004A190E"/>
    <w:rsid w:val="004A1A65"/>
    <w:rsid w:val="004A2298"/>
    <w:rsid w:val="004A2325"/>
    <w:rsid w:val="004A2A67"/>
    <w:rsid w:val="004A2E77"/>
    <w:rsid w:val="004A330A"/>
    <w:rsid w:val="004A3454"/>
    <w:rsid w:val="004A3911"/>
    <w:rsid w:val="004A3953"/>
    <w:rsid w:val="004A398C"/>
    <w:rsid w:val="004A3D13"/>
    <w:rsid w:val="004A403E"/>
    <w:rsid w:val="004A444C"/>
    <w:rsid w:val="004A4590"/>
    <w:rsid w:val="004A7168"/>
    <w:rsid w:val="004A777F"/>
    <w:rsid w:val="004B0941"/>
    <w:rsid w:val="004B10B0"/>
    <w:rsid w:val="004B1351"/>
    <w:rsid w:val="004B1941"/>
    <w:rsid w:val="004B1F67"/>
    <w:rsid w:val="004B1F84"/>
    <w:rsid w:val="004B2368"/>
    <w:rsid w:val="004B26A0"/>
    <w:rsid w:val="004B37D4"/>
    <w:rsid w:val="004B419A"/>
    <w:rsid w:val="004B49BA"/>
    <w:rsid w:val="004B4F31"/>
    <w:rsid w:val="004B50E5"/>
    <w:rsid w:val="004B50F0"/>
    <w:rsid w:val="004B518E"/>
    <w:rsid w:val="004B53F8"/>
    <w:rsid w:val="004B5C22"/>
    <w:rsid w:val="004B66D6"/>
    <w:rsid w:val="004B7356"/>
    <w:rsid w:val="004C00D6"/>
    <w:rsid w:val="004C12B9"/>
    <w:rsid w:val="004C14FF"/>
    <w:rsid w:val="004C1BC9"/>
    <w:rsid w:val="004C20A0"/>
    <w:rsid w:val="004C217E"/>
    <w:rsid w:val="004C2509"/>
    <w:rsid w:val="004C2641"/>
    <w:rsid w:val="004C26D3"/>
    <w:rsid w:val="004C2D19"/>
    <w:rsid w:val="004C2FE0"/>
    <w:rsid w:val="004C3EB8"/>
    <w:rsid w:val="004C3EC5"/>
    <w:rsid w:val="004C40FA"/>
    <w:rsid w:val="004C5304"/>
    <w:rsid w:val="004C54C7"/>
    <w:rsid w:val="004C5712"/>
    <w:rsid w:val="004C60FB"/>
    <w:rsid w:val="004C6632"/>
    <w:rsid w:val="004C6700"/>
    <w:rsid w:val="004C6878"/>
    <w:rsid w:val="004C6895"/>
    <w:rsid w:val="004C7577"/>
    <w:rsid w:val="004C7E57"/>
    <w:rsid w:val="004D0776"/>
    <w:rsid w:val="004D0905"/>
    <w:rsid w:val="004D096B"/>
    <w:rsid w:val="004D0D9F"/>
    <w:rsid w:val="004D10E8"/>
    <w:rsid w:val="004D1997"/>
    <w:rsid w:val="004D227E"/>
    <w:rsid w:val="004D2284"/>
    <w:rsid w:val="004D27D5"/>
    <w:rsid w:val="004D316F"/>
    <w:rsid w:val="004D3236"/>
    <w:rsid w:val="004D3937"/>
    <w:rsid w:val="004D3C9C"/>
    <w:rsid w:val="004D47FD"/>
    <w:rsid w:val="004D4C93"/>
    <w:rsid w:val="004D6023"/>
    <w:rsid w:val="004D629C"/>
    <w:rsid w:val="004D63DF"/>
    <w:rsid w:val="004D65F6"/>
    <w:rsid w:val="004D664F"/>
    <w:rsid w:val="004D706B"/>
    <w:rsid w:val="004D7354"/>
    <w:rsid w:val="004E0459"/>
    <w:rsid w:val="004E045A"/>
    <w:rsid w:val="004E07C7"/>
    <w:rsid w:val="004E0BA4"/>
    <w:rsid w:val="004E0BE6"/>
    <w:rsid w:val="004E1050"/>
    <w:rsid w:val="004E124A"/>
    <w:rsid w:val="004E146B"/>
    <w:rsid w:val="004E1771"/>
    <w:rsid w:val="004E1870"/>
    <w:rsid w:val="004E1A0D"/>
    <w:rsid w:val="004E1A9E"/>
    <w:rsid w:val="004E1CBC"/>
    <w:rsid w:val="004E1DA9"/>
    <w:rsid w:val="004E2BE8"/>
    <w:rsid w:val="004E350F"/>
    <w:rsid w:val="004E3C47"/>
    <w:rsid w:val="004E4669"/>
    <w:rsid w:val="004E4BCD"/>
    <w:rsid w:val="004E4EB5"/>
    <w:rsid w:val="004E55D3"/>
    <w:rsid w:val="004E5CC3"/>
    <w:rsid w:val="004E5E01"/>
    <w:rsid w:val="004E64E4"/>
    <w:rsid w:val="004E6640"/>
    <w:rsid w:val="004E7953"/>
    <w:rsid w:val="004E7BDB"/>
    <w:rsid w:val="004E7E8B"/>
    <w:rsid w:val="004F02C6"/>
    <w:rsid w:val="004F03DD"/>
    <w:rsid w:val="004F09A7"/>
    <w:rsid w:val="004F133A"/>
    <w:rsid w:val="004F1A4D"/>
    <w:rsid w:val="004F1BFB"/>
    <w:rsid w:val="004F1CAC"/>
    <w:rsid w:val="004F1E55"/>
    <w:rsid w:val="004F1EEC"/>
    <w:rsid w:val="004F2380"/>
    <w:rsid w:val="004F2465"/>
    <w:rsid w:val="004F2F9D"/>
    <w:rsid w:val="004F33D7"/>
    <w:rsid w:val="004F3636"/>
    <w:rsid w:val="004F39FF"/>
    <w:rsid w:val="004F4B7D"/>
    <w:rsid w:val="004F6104"/>
    <w:rsid w:val="004F6FF9"/>
    <w:rsid w:val="004F7053"/>
    <w:rsid w:val="004F71D7"/>
    <w:rsid w:val="004F78E0"/>
    <w:rsid w:val="004F7ADE"/>
    <w:rsid w:val="004F7CDA"/>
    <w:rsid w:val="004F7D98"/>
    <w:rsid w:val="00500126"/>
    <w:rsid w:val="00500806"/>
    <w:rsid w:val="0050088E"/>
    <w:rsid w:val="005009D2"/>
    <w:rsid w:val="00500CE0"/>
    <w:rsid w:val="00500FB1"/>
    <w:rsid w:val="00501287"/>
    <w:rsid w:val="005013F5"/>
    <w:rsid w:val="00501635"/>
    <w:rsid w:val="00502D5B"/>
    <w:rsid w:val="0050345B"/>
    <w:rsid w:val="00504436"/>
    <w:rsid w:val="00504CC5"/>
    <w:rsid w:val="00505A22"/>
    <w:rsid w:val="00505FC6"/>
    <w:rsid w:val="005061E0"/>
    <w:rsid w:val="0050734B"/>
    <w:rsid w:val="00507C1A"/>
    <w:rsid w:val="0051029C"/>
    <w:rsid w:val="00511353"/>
    <w:rsid w:val="005115B9"/>
    <w:rsid w:val="0051181F"/>
    <w:rsid w:val="00511A52"/>
    <w:rsid w:val="00511AEF"/>
    <w:rsid w:val="00512FA4"/>
    <w:rsid w:val="0051406B"/>
    <w:rsid w:val="00514D45"/>
    <w:rsid w:val="00514D48"/>
    <w:rsid w:val="00515103"/>
    <w:rsid w:val="0051510D"/>
    <w:rsid w:val="00515466"/>
    <w:rsid w:val="00515724"/>
    <w:rsid w:val="005157E6"/>
    <w:rsid w:val="00515934"/>
    <w:rsid w:val="005162AF"/>
    <w:rsid w:val="00516550"/>
    <w:rsid w:val="005165C4"/>
    <w:rsid w:val="00516E88"/>
    <w:rsid w:val="00517856"/>
    <w:rsid w:val="0051786A"/>
    <w:rsid w:val="00520449"/>
    <w:rsid w:val="005205E8"/>
    <w:rsid w:val="00520A67"/>
    <w:rsid w:val="00520D50"/>
    <w:rsid w:val="00520D5D"/>
    <w:rsid w:val="0052185A"/>
    <w:rsid w:val="00521A6A"/>
    <w:rsid w:val="00521C1B"/>
    <w:rsid w:val="00521D3E"/>
    <w:rsid w:val="00521E7A"/>
    <w:rsid w:val="00522543"/>
    <w:rsid w:val="0052255A"/>
    <w:rsid w:val="00523822"/>
    <w:rsid w:val="00523ACB"/>
    <w:rsid w:val="00523FF6"/>
    <w:rsid w:val="0052432C"/>
    <w:rsid w:val="0052454D"/>
    <w:rsid w:val="0052501C"/>
    <w:rsid w:val="005250BE"/>
    <w:rsid w:val="0052584F"/>
    <w:rsid w:val="005258B9"/>
    <w:rsid w:val="00526A24"/>
    <w:rsid w:val="00526A5E"/>
    <w:rsid w:val="0052731E"/>
    <w:rsid w:val="005300A6"/>
    <w:rsid w:val="00530476"/>
    <w:rsid w:val="00530AED"/>
    <w:rsid w:val="00530CCC"/>
    <w:rsid w:val="005314AC"/>
    <w:rsid w:val="0053165C"/>
    <w:rsid w:val="00531723"/>
    <w:rsid w:val="00531940"/>
    <w:rsid w:val="00531E04"/>
    <w:rsid w:val="0053268C"/>
    <w:rsid w:val="005327EB"/>
    <w:rsid w:val="00532CCA"/>
    <w:rsid w:val="00532D2D"/>
    <w:rsid w:val="00533155"/>
    <w:rsid w:val="00534B96"/>
    <w:rsid w:val="00534BDA"/>
    <w:rsid w:val="00534D53"/>
    <w:rsid w:val="00534E72"/>
    <w:rsid w:val="00535535"/>
    <w:rsid w:val="00535690"/>
    <w:rsid w:val="005356AE"/>
    <w:rsid w:val="00535F08"/>
    <w:rsid w:val="0053658A"/>
    <w:rsid w:val="00536A95"/>
    <w:rsid w:val="00537B90"/>
    <w:rsid w:val="00540995"/>
    <w:rsid w:val="00540C38"/>
    <w:rsid w:val="00540DAD"/>
    <w:rsid w:val="00541433"/>
    <w:rsid w:val="00541742"/>
    <w:rsid w:val="005418D8"/>
    <w:rsid w:val="00541EB7"/>
    <w:rsid w:val="00541FA5"/>
    <w:rsid w:val="0054288B"/>
    <w:rsid w:val="00542CD6"/>
    <w:rsid w:val="00543131"/>
    <w:rsid w:val="00543455"/>
    <w:rsid w:val="005436C2"/>
    <w:rsid w:val="00543A2D"/>
    <w:rsid w:val="00544584"/>
    <w:rsid w:val="0054538A"/>
    <w:rsid w:val="0054560A"/>
    <w:rsid w:val="005459B6"/>
    <w:rsid w:val="005464AE"/>
    <w:rsid w:val="00546574"/>
    <w:rsid w:val="00546AA7"/>
    <w:rsid w:val="00546AFB"/>
    <w:rsid w:val="0054713A"/>
    <w:rsid w:val="00547720"/>
    <w:rsid w:val="005508EA"/>
    <w:rsid w:val="00550E7D"/>
    <w:rsid w:val="0055216D"/>
    <w:rsid w:val="00552803"/>
    <w:rsid w:val="005530CA"/>
    <w:rsid w:val="00553411"/>
    <w:rsid w:val="00553B68"/>
    <w:rsid w:val="00554501"/>
    <w:rsid w:val="0055473F"/>
    <w:rsid w:val="0055489A"/>
    <w:rsid w:val="00554A35"/>
    <w:rsid w:val="00555419"/>
    <w:rsid w:val="00555CCD"/>
    <w:rsid w:val="00555F15"/>
    <w:rsid w:val="00556007"/>
    <w:rsid w:val="00556DEE"/>
    <w:rsid w:val="005574DC"/>
    <w:rsid w:val="0055791E"/>
    <w:rsid w:val="00557D1E"/>
    <w:rsid w:val="00557F18"/>
    <w:rsid w:val="0056000D"/>
    <w:rsid w:val="005602A7"/>
    <w:rsid w:val="0056062E"/>
    <w:rsid w:val="00560AD9"/>
    <w:rsid w:val="00560DCC"/>
    <w:rsid w:val="00560F47"/>
    <w:rsid w:val="005624C1"/>
    <w:rsid w:val="00562D70"/>
    <w:rsid w:val="00563152"/>
    <w:rsid w:val="00563167"/>
    <w:rsid w:val="005634A3"/>
    <w:rsid w:val="00563B0F"/>
    <w:rsid w:val="00563CA9"/>
    <w:rsid w:val="0056412B"/>
    <w:rsid w:val="00564419"/>
    <w:rsid w:val="0056464C"/>
    <w:rsid w:val="005651D3"/>
    <w:rsid w:val="005659FA"/>
    <w:rsid w:val="00565A22"/>
    <w:rsid w:val="005661F2"/>
    <w:rsid w:val="00566743"/>
    <w:rsid w:val="005668B9"/>
    <w:rsid w:val="00566B64"/>
    <w:rsid w:val="0056752E"/>
    <w:rsid w:val="0057062D"/>
    <w:rsid w:val="00570E72"/>
    <w:rsid w:val="00573177"/>
    <w:rsid w:val="0057344A"/>
    <w:rsid w:val="00573478"/>
    <w:rsid w:val="00574901"/>
    <w:rsid w:val="00574CC4"/>
    <w:rsid w:val="00574EC7"/>
    <w:rsid w:val="00575791"/>
    <w:rsid w:val="00575D38"/>
    <w:rsid w:val="00575DCC"/>
    <w:rsid w:val="005766EA"/>
    <w:rsid w:val="0057689E"/>
    <w:rsid w:val="005769CB"/>
    <w:rsid w:val="00576C77"/>
    <w:rsid w:val="00577317"/>
    <w:rsid w:val="005774C3"/>
    <w:rsid w:val="005778BF"/>
    <w:rsid w:val="00577E0E"/>
    <w:rsid w:val="00577F26"/>
    <w:rsid w:val="00580636"/>
    <w:rsid w:val="005808DD"/>
    <w:rsid w:val="00580D21"/>
    <w:rsid w:val="005811F6"/>
    <w:rsid w:val="005812AA"/>
    <w:rsid w:val="005817E2"/>
    <w:rsid w:val="00581DC7"/>
    <w:rsid w:val="00582685"/>
    <w:rsid w:val="00582DD4"/>
    <w:rsid w:val="00583741"/>
    <w:rsid w:val="0058386F"/>
    <w:rsid w:val="005839AE"/>
    <w:rsid w:val="00583AFD"/>
    <w:rsid w:val="00583E68"/>
    <w:rsid w:val="00584265"/>
    <w:rsid w:val="005852C0"/>
    <w:rsid w:val="005852F0"/>
    <w:rsid w:val="005854C2"/>
    <w:rsid w:val="00585BBF"/>
    <w:rsid w:val="00585C3F"/>
    <w:rsid w:val="00585C6D"/>
    <w:rsid w:val="00587180"/>
    <w:rsid w:val="00587B4A"/>
    <w:rsid w:val="00587CC6"/>
    <w:rsid w:val="00590563"/>
    <w:rsid w:val="005908F3"/>
    <w:rsid w:val="005909E3"/>
    <w:rsid w:val="005915D4"/>
    <w:rsid w:val="0059184B"/>
    <w:rsid w:val="00591F29"/>
    <w:rsid w:val="0059342F"/>
    <w:rsid w:val="00593990"/>
    <w:rsid w:val="00593D24"/>
    <w:rsid w:val="00593D2F"/>
    <w:rsid w:val="005949BC"/>
    <w:rsid w:val="005966B5"/>
    <w:rsid w:val="0059760E"/>
    <w:rsid w:val="005A0640"/>
    <w:rsid w:val="005A095B"/>
    <w:rsid w:val="005A0ABF"/>
    <w:rsid w:val="005A0C35"/>
    <w:rsid w:val="005A1075"/>
    <w:rsid w:val="005A10EC"/>
    <w:rsid w:val="005A1241"/>
    <w:rsid w:val="005A13A1"/>
    <w:rsid w:val="005A15FD"/>
    <w:rsid w:val="005A1B06"/>
    <w:rsid w:val="005A2564"/>
    <w:rsid w:val="005A3000"/>
    <w:rsid w:val="005A34C4"/>
    <w:rsid w:val="005A3B1E"/>
    <w:rsid w:val="005A4BB8"/>
    <w:rsid w:val="005A5724"/>
    <w:rsid w:val="005A5919"/>
    <w:rsid w:val="005A5C7A"/>
    <w:rsid w:val="005A5CB2"/>
    <w:rsid w:val="005A611A"/>
    <w:rsid w:val="005A6298"/>
    <w:rsid w:val="005A67A9"/>
    <w:rsid w:val="005A701F"/>
    <w:rsid w:val="005A71BD"/>
    <w:rsid w:val="005A743F"/>
    <w:rsid w:val="005A7A98"/>
    <w:rsid w:val="005A7F10"/>
    <w:rsid w:val="005B049F"/>
    <w:rsid w:val="005B07AB"/>
    <w:rsid w:val="005B0B10"/>
    <w:rsid w:val="005B0E0F"/>
    <w:rsid w:val="005B206D"/>
    <w:rsid w:val="005B22A1"/>
    <w:rsid w:val="005B265C"/>
    <w:rsid w:val="005B2671"/>
    <w:rsid w:val="005B2E98"/>
    <w:rsid w:val="005B3640"/>
    <w:rsid w:val="005B434A"/>
    <w:rsid w:val="005B4971"/>
    <w:rsid w:val="005B52EF"/>
    <w:rsid w:val="005B53E2"/>
    <w:rsid w:val="005B5596"/>
    <w:rsid w:val="005B5C13"/>
    <w:rsid w:val="005B5E6E"/>
    <w:rsid w:val="005B6749"/>
    <w:rsid w:val="005B6B49"/>
    <w:rsid w:val="005B6D3B"/>
    <w:rsid w:val="005B6F94"/>
    <w:rsid w:val="005B7133"/>
    <w:rsid w:val="005B75A2"/>
    <w:rsid w:val="005B778B"/>
    <w:rsid w:val="005B7F75"/>
    <w:rsid w:val="005C0051"/>
    <w:rsid w:val="005C05A1"/>
    <w:rsid w:val="005C0A84"/>
    <w:rsid w:val="005C0C87"/>
    <w:rsid w:val="005C0FAA"/>
    <w:rsid w:val="005C1219"/>
    <w:rsid w:val="005C211C"/>
    <w:rsid w:val="005C306A"/>
    <w:rsid w:val="005C3704"/>
    <w:rsid w:val="005C3A27"/>
    <w:rsid w:val="005C3B15"/>
    <w:rsid w:val="005C4A84"/>
    <w:rsid w:val="005C540B"/>
    <w:rsid w:val="005C5ABF"/>
    <w:rsid w:val="005C61C2"/>
    <w:rsid w:val="005C6264"/>
    <w:rsid w:val="005C6328"/>
    <w:rsid w:val="005C64B7"/>
    <w:rsid w:val="005C65A4"/>
    <w:rsid w:val="005C6777"/>
    <w:rsid w:val="005C6F80"/>
    <w:rsid w:val="005C7266"/>
    <w:rsid w:val="005D0D35"/>
    <w:rsid w:val="005D0F8C"/>
    <w:rsid w:val="005D1822"/>
    <w:rsid w:val="005D19B0"/>
    <w:rsid w:val="005D1A37"/>
    <w:rsid w:val="005D1DF6"/>
    <w:rsid w:val="005D1ED0"/>
    <w:rsid w:val="005D2F3D"/>
    <w:rsid w:val="005D3168"/>
    <w:rsid w:val="005D3995"/>
    <w:rsid w:val="005D3A63"/>
    <w:rsid w:val="005D3E87"/>
    <w:rsid w:val="005D41C6"/>
    <w:rsid w:val="005D51B9"/>
    <w:rsid w:val="005D5F52"/>
    <w:rsid w:val="005D61C2"/>
    <w:rsid w:val="005D7287"/>
    <w:rsid w:val="005D7DE1"/>
    <w:rsid w:val="005E007C"/>
    <w:rsid w:val="005E0287"/>
    <w:rsid w:val="005E0345"/>
    <w:rsid w:val="005E03EF"/>
    <w:rsid w:val="005E0771"/>
    <w:rsid w:val="005E0E70"/>
    <w:rsid w:val="005E12D0"/>
    <w:rsid w:val="005E136D"/>
    <w:rsid w:val="005E2D9B"/>
    <w:rsid w:val="005E2E06"/>
    <w:rsid w:val="005E33B6"/>
    <w:rsid w:val="005E340C"/>
    <w:rsid w:val="005E3A2A"/>
    <w:rsid w:val="005E4349"/>
    <w:rsid w:val="005E455F"/>
    <w:rsid w:val="005E4933"/>
    <w:rsid w:val="005E5D58"/>
    <w:rsid w:val="005E68AA"/>
    <w:rsid w:val="005E6A5F"/>
    <w:rsid w:val="005E715C"/>
    <w:rsid w:val="005E72D1"/>
    <w:rsid w:val="005E738B"/>
    <w:rsid w:val="005E78F6"/>
    <w:rsid w:val="005E7AA0"/>
    <w:rsid w:val="005F0BA8"/>
    <w:rsid w:val="005F0D27"/>
    <w:rsid w:val="005F1AAD"/>
    <w:rsid w:val="005F1B5F"/>
    <w:rsid w:val="005F1C79"/>
    <w:rsid w:val="005F1D8B"/>
    <w:rsid w:val="005F21C1"/>
    <w:rsid w:val="005F27E8"/>
    <w:rsid w:val="005F2BA0"/>
    <w:rsid w:val="005F3468"/>
    <w:rsid w:val="005F3593"/>
    <w:rsid w:val="005F3677"/>
    <w:rsid w:val="005F387F"/>
    <w:rsid w:val="005F4230"/>
    <w:rsid w:val="005F4863"/>
    <w:rsid w:val="005F4AA0"/>
    <w:rsid w:val="005F4F6A"/>
    <w:rsid w:val="005F5317"/>
    <w:rsid w:val="005F5494"/>
    <w:rsid w:val="005F55AF"/>
    <w:rsid w:val="005F6B51"/>
    <w:rsid w:val="00600114"/>
    <w:rsid w:val="0060012E"/>
    <w:rsid w:val="00600D83"/>
    <w:rsid w:val="0060218F"/>
    <w:rsid w:val="0060221F"/>
    <w:rsid w:val="00602995"/>
    <w:rsid w:val="00602AB9"/>
    <w:rsid w:val="00603169"/>
    <w:rsid w:val="0060340B"/>
    <w:rsid w:val="0060377A"/>
    <w:rsid w:val="006039F5"/>
    <w:rsid w:val="00604A99"/>
    <w:rsid w:val="00604D90"/>
    <w:rsid w:val="00604F1A"/>
    <w:rsid w:val="006052F9"/>
    <w:rsid w:val="0060582C"/>
    <w:rsid w:val="00605A46"/>
    <w:rsid w:val="00605D1D"/>
    <w:rsid w:val="00605D3A"/>
    <w:rsid w:val="00605E64"/>
    <w:rsid w:val="006060A1"/>
    <w:rsid w:val="0060632D"/>
    <w:rsid w:val="0060654B"/>
    <w:rsid w:val="0060689E"/>
    <w:rsid w:val="00606B04"/>
    <w:rsid w:val="00606B83"/>
    <w:rsid w:val="0060747B"/>
    <w:rsid w:val="00607F01"/>
    <w:rsid w:val="006104EE"/>
    <w:rsid w:val="0061065A"/>
    <w:rsid w:val="00610765"/>
    <w:rsid w:val="00610790"/>
    <w:rsid w:val="00610795"/>
    <w:rsid w:val="00612698"/>
    <w:rsid w:val="00612D24"/>
    <w:rsid w:val="00613154"/>
    <w:rsid w:val="006133B6"/>
    <w:rsid w:val="006139EC"/>
    <w:rsid w:val="00614112"/>
    <w:rsid w:val="0061419F"/>
    <w:rsid w:val="00614931"/>
    <w:rsid w:val="00614BDF"/>
    <w:rsid w:val="00614FEE"/>
    <w:rsid w:val="0061584A"/>
    <w:rsid w:val="00615D11"/>
    <w:rsid w:val="006169CA"/>
    <w:rsid w:val="00616A7B"/>
    <w:rsid w:val="00617124"/>
    <w:rsid w:val="0061729E"/>
    <w:rsid w:val="00617376"/>
    <w:rsid w:val="006178A2"/>
    <w:rsid w:val="006209CD"/>
    <w:rsid w:val="00620E54"/>
    <w:rsid w:val="0062146F"/>
    <w:rsid w:val="00621595"/>
    <w:rsid w:val="00621BD8"/>
    <w:rsid w:val="00621E3E"/>
    <w:rsid w:val="00622050"/>
    <w:rsid w:val="00622339"/>
    <w:rsid w:val="00622BF5"/>
    <w:rsid w:val="00622C7B"/>
    <w:rsid w:val="0062315B"/>
    <w:rsid w:val="006233BC"/>
    <w:rsid w:val="00623459"/>
    <w:rsid w:val="006236D9"/>
    <w:rsid w:val="00623A38"/>
    <w:rsid w:val="00623EDA"/>
    <w:rsid w:val="00624938"/>
    <w:rsid w:val="00624A65"/>
    <w:rsid w:val="00624FDE"/>
    <w:rsid w:val="0062597E"/>
    <w:rsid w:val="00625F00"/>
    <w:rsid w:val="006260DA"/>
    <w:rsid w:val="00626525"/>
    <w:rsid w:val="006268D2"/>
    <w:rsid w:val="006269DF"/>
    <w:rsid w:val="00626A01"/>
    <w:rsid w:val="00627028"/>
    <w:rsid w:val="00627412"/>
    <w:rsid w:val="006275AB"/>
    <w:rsid w:val="0062768B"/>
    <w:rsid w:val="00627B10"/>
    <w:rsid w:val="006305FC"/>
    <w:rsid w:val="0063082C"/>
    <w:rsid w:val="00630F1F"/>
    <w:rsid w:val="0063123D"/>
    <w:rsid w:val="006312A9"/>
    <w:rsid w:val="0063262F"/>
    <w:rsid w:val="00632819"/>
    <w:rsid w:val="00632C52"/>
    <w:rsid w:val="006338C0"/>
    <w:rsid w:val="00633C54"/>
    <w:rsid w:val="00634641"/>
    <w:rsid w:val="00634AFD"/>
    <w:rsid w:val="00635030"/>
    <w:rsid w:val="00635BD0"/>
    <w:rsid w:val="00636614"/>
    <w:rsid w:val="006367F4"/>
    <w:rsid w:val="00636DFE"/>
    <w:rsid w:val="00636F57"/>
    <w:rsid w:val="006370CC"/>
    <w:rsid w:val="006374F8"/>
    <w:rsid w:val="0063779E"/>
    <w:rsid w:val="00637BDE"/>
    <w:rsid w:val="00637D1B"/>
    <w:rsid w:val="0064016C"/>
    <w:rsid w:val="00640CA8"/>
    <w:rsid w:val="00641356"/>
    <w:rsid w:val="006423FB"/>
    <w:rsid w:val="00642410"/>
    <w:rsid w:val="00642523"/>
    <w:rsid w:val="006427B8"/>
    <w:rsid w:val="0064289B"/>
    <w:rsid w:val="006432B4"/>
    <w:rsid w:val="0064359C"/>
    <w:rsid w:val="00644050"/>
    <w:rsid w:val="00644147"/>
    <w:rsid w:val="006443DA"/>
    <w:rsid w:val="006444D9"/>
    <w:rsid w:val="00644746"/>
    <w:rsid w:val="006448B2"/>
    <w:rsid w:val="006450A4"/>
    <w:rsid w:val="00645180"/>
    <w:rsid w:val="00645288"/>
    <w:rsid w:val="00646912"/>
    <w:rsid w:val="00647072"/>
    <w:rsid w:val="00647824"/>
    <w:rsid w:val="00647CB6"/>
    <w:rsid w:val="006502C3"/>
    <w:rsid w:val="0065043F"/>
    <w:rsid w:val="00650818"/>
    <w:rsid w:val="00650DA9"/>
    <w:rsid w:val="0065106F"/>
    <w:rsid w:val="0065145C"/>
    <w:rsid w:val="0065215B"/>
    <w:rsid w:val="00652611"/>
    <w:rsid w:val="00652B07"/>
    <w:rsid w:val="006537DB"/>
    <w:rsid w:val="00654097"/>
    <w:rsid w:val="0065499A"/>
    <w:rsid w:val="00654DD2"/>
    <w:rsid w:val="00654E60"/>
    <w:rsid w:val="0065579E"/>
    <w:rsid w:val="00655C85"/>
    <w:rsid w:val="006560B8"/>
    <w:rsid w:val="0065617D"/>
    <w:rsid w:val="00656BC0"/>
    <w:rsid w:val="00656C04"/>
    <w:rsid w:val="006602B2"/>
    <w:rsid w:val="006607F7"/>
    <w:rsid w:val="00660AD8"/>
    <w:rsid w:val="00660FD4"/>
    <w:rsid w:val="00661076"/>
    <w:rsid w:val="006611E3"/>
    <w:rsid w:val="0066133E"/>
    <w:rsid w:val="00663E26"/>
    <w:rsid w:val="006643B3"/>
    <w:rsid w:val="00664E4F"/>
    <w:rsid w:val="006651AD"/>
    <w:rsid w:val="006651E7"/>
    <w:rsid w:val="00665EC6"/>
    <w:rsid w:val="00666C85"/>
    <w:rsid w:val="0066778D"/>
    <w:rsid w:val="006679C1"/>
    <w:rsid w:val="00667B8C"/>
    <w:rsid w:val="00667E9B"/>
    <w:rsid w:val="00667FBC"/>
    <w:rsid w:val="00670145"/>
    <w:rsid w:val="006701CB"/>
    <w:rsid w:val="0067075C"/>
    <w:rsid w:val="00670A76"/>
    <w:rsid w:val="00670FE7"/>
    <w:rsid w:val="00671ED0"/>
    <w:rsid w:val="00672F73"/>
    <w:rsid w:val="00673C4F"/>
    <w:rsid w:val="0067419C"/>
    <w:rsid w:val="00674265"/>
    <w:rsid w:val="00674784"/>
    <w:rsid w:val="006747C5"/>
    <w:rsid w:val="0067520C"/>
    <w:rsid w:val="0067528D"/>
    <w:rsid w:val="0067532C"/>
    <w:rsid w:val="00675506"/>
    <w:rsid w:val="00675B05"/>
    <w:rsid w:val="0067622A"/>
    <w:rsid w:val="00676817"/>
    <w:rsid w:val="00676927"/>
    <w:rsid w:val="00676B75"/>
    <w:rsid w:val="00676F4F"/>
    <w:rsid w:val="00677599"/>
    <w:rsid w:val="00677867"/>
    <w:rsid w:val="00677B4F"/>
    <w:rsid w:val="0068099C"/>
    <w:rsid w:val="00680FAC"/>
    <w:rsid w:val="0068160D"/>
    <w:rsid w:val="00681798"/>
    <w:rsid w:val="00681C96"/>
    <w:rsid w:val="006829DC"/>
    <w:rsid w:val="0068305E"/>
    <w:rsid w:val="006831A9"/>
    <w:rsid w:val="006834DC"/>
    <w:rsid w:val="00683580"/>
    <w:rsid w:val="006837E8"/>
    <w:rsid w:val="00683B1E"/>
    <w:rsid w:val="00683FB6"/>
    <w:rsid w:val="006840D6"/>
    <w:rsid w:val="00684207"/>
    <w:rsid w:val="00684423"/>
    <w:rsid w:val="00684C15"/>
    <w:rsid w:val="00685706"/>
    <w:rsid w:val="0068693F"/>
    <w:rsid w:val="00686B6A"/>
    <w:rsid w:val="00686D67"/>
    <w:rsid w:val="00686F12"/>
    <w:rsid w:val="00687052"/>
    <w:rsid w:val="00687176"/>
    <w:rsid w:val="00687376"/>
    <w:rsid w:val="006874E9"/>
    <w:rsid w:val="00687A4F"/>
    <w:rsid w:val="00687BF1"/>
    <w:rsid w:val="00687E61"/>
    <w:rsid w:val="00690746"/>
    <w:rsid w:val="00690FA1"/>
    <w:rsid w:val="0069107D"/>
    <w:rsid w:val="00692488"/>
    <w:rsid w:val="006924AF"/>
    <w:rsid w:val="00692D80"/>
    <w:rsid w:val="006936CA"/>
    <w:rsid w:val="00693A6A"/>
    <w:rsid w:val="00693E10"/>
    <w:rsid w:val="0069491D"/>
    <w:rsid w:val="00694A7A"/>
    <w:rsid w:val="00695299"/>
    <w:rsid w:val="00695356"/>
    <w:rsid w:val="006955AE"/>
    <w:rsid w:val="00696A1B"/>
    <w:rsid w:val="00696DA4"/>
    <w:rsid w:val="0069714C"/>
    <w:rsid w:val="00697C02"/>
    <w:rsid w:val="00697C91"/>
    <w:rsid w:val="00697D52"/>
    <w:rsid w:val="006A00FD"/>
    <w:rsid w:val="006A0C67"/>
    <w:rsid w:val="006A0CD2"/>
    <w:rsid w:val="006A1A85"/>
    <w:rsid w:val="006A1EFB"/>
    <w:rsid w:val="006A220B"/>
    <w:rsid w:val="006A34B7"/>
    <w:rsid w:val="006A406F"/>
    <w:rsid w:val="006A4488"/>
    <w:rsid w:val="006A4925"/>
    <w:rsid w:val="006A5398"/>
    <w:rsid w:val="006A554F"/>
    <w:rsid w:val="006A75B3"/>
    <w:rsid w:val="006A791B"/>
    <w:rsid w:val="006A7927"/>
    <w:rsid w:val="006A7E52"/>
    <w:rsid w:val="006A7F87"/>
    <w:rsid w:val="006B067E"/>
    <w:rsid w:val="006B1255"/>
    <w:rsid w:val="006B1313"/>
    <w:rsid w:val="006B18A8"/>
    <w:rsid w:val="006B1F9F"/>
    <w:rsid w:val="006B2224"/>
    <w:rsid w:val="006B2ECC"/>
    <w:rsid w:val="006B3188"/>
    <w:rsid w:val="006B3C1D"/>
    <w:rsid w:val="006B3E11"/>
    <w:rsid w:val="006B45B4"/>
    <w:rsid w:val="006B47C4"/>
    <w:rsid w:val="006B4B4D"/>
    <w:rsid w:val="006B4BD3"/>
    <w:rsid w:val="006B53FE"/>
    <w:rsid w:val="006B6187"/>
    <w:rsid w:val="006B6213"/>
    <w:rsid w:val="006B63BC"/>
    <w:rsid w:val="006B644C"/>
    <w:rsid w:val="006B6BF7"/>
    <w:rsid w:val="006B7E93"/>
    <w:rsid w:val="006B7F07"/>
    <w:rsid w:val="006B7F68"/>
    <w:rsid w:val="006C064E"/>
    <w:rsid w:val="006C069E"/>
    <w:rsid w:val="006C0996"/>
    <w:rsid w:val="006C0BBF"/>
    <w:rsid w:val="006C2445"/>
    <w:rsid w:val="006C30AA"/>
    <w:rsid w:val="006C3228"/>
    <w:rsid w:val="006C367E"/>
    <w:rsid w:val="006C3ECA"/>
    <w:rsid w:val="006C5484"/>
    <w:rsid w:val="006C58E0"/>
    <w:rsid w:val="006C5A0D"/>
    <w:rsid w:val="006C662B"/>
    <w:rsid w:val="006C673C"/>
    <w:rsid w:val="006C7761"/>
    <w:rsid w:val="006C7836"/>
    <w:rsid w:val="006C78C3"/>
    <w:rsid w:val="006C7E7C"/>
    <w:rsid w:val="006D0215"/>
    <w:rsid w:val="006D0370"/>
    <w:rsid w:val="006D207D"/>
    <w:rsid w:val="006D250D"/>
    <w:rsid w:val="006D3A77"/>
    <w:rsid w:val="006D3B25"/>
    <w:rsid w:val="006D3DA6"/>
    <w:rsid w:val="006D42C7"/>
    <w:rsid w:val="006D46F2"/>
    <w:rsid w:val="006D4A5F"/>
    <w:rsid w:val="006D4EEC"/>
    <w:rsid w:val="006D62C4"/>
    <w:rsid w:val="006D68FB"/>
    <w:rsid w:val="006D6B26"/>
    <w:rsid w:val="006D6C3A"/>
    <w:rsid w:val="006D72A4"/>
    <w:rsid w:val="006E08EC"/>
    <w:rsid w:val="006E09B1"/>
    <w:rsid w:val="006E120D"/>
    <w:rsid w:val="006E2DB3"/>
    <w:rsid w:val="006E2F31"/>
    <w:rsid w:val="006E321C"/>
    <w:rsid w:val="006E34D1"/>
    <w:rsid w:val="006E367D"/>
    <w:rsid w:val="006E41E3"/>
    <w:rsid w:val="006E450A"/>
    <w:rsid w:val="006E4CBB"/>
    <w:rsid w:val="006E5214"/>
    <w:rsid w:val="006E57C9"/>
    <w:rsid w:val="006E64FA"/>
    <w:rsid w:val="006E6895"/>
    <w:rsid w:val="006E6E2B"/>
    <w:rsid w:val="006E7471"/>
    <w:rsid w:val="006E78CA"/>
    <w:rsid w:val="006E79D3"/>
    <w:rsid w:val="006E7EEF"/>
    <w:rsid w:val="006F0561"/>
    <w:rsid w:val="006F0673"/>
    <w:rsid w:val="006F09E4"/>
    <w:rsid w:val="006F0C41"/>
    <w:rsid w:val="006F0D46"/>
    <w:rsid w:val="006F1688"/>
    <w:rsid w:val="006F1EEB"/>
    <w:rsid w:val="006F2071"/>
    <w:rsid w:val="006F24DA"/>
    <w:rsid w:val="006F40D3"/>
    <w:rsid w:val="006F4D19"/>
    <w:rsid w:val="006F533A"/>
    <w:rsid w:val="006F621C"/>
    <w:rsid w:val="006F6A24"/>
    <w:rsid w:val="006F73FA"/>
    <w:rsid w:val="00700751"/>
    <w:rsid w:val="00700C04"/>
    <w:rsid w:val="00700C3D"/>
    <w:rsid w:val="00701781"/>
    <w:rsid w:val="00702335"/>
    <w:rsid w:val="00702DFA"/>
    <w:rsid w:val="00702F16"/>
    <w:rsid w:val="00702F46"/>
    <w:rsid w:val="00703473"/>
    <w:rsid w:val="007034FD"/>
    <w:rsid w:val="0070359D"/>
    <w:rsid w:val="007035FF"/>
    <w:rsid w:val="00703876"/>
    <w:rsid w:val="00703A1E"/>
    <w:rsid w:val="00703C83"/>
    <w:rsid w:val="00703D32"/>
    <w:rsid w:val="007043A7"/>
    <w:rsid w:val="0070443A"/>
    <w:rsid w:val="00704470"/>
    <w:rsid w:val="00704BA0"/>
    <w:rsid w:val="00704E54"/>
    <w:rsid w:val="007058F0"/>
    <w:rsid w:val="0070591A"/>
    <w:rsid w:val="0070662B"/>
    <w:rsid w:val="007068DF"/>
    <w:rsid w:val="007071B8"/>
    <w:rsid w:val="0070770E"/>
    <w:rsid w:val="0071029C"/>
    <w:rsid w:val="00710329"/>
    <w:rsid w:val="00710A35"/>
    <w:rsid w:val="00710D2E"/>
    <w:rsid w:val="00711475"/>
    <w:rsid w:val="007119D8"/>
    <w:rsid w:val="007129E8"/>
    <w:rsid w:val="00712BEE"/>
    <w:rsid w:val="0071343E"/>
    <w:rsid w:val="00713786"/>
    <w:rsid w:val="00713DDC"/>
    <w:rsid w:val="00713E15"/>
    <w:rsid w:val="007151CF"/>
    <w:rsid w:val="007152F2"/>
    <w:rsid w:val="00715586"/>
    <w:rsid w:val="007155F7"/>
    <w:rsid w:val="007157D6"/>
    <w:rsid w:val="00715CAA"/>
    <w:rsid w:val="00715DA7"/>
    <w:rsid w:val="007163F1"/>
    <w:rsid w:val="00716A19"/>
    <w:rsid w:val="00716EF7"/>
    <w:rsid w:val="00716F9F"/>
    <w:rsid w:val="00717AA5"/>
    <w:rsid w:val="00717B33"/>
    <w:rsid w:val="00717E97"/>
    <w:rsid w:val="0072025D"/>
    <w:rsid w:val="00721962"/>
    <w:rsid w:val="00721C6B"/>
    <w:rsid w:val="00722253"/>
    <w:rsid w:val="0072247E"/>
    <w:rsid w:val="00722A90"/>
    <w:rsid w:val="00723880"/>
    <w:rsid w:val="00723A93"/>
    <w:rsid w:val="00723D2A"/>
    <w:rsid w:val="0072421D"/>
    <w:rsid w:val="00725ACA"/>
    <w:rsid w:val="00726438"/>
    <w:rsid w:val="0072660C"/>
    <w:rsid w:val="00726660"/>
    <w:rsid w:val="0072680F"/>
    <w:rsid w:val="00727973"/>
    <w:rsid w:val="00727B15"/>
    <w:rsid w:val="00727B5C"/>
    <w:rsid w:val="007305E1"/>
    <w:rsid w:val="00730AA8"/>
    <w:rsid w:val="00730E14"/>
    <w:rsid w:val="00730FB1"/>
    <w:rsid w:val="007314F0"/>
    <w:rsid w:val="00731555"/>
    <w:rsid w:val="00731CA9"/>
    <w:rsid w:val="00731FAA"/>
    <w:rsid w:val="00732632"/>
    <w:rsid w:val="00732D63"/>
    <w:rsid w:val="007339CE"/>
    <w:rsid w:val="00733FD4"/>
    <w:rsid w:val="00734479"/>
    <w:rsid w:val="00734BF3"/>
    <w:rsid w:val="00735204"/>
    <w:rsid w:val="00736AA7"/>
    <w:rsid w:val="00736BCF"/>
    <w:rsid w:val="00737079"/>
    <w:rsid w:val="007370D6"/>
    <w:rsid w:val="007402D7"/>
    <w:rsid w:val="0074112D"/>
    <w:rsid w:val="007411E5"/>
    <w:rsid w:val="00741970"/>
    <w:rsid w:val="00741FCF"/>
    <w:rsid w:val="00742A4F"/>
    <w:rsid w:val="00742C1B"/>
    <w:rsid w:val="00742E10"/>
    <w:rsid w:val="00742ED8"/>
    <w:rsid w:val="00743B10"/>
    <w:rsid w:val="0074499A"/>
    <w:rsid w:val="00744B25"/>
    <w:rsid w:val="007453E3"/>
    <w:rsid w:val="007459DB"/>
    <w:rsid w:val="00745C3F"/>
    <w:rsid w:val="007466E1"/>
    <w:rsid w:val="007469E5"/>
    <w:rsid w:val="00746CAA"/>
    <w:rsid w:val="00747186"/>
    <w:rsid w:val="0074725D"/>
    <w:rsid w:val="00747803"/>
    <w:rsid w:val="00747BEF"/>
    <w:rsid w:val="00747E89"/>
    <w:rsid w:val="00750215"/>
    <w:rsid w:val="007504A0"/>
    <w:rsid w:val="00750B6E"/>
    <w:rsid w:val="00750C1D"/>
    <w:rsid w:val="00750E01"/>
    <w:rsid w:val="00751406"/>
    <w:rsid w:val="00751A8A"/>
    <w:rsid w:val="007522CB"/>
    <w:rsid w:val="0075241B"/>
    <w:rsid w:val="0075321F"/>
    <w:rsid w:val="007535D6"/>
    <w:rsid w:val="00754356"/>
    <w:rsid w:val="007546CD"/>
    <w:rsid w:val="007552A7"/>
    <w:rsid w:val="00755667"/>
    <w:rsid w:val="0075594D"/>
    <w:rsid w:val="00756095"/>
    <w:rsid w:val="00756121"/>
    <w:rsid w:val="0075645F"/>
    <w:rsid w:val="007576E5"/>
    <w:rsid w:val="0075778D"/>
    <w:rsid w:val="00757A19"/>
    <w:rsid w:val="00761263"/>
    <w:rsid w:val="007613F9"/>
    <w:rsid w:val="00761B4D"/>
    <w:rsid w:val="00761C5E"/>
    <w:rsid w:val="00761F9E"/>
    <w:rsid w:val="00763154"/>
    <w:rsid w:val="00763357"/>
    <w:rsid w:val="007639EB"/>
    <w:rsid w:val="00763F4F"/>
    <w:rsid w:val="007640ED"/>
    <w:rsid w:val="007641FF"/>
    <w:rsid w:val="00764357"/>
    <w:rsid w:val="007645AD"/>
    <w:rsid w:val="00764BD3"/>
    <w:rsid w:val="0076533C"/>
    <w:rsid w:val="007654A2"/>
    <w:rsid w:val="007656A6"/>
    <w:rsid w:val="00765A39"/>
    <w:rsid w:val="007661D6"/>
    <w:rsid w:val="0076681D"/>
    <w:rsid w:val="00766F02"/>
    <w:rsid w:val="00766F38"/>
    <w:rsid w:val="00767136"/>
    <w:rsid w:val="00770269"/>
    <w:rsid w:val="00770A8C"/>
    <w:rsid w:val="00770AD0"/>
    <w:rsid w:val="0077130D"/>
    <w:rsid w:val="0077185C"/>
    <w:rsid w:val="007723A1"/>
    <w:rsid w:val="007725CA"/>
    <w:rsid w:val="00772AF9"/>
    <w:rsid w:val="007731CF"/>
    <w:rsid w:val="007737EA"/>
    <w:rsid w:val="00773BB4"/>
    <w:rsid w:val="00773FF3"/>
    <w:rsid w:val="007740C2"/>
    <w:rsid w:val="007747B5"/>
    <w:rsid w:val="0077490A"/>
    <w:rsid w:val="00774912"/>
    <w:rsid w:val="007753D3"/>
    <w:rsid w:val="00776EDD"/>
    <w:rsid w:val="007770CE"/>
    <w:rsid w:val="007772B0"/>
    <w:rsid w:val="0078000C"/>
    <w:rsid w:val="00780711"/>
    <w:rsid w:val="00780AAB"/>
    <w:rsid w:val="00780E44"/>
    <w:rsid w:val="00780E6E"/>
    <w:rsid w:val="007812C5"/>
    <w:rsid w:val="007818E2"/>
    <w:rsid w:val="00782249"/>
    <w:rsid w:val="00782295"/>
    <w:rsid w:val="007822B8"/>
    <w:rsid w:val="00782ABA"/>
    <w:rsid w:val="00785982"/>
    <w:rsid w:val="00786108"/>
    <w:rsid w:val="0078642D"/>
    <w:rsid w:val="0078684A"/>
    <w:rsid w:val="007905BB"/>
    <w:rsid w:val="0079277E"/>
    <w:rsid w:val="00792D09"/>
    <w:rsid w:val="007933BB"/>
    <w:rsid w:val="007933F8"/>
    <w:rsid w:val="0079449C"/>
    <w:rsid w:val="00794951"/>
    <w:rsid w:val="007949DE"/>
    <w:rsid w:val="00794AF3"/>
    <w:rsid w:val="00795C36"/>
    <w:rsid w:val="00795D8C"/>
    <w:rsid w:val="007960E2"/>
    <w:rsid w:val="00796F7D"/>
    <w:rsid w:val="00797BA5"/>
    <w:rsid w:val="00797C9D"/>
    <w:rsid w:val="007A00EE"/>
    <w:rsid w:val="007A02B6"/>
    <w:rsid w:val="007A0383"/>
    <w:rsid w:val="007A04E3"/>
    <w:rsid w:val="007A061A"/>
    <w:rsid w:val="007A0912"/>
    <w:rsid w:val="007A1166"/>
    <w:rsid w:val="007A136F"/>
    <w:rsid w:val="007A1865"/>
    <w:rsid w:val="007A1A67"/>
    <w:rsid w:val="007A269D"/>
    <w:rsid w:val="007A3259"/>
    <w:rsid w:val="007A330E"/>
    <w:rsid w:val="007A36E4"/>
    <w:rsid w:val="007A56CA"/>
    <w:rsid w:val="007A5C34"/>
    <w:rsid w:val="007A6069"/>
    <w:rsid w:val="007A6456"/>
    <w:rsid w:val="007A68CF"/>
    <w:rsid w:val="007A6906"/>
    <w:rsid w:val="007A6B09"/>
    <w:rsid w:val="007A7258"/>
    <w:rsid w:val="007A7306"/>
    <w:rsid w:val="007A7D0D"/>
    <w:rsid w:val="007B0488"/>
    <w:rsid w:val="007B05B9"/>
    <w:rsid w:val="007B0E42"/>
    <w:rsid w:val="007B0FE2"/>
    <w:rsid w:val="007B106B"/>
    <w:rsid w:val="007B12A8"/>
    <w:rsid w:val="007B1633"/>
    <w:rsid w:val="007B1F27"/>
    <w:rsid w:val="007B35F9"/>
    <w:rsid w:val="007B36F7"/>
    <w:rsid w:val="007B4569"/>
    <w:rsid w:val="007B458E"/>
    <w:rsid w:val="007B4CCB"/>
    <w:rsid w:val="007B4D03"/>
    <w:rsid w:val="007B522F"/>
    <w:rsid w:val="007B5601"/>
    <w:rsid w:val="007B64A7"/>
    <w:rsid w:val="007B65A8"/>
    <w:rsid w:val="007B7101"/>
    <w:rsid w:val="007B71CC"/>
    <w:rsid w:val="007C0106"/>
    <w:rsid w:val="007C019C"/>
    <w:rsid w:val="007C032B"/>
    <w:rsid w:val="007C03CE"/>
    <w:rsid w:val="007C03D3"/>
    <w:rsid w:val="007C0F0B"/>
    <w:rsid w:val="007C1AC7"/>
    <w:rsid w:val="007C28F4"/>
    <w:rsid w:val="007C31C0"/>
    <w:rsid w:val="007C31F5"/>
    <w:rsid w:val="007C3DF5"/>
    <w:rsid w:val="007C3FE0"/>
    <w:rsid w:val="007C48E0"/>
    <w:rsid w:val="007C4A84"/>
    <w:rsid w:val="007C5421"/>
    <w:rsid w:val="007C5EAD"/>
    <w:rsid w:val="007C6367"/>
    <w:rsid w:val="007D0174"/>
    <w:rsid w:val="007D0365"/>
    <w:rsid w:val="007D08D0"/>
    <w:rsid w:val="007D0D32"/>
    <w:rsid w:val="007D1462"/>
    <w:rsid w:val="007D17EE"/>
    <w:rsid w:val="007D18BE"/>
    <w:rsid w:val="007D1A4C"/>
    <w:rsid w:val="007D2484"/>
    <w:rsid w:val="007D3566"/>
    <w:rsid w:val="007D3A85"/>
    <w:rsid w:val="007D3F96"/>
    <w:rsid w:val="007D4138"/>
    <w:rsid w:val="007D49A1"/>
    <w:rsid w:val="007D4B1D"/>
    <w:rsid w:val="007D51B3"/>
    <w:rsid w:val="007D5381"/>
    <w:rsid w:val="007D583D"/>
    <w:rsid w:val="007D5AB3"/>
    <w:rsid w:val="007D5CEC"/>
    <w:rsid w:val="007D5F7C"/>
    <w:rsid w:val="007D61F1"/>
    <w:rsid w:val="007D62E0"/>
    <w:rsid w:val="007D691E"/>
    <w:rsid w:val="007D6AC0"/>
    <w:rsid w:val="007D6B1D"/>
    <w:rsid w:val="007D6BED"/>
    <w:rsid w:val="007D77A8"/>
    <w:rsid w:val="007D7B78"/>
    <w:rsid w:val="007D7C3C"/>
    <w:rsid w:val="007E0924"/>
    <w:rsid w:val="007E09B1"/>
    <w:rsid w:val="007E0A27"/>
    <w:rsid w:val="007E152B"/>
    <w:rsid w:val="007E1559"/>
    <w:rsid w:val="007E1682"/>
    <w:rsid w:val="007E2AA2"/>
    <w:rsid w:val="007E2BE2"/>
    <w:rsid w:val="007E3124"/>
    <w:rsid w:val="007E3EDE"/>
    <w:rsid w:val="007E41E6"/>
    <w:rsid w:val="007E42BF"/>
    <w:rsid w:val="007E433A"/>
    <w:rsid w:val="007E4BF1"/>
    <w:rsid w:val="007E4CB9"/>
    <w:rsid w:val="007E50BB"/>
    <w:rsid w:val="007E5320"/>
    <w:rsid w:val="007E6667"/>
    <w:rsid w:val="007E6F0C"/>
    <w:rsid w:val="007E75A0"/>
    <w:rsid w:val="007E798A"/>
    <w:rsid w:val="007E7BD4"/>
    <w:rsid w:val="007E7D6A"/>
    <w:rsid w:val="007F05C3"/>
    <w:rsid w:val="007F0851"/>
    <w:rsid w:val="007F08B2"/>
    <w:rsid w:val="007F09A9"/>
    <w:rsid w:val="007F0DA2"/>
    <w:rsid w:val="007F0E00"/>
    <w:rsid w:val="007F1070"/>
    <w:rsid w:val="007F12FE"/>
    <w:rsid w:val="007F1520"/>
    <w:rsid w:val="007F1993"/>
    <w:rsid w:val="007F1C38"/>
    <w:rsid w:val="007F2912"/>
    <w:rsid w:val="007F2975"/>
    <w:rsid w:val="007F2A36"/>
    <w:rsid w:val="007F33F5"/>
    <w:rsid w:val="007F3A05"/>
    <w:rsid w:val="007F40C9"/>
    <w:rsid w:val="007F5313"/>
    <w:rsid w:val="007F5A2B"/>
    <w:rsid w:val="007F6877"/>
    <w:rsid w:val="007F6D99"/>
    <w:rsid w:val="007F7059"/>
    <w:rsid w:val="007F7061"/>
    <w:rsid w:val="007F72EC"/>
    <w:rsid w:val="0080043F"/>
    <w:rsid w:val="008006D2"/>
    <w:rsid w:val="0080183A"/>
    <w:rsid w:val="00801DD9"/>
    <w:rsid w:val="00802048"/>
    <w:rsid w:val="00802233"/>
    <w:rsid w:val="008028E8"/>
    <w:rsid w:val="00803376"/>
    <w:rsid w:val="00804223"/>
    <w:rsid w:val="008042C6"/>
    <w:rsid w:val="00805B0D"/>
    <w:rsid w:val="00805C89"/>
    <w:rsid w:val="00806460"/>
    <w:rsid w:val="00806551"/>
    <w:rsid w:val="0080706F"/>
    <w:rsid w:val="00807514"/>
    <w:rsid w:val="00807BD0"/>
    <w:rsid w:val="008106DE"/>
    <w:rsid w:val="00810A4C"/>
    <w:rsid w:val="008117BB"/>
    <w:rsid w:val="00811B53"/>
    <w:rsid w:val="0081206A"/>
    <w:rsid w:val="008127FE"/>
    <w:rsid w:val="00812AB6"/>
    <w:rsid w:val="008131D7"/>
    <w:rsid w:val="008134AF"/>
    <w:rsid w:val="00813682"/>
    <w:rsid w:val="00813DDB"/>
    <w:rsid w:val="00813F78"/>
    <w:rsid w:val="008144C4"/>
    <w:rsid w:val="00814A91"/>
    <w:rsid w:val="0081516C"/>
    <w:rsid w:val="0081521B"/>
    <w:rsid w:val="00815719"/>
    <w:rsid w:val="0081598E"/>
    <w:rsid w:val="0081653C"/>
    <w:rsid w:val="0081673F"/>
    <w:rsid w:val="00816895"/>
    <w:rsid w:val="008170AC"/>
    <w:rsid w:val="00817733"/>
    <w:rsid w:val="00817C2B"/>
    <w:rsid w:val="00817E1F"/>
    <w:rsid w:val="0082039A"/>
    <w:rsid w:val="0082042D"/>
    <w:rsid w:val="008204BD"/>
    <w:rsid w:val="00820BB8"/>
    <w:rsid w:val="00821032"/>
    <w:rsid w:val="0082104D"/>
    <w:rsid w:val="00821EEC"/>
    <w:rsid w:val="00821FE2"/>
    <w:rsid w:val="008223C4"/>
    <w:rsid w:val="008223DA"/>
    <w:rsid w:val="00822514"/>
    <w:rsid w:val="008225AA"/>
    <w:rsid w:val="00822ECB"/>
    <w:rsid w:val="008235C4"/>
    <w:rsid w:val="00824BD9"/>
    <w:rsid w:val="00825C10"/>
    <w:rsid w:val="008261C8"/>
    <w:rsid w:val="0082621A"/>
    <w:rsid w:val="00826ECC"/>
    <w:rsid w:val="008272DC"/>
    <w:rsid w:val="00827958"/>
    <w:rsid w:val="00827DD7"/>
    <w:rsid w:val="00830152"/>
    <w:rsid w:val="00830D03"/>
    <w:rsid w:val="00831E4C"/>
    <w:rsid w:val="00832E57"/>
    <w:rsid w:val="00834007"/>
    <w:rsid w:val="00834557"/>
    <w:rsid w:val="008345D0"/>
    <w:rsid w:val="00834E8D"/>
    <w:rsid w:val="00835394"/>
    <w:rsid w:val="008358EF"/>
    <w:rsid w:val="0083597F"/>
    <w:rsid w:val="008360E3"/>
    <w:rsid w:val="008369EB"/>
    <w:rsid w:val="00836BD5"/>
    <w:rsid w:val="00837458"/>
    <w:rsid w:val="0083753B"/>
    <w:rsid w:val="00837F78"/>
    <w:rsid w:val="008403C2"/>
    <w:rsid w:val="00840D7A"/>
    <w:rsid w:val="00841477"/>
    <w:rsid w:val="008415A9"/>
    <w:rsid w:val="0084166B"/>
    <w:rsid w:val="008418C5"/>
    <w:rsid w:val="0084249A"/>
    <w:rsid w:val="008424F8"/>
    <w:rsid w:val="0084303A"/>
    <w:rsid w:val="00844A59"/>
    <w:rsid w:val="00844E20"/>
    <w:rsid w:val="00844F5E"/>
    <w:rsid w:val="00845515"/>
    <w:rsid w:val="0084563D"/>
    <w:rsid w:val="00846569"/>
    <w:rsid w:val="00846DAC"/>
    <w:rsid w:val="008503DC"/>
    <w:rsid w:val="00850423"/>
    <w:rsid w:val="00850929"/>
    <w:rsid w:val="0085106F"/>
    <w:rsid w:val="008510CC"/>
    <w:rsid w:val="00851A91"/>
    <w:rsid w:val="00851FAE"/>
    <w:rsid w:val="0085208B"/>
    <w:rsid w:val="008521F1"/>
    <w:rsid w:val="00852320"/>
    <w:rsid w:val="008526D5"/>
    <w:rsid w:val="00852B38"/>
    <w:rsid w:val="00853273"/>
    <w:rsid w:val="00853733"/>
    <w:rsid w:val="00854394"/>
    <w:rsid w:val="008549BC"/>
    <w:rsid w:val="00854D8C"/>
    <w:rsid w:val="00854F41"/>
    <w:rsid w:val="00854F47"/>
    <w:rsid w:val="008560B0"/>
    <w:rsid w:val="00856243"/>
    <w:rsid w:val="0085626C"/>
    <w:rsid w:val="008570DD"/>
    <w:rsid w:val="008571DF"/>
    <w:rsid w:val="008579BA"/>
    <w:rsid w:val="00857A98"/>
    <w:rsid w:val="00860513"/>
    <w:rsid w:val="00861019"/>
    <w:rsid w:val="00861425"/>
    <w:rsid w:val="00861CD0"/>
    <w:rsid w:val="008632C4"/>
    <w:rsid w:val="008632E6"/>
    <w:rsid w:val="008644AE"/>
    <w:rsid w:val="00864652"/>
    <w:rsid w:val="00864DA5"/>
    <w:rsid w:val="00865204"/>
    <w:rsid w:val="00865A60"/>
    <w:rsid w:val="0086632C"/>
    <w:rsid w:val="008672D7"/>
    <w:rsid w:val="0087088E"/>
    <w:rsid w:val="00870B4F"/>
    <w:rsid w:val="00870B91"/>
    <w:rsid w:val="008711BE"/>
    <w:rsid w:val="00871568"/>
    <w:rsid w:val="00871C73"/>
    <w:rsid w:val="008720F9"/>
    <w:rsid w:val="00872740"/>
    <w:rsid w:val="008740AB"/>
    <w:rsid w:val="00874F4D"/>
    <w:rsid w:val="00875725"/>
    <w:rsid w:val="00875BA7"/>
    <w:rsid w:val="00875F3C"/>
    <w:rsid w:val="0087600F"/>
    <w:rsid w:val="0087609C"/>
    <w:rsid w:val="008762DB"/>
    <w:rsid w:val="00876999"/>
    <w:rsid w:val="008771A7"/>
    <w:rsid w:val="00877296"/>
    <w:rsid w:val="008778A1"/>
    <w:rsid w:val="00877B31"/>
    <w:rsid w:val="00877CB4"/>
    <w:rsid w:val="008821C0"/>
    <w:rsid w:val="0088257E"/>
    <w:rsid w:val="008834C2"/>
    <w:rsid w:val="008835B3"/>
    <w:rsid w:val="00883982"/>
    <w:rsid w:val="0088428D"/>
    <w:rsid w:val="00884686"/>
    <w:rsid w:val="00884B12"/>
    <w:rsid w:val="00884F94"/>
    <w:rsid w:val="00884FC9"/>
    <w:rsid w:val="0088530C"/>
    <w:rsid w:val="00885DCE"/>
    <w:rsid w:val="00885DF9"/>
    <w:rsid w:val="008863D3"/>
    <w:rsid w:val="008865A4"/>
    <w:rsid w:val="00886DE6"/>
    <w:rsid w:val="008874EF"/>
    <w:rsid w:val="008903AA"/>
    <w:rsid w:val="008904E5"/>
    <w:rsid w:val="00890C77"/>
    <w:rsid w:val="0089126A"/>
    <w:rsid w:val="00891C8D"/>
    <w:rsid w:val="00891F31"/>
    <w:rsid w:val="0089201A"/>
    <w:rsid w:val="0089282B"/>
    <w:rsid w:val="0089298A"/>
    <w:rsid w:val="00892F03"/>
    <w:rsid w:val="00893572"/>
    <w:rsid w:val="008943AD"/>
    <w:rsid w:val="008946F3"/>
    <w:rsid w:val="008948AA"/>
    <w:rsid w:val="00895102"/>
    <w:rsid w:val="00895150"/>
    <w:rsid w:val="0089558A"/>
    <w:rsid w:val="00895896"/>
    <w:rsid w:val="00895B2E"/>
    <w:rsid w:val="00896A40"/>
    <w:rsid w:val="00896C9A"/>
    <w:rsid w:val="00896D46"/>
    <w:rsid w:val="00897298"/>
    <w:rsid w:val="00897748"/>
    <w:rsid w:val="008A0CB5"/>
    <w:rsid w:val="008A0DD6"/>
    <w:rsid w:val="008A0EFD"/>
    <w:rsid w:val="008A1120"/>
    <w:rsid w:val="008A16C9"/>
    <w:rsid w:val="008A1964"/>
    <w:rsid w:val="008A1F27"/>
    <w:rsid w:val="008A2BEB"/>
    <w:rsid w:val="008A32DE"/>
    <w:rsid w:val="008A3E42"/>
    <w:rsid w:val="008A403F"/>
    <w:rsid w:val="008A4687"/>
    <w:rsid w:val="008A4E09"/>
    <w:rsid w:val="008A4F55"/>
    <w:rsid w:val="008A5189"/>
    <w:rsid w:val="008A59FE"/>
    <w:rsid w:val="008A605D"/>
    <w:rsid w:val="008A6064"/>
    <w:rsid w:val="008A696C"/>
    <w:rsid w:val="008A6AC6"/>
    <w:rsid w:val="008A6E80"/>
    <w:rsid w:val="008A6F7C"/>
    <w:rsid w:val="008A7438"/>
    <w:rsid w:val="008B0603"/>
    <w:rsid w:val="008B12BA"/>
    <w:rsid w:val="008B12ED"/>
    <w:rsid w:val="008B181A"/>
    <w:rsid w:val="008B18AD"/>
    <w:rsid w:val="008B19CB"/>
    <w:rsid w:val="008B1C7B"/>
    <w:rsid w:val="008B2D3B"/>
    <w:rsid w:val="008B398D"/>
    <w:rsid w:val="008B3A6B"/>
    <w:rsid w:val="008B486E"/>
    <w:rsid w:val="008B5431"/>
    <w:rsid w:val="008B54A6"/>
    <w:rsid w:val="008B552C"/>
    <w:rsid w:val="008B5965"/>
    <w:rsid w:val="008B5BAF"/>
    <w:rsid w:val="008B5F96"/>
    <w:rsid w:val="008B6097"/>
    <w:rsid w:val="008B68A0"/>
    <w:rsid w:val="008B69EF"/>
    <w:rsid w:val="008B6E1E"/>
    <w:rsid w:val="008B6F89"/>
    <w:rsid w:val="008B7A7C"/>
    <w:rsid w:val="008B7E4C"/>
    <w:rsid w:val="008C00AC"/>
    <w:rsid w:val="008C0E1C"/>
    <w:rsid w:val="008C0FD9"/>
    <w:rsid w:val="008C141F"/>
    <w:rsid w:val="008C1C4A"/>
    <w:rsid w:val="008C206F"/>
    <w:rsid w:val="008C2CE7"/>
    <w:rsid w:val="008C2E63"/>
    <w:rsid w:val="008C34A0"/>
    <w:rsid w:val="008C3673"/>
    <w:rsid w:val="008C37EB"/>
    <w:rsid w:val="008C38DD"/>
    <w:rsid w:val="008C3FDB"/>
    <w:rsid w:val="008C49C6"/>
    <w:rsid w:val="008C4C93"/>
    <w:rsid w:val="008C4F13"/>
    <w:rsid w:val="008C53F9"/>
    <w:rsid w:val="008C5596"/>
    <w:rsid w:val="008C5709"/>
    <w:rsid w:val="008C5DE3"/>
    <w:rsid w:val="008C5F95"/>
    <w:rsid w:val="008C767B"/>
    <w:rsid w:val="008C7C70"/>
    <w:rsid w:val="008D0863"/>
    <w:rsid w:val="008D0896"/>
    <w:rsid w:val="008D1E2F"/>
    <w:rsid w:val="008D1F64"/>
    <w:rsid w:val="008D227F"/>
    <w:rsid w:val="008D26DD"/>
    <w:rsid w:val="008D320C"/>
    <w:rsid w:val="008D3862"/>
    <w:rsid w:val="008D3DB1"/>
    <w:rsid w:val="008D3FAF"/>
    <w:rsid w:val="008D400A"/>
    <w:rsid w:val="008D4952"/>
    <w:rsid w:val="008D4A3E"/>
    <w:rsid w:val="008D4F83"/>
    <w:rsid w:val="008D7FF9"/>
    <w:rsid w:val="008E18C5"/>
    <w:rsid w:val="008E1BD8"/>
    <w:rsid w:val="008E2421"/>
    <w:rsid w:val="008E28C1"/>
    <w:rsid w:val="008E30F6"/>
    <w:rsid w:val="008E3B93"/>
    <w:rsid w:val="008E3D8C"/>
    <w:rsid w:val="008E3E13"/>
    <w:rsid w:val="008E5119"/>
    <w:rsid w:val="008E5D4C"/>
    <w:rsid w:val="008E5E82"/>
    <w:rsid w:val="008E60D1"/>
    <w:rsid w:val="008E7634"/>
    <w:rsid w:val="008E778D"/>
    <w:rsid w:val="008E79C9"/>
    <w:rsid w:val="008E7CF1"/>
    <w:rsid w:val="008F07ED"/>
    <w:rsid w:val="008F0971"/>
    <w:rsid w:val="008F13C6"/>
    <w:rsid w:val="008F19E3"/>
    <w:rsid w:val="008F1A9C"/>
    <w:rsid w:val="008F2150"/>
    <w:rsid w:val="008F255B"/>
    <w:rsid w:val="008F2736"/>
    <w:rsid w:val="008F2B89"/>
    <w:rsid w:val="008F3591"/>
    <w:rsid w:val="008F40CE"/>
    <w:rsid w:val="008F428B"/>
    <w:rsid w:val="008F437E"/>
    <w:rsid w:val="008F465E"/>
    <w:rsid w:val="008F49A4"/>
    <w:rsid w:val="008F49B7"/>
    <w:rsid w:val="008F4FCF"/>
    <w:rsid w:val="008F52A8"/>
    <w:rsid w:val="008F5397"/>
    <w:rsid w:val="008F5A97"/>
    <w:rsid w:val="008F5AAB"/>
    <w:rsid w:val="008F5C97"/>
    <w:rsid w:val="008F630B"/>
    <w:rsid w:val="008F69C8"/>
    <w:rsid w:val="008F6ABE"/>
    <w:rsid w:val="008F6AC5"/>
    <w:rsid w:val="008F6DD2"/>
    <w:rsid w:val="008F6EA7"/>
    <w:rsid w:val="008F7470"/>
    <w:rsid w:val="008F7F8E"/>
    <w:rsid w:val="009007B8"/>
    <w:rsid w:val="00900B27"/>
    <w:rsid w:val="00901019"/>
    <w:rsid w:val="009012D7"/>
    <w:rsid w:val="00901A3F"/>
    <w:rsid w:val="00902091"/>
    <w:rsid w:val="009020BE"/>
    <w:rsid w:val="0090214E"/>
    <w:rsid w:val="00902294"/>
    <w:rsid w:val="009023B5"/>
    <w:rsid w:val="00902408"/>
    <w:rsid w:val="00902A6F"/>
    <w:rsid w:val="009031CF"/>
    <w:rsid w:val="009037EA"/>
    <w:rsid w:val="00903E1F"/>
    <w:rsid w:val="00904440"/>
    <w:rsid w:val="009048CF"/>
    <w:rsid w:val="00904DA2"/>
    <w:rsid w:val="00905608"/>
    <w:rsid w:val="0090587B"/>
    <w:rsid w:val="009061DE"/>
    <w:rsid w:val="009068D9"/>
    <w:rsid w:val="00906BD2"/>
    <w:rsid w:val="009107EA"/>
    <w:rsid w:val="00910BA7"/>
    <w:rsid w:val="00910D21"/>
    <w:rsid w:val="00911076"/>
    <w:rsid w:val="009112BF"/>
    <w:rsid w:val="0091198D"/>
    <w:rsid w:val="00911D68"/>
    <w:rsid w:val="00912EE2"/>
    <w:rsid w:val="00912F46"/>
    <w:rsid w:val="0091305E"/>
    <w:rsid w:val="009133C2"/>
    <w:rsid w:val="009133DD"/>
    <w:rsid w:val="00913C2E"/>
    <w:rsid w:val="0091401C"/>
    <w:rsid w:val="009143F7"/>
    <w:rsid w:val="009149A1"/>
    <w:rsid w:val="00914CE2"/>
    <w:rsid w:val="00914E4F"/>
    <w:rsid w:val="00915B6E"/>
    <w:rsid w:val="009170AE"/>
    <w:rsid w:val="009171BE"/>
    <w:rsid w:val="0092019C"/>
    <w:rsid w:val="009202E3"/>
    <w:rsid w:val="0092030A"/>
    <w:rsid w:val="00920641"/>
    <w:rsid w:val="0092092B"/>
    <w:rsid w:val="00920E5F"/>
    <w:rsid w:val="00920FF1"/>
    <w:rsid w:val="009214ED"/>
    <w:rsid w:val="009215C9"/>
    <w:rsid w:val="009215F4"/>
    <w:rsid w:val="00921752"/>
    <w:rsid w:val="00921A7A"/>
    <w:rsid w:val="00921C5B"/>
    <w:rsid w:val="00921C5F"/>
    <w:rsid w:val="0092216D"/>
    <w:rsid w:val="00923F0B"/>
    <w:rsid w:val="009246B0"/>
    <w:rsid w:val="00924EDB"/>
    <w:rsid w:val="0092554F"/>
    <w:rsid w:val="009259B1"/>
    <w:rsid w:val="00926089"/>
    <w:rsid w:val="0092697E"/>
    <w:rsid w:val="0092779C"/>
    <w:rsid w:val="009277C0"/>
    <w:rsid w:val="00927893"/>
    <w:rsid w:val="00927E55"/>
    <w:rsid w:val="009300C9"/>
    <w:rsid w:val="0093024E"/>
    <w:rsid w:val="00930261"/>
    <w:rsid w:val="00930435"/>
    <w:rsid w:val="009305EE"/>
    <w:rsid w:val="009309E1"/>
    <w:rsid w:val="00931423"/>
    <w:rsid w:val="0093144C"/>
    <w:rsid w:val="00931672"/>
    <w:rsid w:val="00931EF8"/>
    <w:rsid w:val="009321EB"/>
    <w:rsid w:val="0093331C"/>
    <w:rsid w:val="00933F59"/>
    <w:rsid w:val="00933F64"/>
    <w:rsid w:val="00933FFF"/>
    <w:rsid w:val="00934179"/>
    <w:rsid w:val="009348E0"/>
    <w:rsid w:val="009355AA"/>
    <w:rsid w:val="009355F4"/>
    <w:rsid w:val="009359FB"/>
    <w:rsid w:val="00935FDC"/>
    <w:rsid w:val="00936372"/>
    <w:rsid w:val="00936993"/>
    <w:rsid w:val="00937E69"/>
    <w:rsid w:val="00937EEB"/>
    <w:rsid w:val="009402A1"/>
    <w:rsid w:val="009405D2"/>
    <w:rsid w:val="009412AA"/>
    <w:rsid w:val="0094159F"/>
    <w:rsid w:val="009417E1"/>
    <w:rsid w:val="00941CE5"/>
    <w:rsid w:val="00941DAE"/>
    <w:rsid w:val="00941E9E"/>
    <w:rsid w:val="00943AED"/>
    <w:rsid w:val="00943F78"/>
    <w:rsid w:val="0094443D"/>
    <w:rsid w:val="0094538D"/>
    <w:rsid w:val="00945A73"/>
    <w:rsid w:val="00945BED"/>
    <w:rsid w:val="00945E37"/>
    <w:rsid w:val="009460E0"/>
    <w:rsid w:val="009465A0"/>
    <w:rsid w:val="00946A8E"/>
    <w:rsid w:val="00947632"/>
    <w:rsid w:val="009478F1"/>
    <w:rsid w:val="00947A95"/>
    <w:rsid w:val="00950D63"/>
    <w:rsid w:val="00950F67"/>
    <w:rsid w:val="009518A9"/>
    <w:rsid w:val="00951964"/>
    <w:rsid w:val="00951C29"/>
    <w:rsid w:val="00951DCF"/>
    <w:rsid w:val="009537A9"/>
    <w:rsid w:val="00954240"/>
    <w:rsid w:val="00954AAF"/>
    <w:rsid w:val="009554E5"/>
    <w:rsid w:val="00955C52"/>
    <w:rsid w:val="00955E20"/>
    <w:rsid w:val="009577F5"/>
    <w:rsid w:val="009608CF"/>
    <w:rsid w:val="00960978"/>
    <w:rsid w:val="00961196"/>
    <w:rsid w:val="00961BF5"/>
    <w:rsid w:val="00961C90"/>
    <w:rsid w:val="00961CC5"/>
    <w:rsid w:val="00961D95"/>
    <w:rsid w:val="00961DCE"/>
    <w:rsid w:val="009629B0"/>
    <w:rsid w:val="009633FC"/>
    <w:rsid w:val="009636D2"/>
    <w:rsid w:val="00963852"/>
    <w:rsid w:val="009638FD"/>
    <w:rsid w:val="00963A0F"/>
    <w:rsid w:val="00963C1A"/>
    <w:rsid w:val="00964D8B"/>
    <w:rsid w:val="00965501"/>
    <w:rsid w:val="00965D24"/>
    <w:rsid w:val="00966AB1"/>
    <w:rsid w:val="00966BB9"/>
    <w:rsid w:val="00967030"/>
    <w:rsid w:val="0096724E"/>
    <w:rsid w:val="00970808"/>
    <w:rsid w:val="00970927"/>
    <w:rsid w:val="00970A33"/>
    <w:rsid w:val="0097115E"/>
    <w:rsid w:val="00971290"/>
    <w:rsid w:val="00971329"/>
    <w:rsid w:val="0097148D"/>
    <w:rsid w:val="00971EDF"/>
    <w:rsid w:val="00971F44"/>
    <w:rsid w:val="0097205E"/>
    <w:rsid w:val="009727F1"/>
    <w:rsid w:val="00972B03"/>
    <w:rsid w:val="00973A0E"/>
    <w:rsid w:val="009740D0"/>
    <w:rsid w:val="00974148"/>
    <w:rsid w:val="0097467C"/>
    <w:rsid w:val="00974C61"/>
    <w:rsid w:val="00974CC2"/>
    <w:rsid w:val="00975276"/>
    <w:rsid w:val="009755D4"/>
    <w:rsid w:val="0097629B"/>
    <w:rsid w:val="00976434"/>
    <w:rsid w:val="0097648F"/>
    <w:rsid w:val="00976EE9"/>
    <w:rsid w:val="009771F8"/>
    <w:rsid w:val="00977371"/>
    <w:rsid w:val="009774A8"/>
    <w:rsid w:val="009778E1"/>
    <w:rsid w:val="00977CFA"/>
    <w:rsid w:val="0098068D"/>
    <w:rsid w:val="009809B6"/>
    <w:rsid w:val="00980E6F"/>
    <w:rsid w:val="0098102F"/>
    <w:rsid w:val="0098104E"/>
    <w:rsid w:val="00982A0C"/>
    <w:rsid w:val="00983A1D"/>
    <w:rsid w:val="00983EEB"/>
    <w:rsid w:val="0098466E"/>
    <w:rsid w:val="00985398"/>
    <w:rsid w:val="00985A7E"/>
    <w:rsid w:val="00986515"/>
    <w:rsid w:val="00986F5D"/>
    <w:rsid w:val="00987C82"/>
    <w:rsid w:val="009904F8"/>
    <w:rsid w:val="00990812"/>
    <w:rsid w:val="00990AA2"/>
    <w:rsid w:val="00990D41"/>
    <w:rsid w:val="00991961"/>
    <w:rsid w:val="00991B51"/>
    <w:rsid w:val="009920A0"/>
    <w:rsid w:val="009927BB"/>
    <w:rsid w:val="009929D3"/>
    <w:rsid w:val="00992C93"/>
    <w:rsid w:val="00993951"/>
    <w:rsid w:val="00994E1D"/>
    <w:rsid w:val="00995AD1"/>
    <w:rsid w:val="00995EC7"/>
    <w:rsid w:val="00995EE9"/>
    <w:rsid w:val="00996085"/>
    <w:rsid w:val="009965CF"/>
    <w:rsid w:val="00996848"/>
    <w:rsid w:val="0099718F"/>
    <w:rsid w:val="00997355"/>
    <w:rsid w:val="0099738C"/>
    <w:rsid w:val="0099749B"/>
    <w:rsid w:val="00997C53"/>
    <w:rsid w:val="00997D73"/>
    <w:rsid w:val="009A04B8"/>
    <w:rsid w:val="009A085E"/>
    <w:rsid w:val="009A0B68"/>
    <w:rsid w:val="009A1807"/>
    <w:rsid w:val="009A1A7B"/>
    <w:rsid w:val="009A1C27"/>
    <w:rsid w:val="009A1FD3"/>
    <w:rsid w:val="009A24B2"/>
    <w:rsid w:val="009A2A20"/>
    <w:rsid w:val="009A2A40"/>
    <w:rsid w:val="009A32A4"/>
    <w:rsid w:val="009A357B"/>
    <w:rsid w:val="009A38D7"/>
    <w:rsid w:val="009A492B"/>
    <w:rsid w:val="009A4B53"/>
    <w:rsid w:val="009A4FA9"/>
    <w:rsid w:val="009A555E"/>
    <w:rsid w:val="009A5619"/>
    <w:rsid w:val="009A56BC"/>
    <w:rsid w:val="009A5A36"/>
    <w:rsid w:val="009A5B39"/>
    <w:rsid w:val="009A5DB0"/>
    <w:rsid w:val="009A6F07"/>
    <w:rsid w:val="009A7375"/>
    <w:rsid w:val="009A77DE"/>
    <w:rsid w:val="009B057C"/>
    <w:rsid w:val="009B0A71"/>
    <w:rsid w:val="009B17AD"/>
    <w:rsid w:val="009B1877"/>
    <w:rsid w:val="009B1EBC"/>
    <w:rsid w:val="009B2338"/>
    <w:rsid w:val="009B33C3"/>
    <w:rsid w:val="009B3624"/>
    <w:rsid w:val="009B3A3D"/>
    <w:rsid w:val="009B3FE6"/>
    <w:rsid w:val="009B4CF1"/>
    <w:rsid w:val="009B4FA1"/>
    <w:rsid w:val="009B5153"/>
    <w:rsid w:val="009B5157"/>
    <w:rsid w:val="009B5ABF"/>
    <w:rsid w:val="009B5B11"/>
    <w:rsid w:val="009B6321"/>
    <w:rsid w:val="009B66F6"/>
    <w:rsid w:val="009B6DB4"/>
    <w:rsid w:val="009B7830"/>
    <w:rsid w:val="009C07BD"/>
    <w:rsid w:val="009C08A8"/>
    <w:rsid w:val="009C0C8D"/>
    <w:rsid w:val="009C1130"/>
    <w:rsid w:val="009C1512"/>
    <w:rsid w:val="009C18F6"/>
    <w:rsid w:val="009C1F95"/>
    <w:rsid w:val="009C222C"/>
    <w:rsid w:val="009C23E2"/>
    <w:rsid w:val="009C248C"/>
    <w:rsid w:val="009C24CB"/>
    <w:rsid w:val="009C2731"/>
    <w:rsid w:val="009C2E1F"/>
    <w:rsid w:val="009C3073"/>
    <w:rsid w:val="009C31B0"/>
    <w:rsid w:val="009C3CE7"/>
    <w:rsid w:val="009C4037"/>
    <w:rsid w:val="009C4B42"/>
    <w:rsid w:val="009C53A2"/>
    <w:rsid w:val="009C58FD"/>
    <w:rsid w:val="009C634C"/>
    <w:rsid w:val="009C6ADF"/>
    <w:rsid w:val="009C72C0"/>
    <w:rsid w:val="009C75C1"/>
    <w:rsid w:val="009C75E1"/>
    <w:rsid w:val="009C79E0"/>
    <w:rsid w:val="009C7CA3"/>
    <w:rsid w:val="009C7EFB"/>
    <w:rsid w:val="009D0510"/>
    <w:rsid w:val="009D06AF"/>
    <w:rsid w:val="009D06C7"/>
    <w:rsid w:val="009D099B"/>
    <w:rsid w:val="009D09F5"/>
    <w:rsid w:val="009D0D73"/>
    <w:rsid w:val="009D0DB0"/>
    <w:rsid w:val="009D0E99"/>
    <w:rsid w:val="009D0F72"/>
    <w:rsid w:val="009D14A9"/>
    <w:rsid w:val="009D1511"/>
    <w:rsid w:val="009D1AB4"/>
    <w:rsid w:val="009D27F3"/>
    <w:rsid w:val="009D2FCA"/>
    <w:rsid w:val="009D3344"/>
    <w:rsid w:val="009D37CF"/>
    <w:rsid w:val="009D3E11"/>
    <w:rsid w:val="009D4649"/>
    <w:rsid w:val="009D46D2"/>
    <w:rsid w:val="009D488A"/>
    <w:rsid w:val="009D53B5"/>
    <w:rsid w:val="009D57A8"/>
    <w:rsid w:val="009E006A"/>
    <w:rsid w:val="009E006F"/>
    <w:rsid w:val="009E04B1"/>
    <w:rsid w:val="009E0794"/>
    <w:rsid w:val="009E0DAE"/>
    <w:rsid w:val="009E195A"/>
    <w:rsid w:val="009E1E4E"/>
    <w:rsid w:val="009E1EF4"/>
    <w:rsid w:val="009E23AB"/>
    <w:rsid w:val="009E3F0D"/>
    <w:rsid w:val="009E44A8"/>
    <w:rsid w:val="009E5C4E"/>
    <w:rsid w:val="009E64E3"/>
    <w:rsid w:val="009E6592"/>
    <w:rsid w:val="009E692D"/>
    <w:rsid w:val="009E70F3"/>
    <w:rsid w:val="009E7B1B"/>
    <w:rsid w:val="009E7F4A"/>
    <w:rsid w:val="009F0388"/>
    <w:rsid w:val="009F09BF"/>
    <w:rsid w:val="009F0B00"/>
    <w:rsid w:val="009F0CF3"/>
    <w:rsid w:val="009F1717"/>
    <w:rsid w:val="009F2544"/>
    <w:rsid w:val="009F280A"/>
    <w:rsid w:val="009F2964"/>
    <w:rsid w:val="009F34E8"/>
    <w:rsid w:val="009F3D9C"/>
    <w:rsid w:val="009F45F4"/>
    <w:rsid w:val="009F4B87"/>
    <w:rsid w:val="009F5289"/>
    <w:rsid w:val="009F5444"/>
    <w:rsid w:val="009F594B"/>
    <w:rsid w:val="009F5A33"/>
    <w:rsid w:val="009F6B4D"/>
    <w:rsid w:val="009F6CB5"/>
    <w:rsid w:val="009F6E3C"/>
    <w:rsid w:val="009F7341"/>
    <w:rsid w:val="009F7820"/>
    <w:rsid w:val="009F7CB1"/>
    <w:rsid w:val="009F7E2C"/>
    <w:rsid w:val="009F7FB9"/>
    <w:rsid w:val="00A000BC"/>
    <w:rsid w:val="00A00402"/>
    <w:rsid w:val="00A00579"/>
    <w:rsid w:val="00A00653"/>
    <w:rsid w:val="00A00775"/>
    <w:rsid w:val="00A00902"/>
    <w:rsid w:val="00A00FD6"/>
    <w:rsid w:val="00A01724"/>
    <w:rsid w:val="00A01FAF"/>
    <w:rsid w:val="00A0250B"/>
    <w:rsid w:val="00A02B78"/>
    <w:rsid w:val="00A03265"/>
    <w:rsid w:val="00A03F59"/>
    <w:rsid w:val="00A04BF1"/>
    <w:rsid w:val="00A04F42"/>
    <w:rsid w:val="00A0594A"/>
    <w:rsid w:val="00A06196"/>
    <w:rsid w:val="00A064B6"/>
    <w:rsid w:val="00A0701C"/>
    <w:rsid w:val="00A07606"/>
    <w:rsid w:val="00A07A9D"/>
    <w:rsid w:val="00A07B5F"/>
    <w:rsid w:val="00A07B7F"/>
    <w:rsid w:val="00A10DD2"/>
    <w:rsid w:val="00A10FAC"/>
    <w:rsid w:val="00A11421"/>
    <w:rsid w:val="00A11E78"/>
    <w:rsid w:val="00A12BCA"/>
    <w:rsid w:val="00A137D5"/>
    <w:rsid w:val="00A13859"/>
    <w:rsid w:val="00A13B66"/>
    <w:rsid w:val="00A13E4A"/>
    <w:rsid w:val="00A13F47"/>
    <w:rsid w:val="00A13F60"/>
    <w:rsid w:val="00A143E8"/>
    <w:rsid w:val="00A149C8"/>
    <w:rsid w:val="00A151A2"/>
    <w:rsid w:val="00A1614E"/>
    <w:rsid w:val="00A16541"/>
    <w:rsid w:val="00A16EED"/>
    <w:rsid w:val="00A20B58"/>
    <w:rsid w:val="00A215E7"/>
    <w:rsid w:val="00A21694"/>
    <w:rsid w:val="00A21698"/>
    <w:rsid w:val="00A21A04"/>
    <w:rsid w:val="00A22636"/>
    <w:rsid w:val="00A236B5"/>
    <w:rsid w:val="00A23FEA"/>
    <w:rsid w:val="00A24342"/>
    <w:rsid w:val="00A24C5F"/>
    <w:rsid w:val="00A25407"/>
    <w:rsid w:val="00A26590"/>
    <w:rsid w:val="00A2663D"/>
    <w:rsid w:val="00A26DDB"/>
    <w:rsid w:val="00A26F7C"/>
    <w:rsid w:val="00A27595"/>
    <w:rsid w:val="00A27712"/>
    <w:rsid w:val="00A32974"/>
    <w:rsid w:val="00A32A9E"/>
    <w:rsid w:val="00A32FA2"/>
    <w:rsid w:val="00A3442A"/>
    <w:rsid w:val="00A34670"/>
    <w:rsid w:val="00A34C85"/>
    <w:rsid w:val="00A36365"/>
    <w:rsid w:val="00A368AF"/>
    <w:rsid w:val="00A36B23"/>
    <w:rsid w:val="00A36EFB"/>
    <w:rsid w:val="00A3734C"/>
    <w:rsid w:val="00A373E5"/>
    <w:rsid w:val="00A37C61"/>
    <w:rsid w:val="00A37D5A"/>
    <w:rsid w:val="00A400B8"/>
    <w:rsid w:val="00A4025E"/>
    <w:rsid w:val="00A404E7"/>
    <w:rsid w:val="00A40978"/>
    <w:rsid w:val="00A40CB0"/>
    <w:rsid w:val="00A4107B"/>
    <w:rsid w:val="00A41A2D"/>
    <w:rsid w:val="00A41F69"/>
    <w:rsid w:val="00A42159"/>
    <w:rsid w:val="00A42747"/>
    <w:rsid w:val="00A42B19"/>
    <w:rsid w:val="00A43B16"/>
    <w:rsid w:val="00A43DF6"/>
    <w:rsid w:val="00A441BF"/>
    <w:rsid w:val="00A448E2"/>
    <w:rsid w:val="00A44982"/>
    <w:rsid w:val="00A4661D"/>
    <w:rsid w:val="00A46C9C"/>
    <w:rsid w:val="00A47196"/>
    <w:rsid w:val="00A4725F"/>
    <w:rsid w:val="00A47CC8"/>
    <w:rsid w:val="00A5031A"/>
    <w:rsid w:val="00A50551"/>
    <w:rsid w:val="00A5069C"/>
    <w:rsid w:val="00A5096C"/>
    <w:rsid w:val="00A50EEB"/>
    <w:rsid w:val="00A51BAB"/>
    <w:rsid w:val="00A53727"/>
    <w:rsid w:val="00A5425D"/>
    <w:rsid w:val="00A5498F"/>
    <w:rsid w:val="00A54F61"/>
    <w:rsid w:val="00A550EF"/>
    <w:rsid w:val="00A56B35"/>
    <w:rsid w:val="00A57A90"/>
    <w:rsid w:val="00A57BE6"/>
    <w:rsid w:val="00A60B15"/>
    <w:rsid w:val="00A60FA4"/>
    <w:rsid w:val="00A61481"/>
    <w:rsid w:val="00A61498"/>
    <w:rsid w:val="00A6159D"/>
    <w:rsid w:val="00A62003"/>
    <w:rsid w:val="00A62634"/>
    <w:rsid w:val="00A633BA"/>
    <w:rsid w:val="00A639B1"/>
    <w:rsid w:val="00A639BA"/>
    <w:rsid w:val="00A64095"/>
    <w:rsid w:val="00A64199"/>
    <w:rsid w:val="00A647F2"/>
    <w:rsid w:val="00A64991"/>
    <w:rsid w:val="00A650AE"/>
    <w:rsid w:val="00A65114"/>
    <w:rsid w:val="00A65B0E"/>
    <w:rsid w:val="00A65DE4"/>
    <w:rsid w:val="00A65E6D"/>
    <w:rsid w:val="00A6689C"/>
    <w:rsid w:val="00A668A8"/>
    <w:rsid w:val="00A66A0B"/>
    <w:rsid w:val="00A66A92"/>
    <w:rsid w:val="00A66B39"/>
    <w:rsid w:val="00A66DF4"/>
    <w:rsid w:val="00A67DF0"/>
    <w:rsid w:val="00A700C0"/>
    <w:rsid w:val="00A702E9"/>
    <w:rsid w:val="00A7040D"/>
    <w:rsid w:val="00A705BB"/>
    <w:rsid w:val="00A70C04"/>
    <w:rsid w:val="00A70C4B"/>
    <w:rsid w:val="00A70D98"/>
    <w:rsid w:val="00A710F3"/>
    <w:rsid w:val="00A71225"/>
    <w:rsid w:val="00A71789"/>
    <w:rsid w:val="00A7180C"/>
    <w:rsid w:val="00A7201F"/>
    <w:rsid w:val="00A72049"/>
    <w:rsid w:val="00A72057"/>
    <w:rsid w:val="00A720EA"/>
    <w:rsid w:val="00A72591"/>
    <w:rsid w:val="00A7286E"/>
    <w:rsid w:val="00A72BC4"/>
    <w:rsid w:val="00A72CC4"/>
    <w:rsid w:val="00A73CCD"/>
    <w:rsid w:val="00A75012"/>
    <w:rsid w:val="00A750CD"/>
    <w:rsid w:val="00A751EE"/>
    <w:rsid w:val="00A75354"/>
    <w:rsid w:val="00A7545C"/>
    <w:rsid w:val="00A75703"/>
    <w:rsid w:val="00A760E8"/>
    <w:rsid w:val="00A768B7"/>
    <w:rsid w:val="00A772A8"/>
    <w:rsid w:val="00A77E77"/>
    <w:rsid w:val="00A8020B"/>
    <w:rsid w:val="00A803D0"/>
    <w:rsid w:val="00A80BC2"/>
    <w:rsid w:val="00A81848"/>
    <w:rsid w:val="00A8184F"/>
    <w:rsid w:val="00A81B2B"/>
    <w:rsid w:val="00A81E1D"/>
    <w:rsid w:val="00A8201A"/>
    <w:rsid w:val="00A82758"/>
    <w:rsid w:val="00A82AB1"/>
    <w:rsid w:val="00A82AFE"/>
    <w:rsid w:val="00A83076"/>
    <w:rsid w:val="00A84DB0"/>
    <w:rsid w:val="00A85B9C"/>
    <w:rsid w:val="00A863FF"/>
    <w:rsid w:val="00A866A1"/>
    <w:rsid w:val="00A86836"/>
    <w:rsid w:val="00A87B08"/>
    <w:rsid w:val="00A91376"/>
    <w:rsid w:val="00A915D3"/>
    <w:rsid w:val="00A91858"/>
    <w:rsid w:val="00A92374"/>
    <w:rsid w:val="00A9257A"/>
    <w:rsid w:val="00A9289F"/>
    <w:rsid w:val="00A9317A"/>
    <w:rsid w:val="00A9395D"/>
    <w:rsid w:val="00A93963"/>
    <w:rsid w:val="00A951F7"/>
    <w:rsid w:val="00A95C1C"/>
    <w:rsid w:val="00A95D92"/>
    <w:rsid w:val="00A96211"/>
    <w:rsid w:val="00A962CD"/>
    <w:rsid w:val="00A9736A"/>
    <w:rsid w:val="00A97C8E"/>
    <w:rsid w:val="00AA039A"/>
    <w:rsid w:val="00AA0AB2"/>
    <w:rsid w:val="00AA1185"/>
    <w:rsid w:val="00AA16BA"/>
    <w:rsid w:val="00AA1C48"/>
    <w:rsid w:val="00AA1CCD"/>
    <w:rsid w:val="00AA1F13"/>
    <w:rsid w:val="00AA2C74"/>
    <w:rsid w:val="00AA2FC8"/>
    <w:rsid w:val="00AA3780"/>
    <w:rsid w:val="00AA3A27"/>
    <w:rsid w:val="00AA42D6"/>
    <w:rsid w:val="00AA4979"/>
    <w:rsid w:val="00AA4CF2"/>
    <w:rsid w:val="00AA4EFC"/>
    <w:rsid w:val="00AA5FBF"/>
    <w:rsid w:val="00AA663B"/>
    <w:rsid w:val="00AA6EBC"/>
    <w:rsid w:val="00AA6FBB"/>
    <w:rsid w:val="00AA72C9"/>
    <w:rsid w:val="00AA745A"/>
    <w:rsid w:val="00AA7DF4"/>
    <w:rsid w:val="00AA7E5F"/>
    <w:rsid w:val="00AB01AD"/>
    <w:rsid w:val="00AB0311"/>
    <w:rsid w:val="00AB09D8"/>
    <w:rsid w:val="00AB0A51"/>
    <w:rsid w:val="00AB11A3"/>
    <w:rsid w:val="00AB1C3B"/>
    <w:rsid w:val="00AB1F1F"/>
    <w:rsid w:val="00AB31A0"/>
    <w:rsid w:val="00AB3D1F"/>
    <w:rsid w:val="00AB4339"/>
    <w:rsid w:val="00AB43B8"/>
    <w:rsid w:val="00AB493E"/>
    <w:rsid w:val="00AB4C37"/>
    <w:rsid w:val="00AB4D86"/>
    <w:rsid w:val="00AB5148"/>
    <w:rsid w:val="00AB530F"/>
    <w:rsid w:val="00AB5B34"/>
    <w:rsid w:val="00AB5C7A"/>
    <w:rsid w:val="00AB6112"/>
    <w:rsid w:val="00AB6498"/>
    <w:rsid w:val="00AB65A8"/>
    <w:rsid w:val="00AB6D07"/>
    <w:rsid w:val="00AB7227"/>
    <w:rsid w:val="00AB73AD"/>
    <w:rsid w:val="00AB7A9F"/>
    <w:rsid w:val="00AB7F47"/>
    <w:rsid w:val="00AB7F62"/>
    <w:rsid w:val="00AC021F"/>
    <w:rsid w:val="00AC057F"/>
    <w:rsid w:val="00AC2B28"/>
    <w:rsid w:val="00AC2CB7"/>
    <w:rsid w:val="00AC30DA"/>
    <w:rsid w:val="00AC3528"/>
    <w:rsid w:val="00AC387B"/>
    <w:rsid w:val="00AC388E"/>
    <w:rsid w:val="00AC3C58"/>
    <w:rsid w:val="00AC4180"/>
    <w:rsid w:val="00AC4ADF"/>
    <w:rsid w:val="00AC4D2B"/>
    <w:rsid w:val="00AC5026"/>
    <w:rsid w:val="00AC54AF"/>
    <w:rsid w:val="00AC55F0"/>
    <w:rsid w:val="00AC5FE3"/>
    <w:rsid w:val="00AC70C4"/>
    <w:rsid w:val="00AC7400"/>
    <w:rsid w:val="00AC7AF2"/>
    <w:rsid w:val="00AC7BB8"/>
    <w:rsid w:val="00AD083E"/>
    <w:rsid w:val="00AD1026"/>
    <w:rsid w:val="00AD1060"/>
    <w:rsid w:val="00AD13AB"/>
    <w:rsid w:val="00AD153F"/>
    <w:rsid w:val="00AD1AB7"/>
    <w:rsid w:val="00AD1BD5"/>
    <w:rsid w:val="00AD20A3"/>
    <w:rsid w:val="00AD2164"/>
    <w:rsid w:val="00AD2680"/>
    <w:rsid w:val="00AD28BA"/>
    <w:rsid w:val="00AD29D1"/>
    <w:rsid w:val="00AD2F88"/>
    <w:rsid w:val="00AD3C33"/>
    <w:rsid w:val="00AD4130"/>
    <w:rsid w:val="00AD4706"/>
    <w:rsid w:val="00AD488E"/>
    <w:rsid w:val="00AD4932"/>
    <w:rsid w:val="00AD5C29"/>
    <w:rsid w:val="00AD63A5"/>
    <w:rsid w:val="00AD677B"/>
    <w:rsid w:val="00AD695A"/>
    <w:rsid w:val="00AD6F36"/>
    <w:rsid w:val="00AD7C3F"/>
    <w:rsid w:val="00AD7F15"/>
    <w:rsid w:val="00AD7F24"/>
    <w:rsid w:val="00AE031A"/>
    <w:rsid w:val="00AE04B6"/>
    <w:rsid w:val="00AE056B"/>
    <w:rsid w:val="00AE1524"/>
    <w:rsid w:val="00AE1734"/>
    <w:rsid w:val="00AE1CF3"/>
    <w:rsid w:val="00AE2247"/>
    <w:rsid w:val="00AE28D7"/>
    <w:rsid w:val="00AE3677"/>
    <w:rsid w:val="00AE39F0"/>
    <w:rsid w:val="00AE3A97"/>
    <w:rsid w:val="00AE3B4E"/>
    <w:rsid w:val="00AE3F59"/>
    <w:rsid w:val="00AE44E0"/>
    <w:rsid w:val="00AE478F"/>
    <w:rsid w:val="00AE4797"/>
    <w:rsid w:val="00AE4FEE"/>
    <w:rsid w:val="00AE5620"/>
    <w:rsid w:val="00AE58A2"/>
    <w:rsid w:val="00AE5C93"/>
    <w:rsid w:val="00AE6019"/>
    <w:rsid w:val="00AE6BAD"/>
    <w:rsid w:val="00AE6C7D"/>
    <w:rsid w:val="00AE7E63"/>
    <w:rsid w:val="00AF0D24"/>
    <w:rsid w:val="00AF1153"/>
    <w:rsid w:val="00AF12BE"/>
    <w:rsid w:val="00AF1E16"/>
    <w:rsid w:val="00AF221D"/>
    <w:rsid w:val="00AF24A8"/>
    <w:rsid w:val="00AF2EDA"/>
    <w:rsid w:val="00AF32D7"/>
    <w:rsid w:val="00AF32E5"/>
    <w:rsid w:val="00AF3625"/>
    <w:rsid w:val="00AF3ACD"/>
    <w:rsid w:val="00AF3F6D"/>
    <w:rsid w:val="00AF41C4"/>
    <w:rsid w:val="00AF42C7"/>
    <w:rsid w:val="00AF446D"/>
    <w:rsid w:val="00AF50B3"/>
    <w:rsid w:val="00AF5241"/>
    <w:rsid w:val="00AF5620"/>
    <w:rsid w:val="00AF57B5"/>
    <w:rsid w:val="00AF610E"/>
    <w:rsid w:val="00AF6316"/>
    <w:rsid w:val="00AF6BCC"/>
    <w:rsid w:val="00AF6D09"/>
    <w:rsid w:val="00AF6DB2"/>
    <w:rsid w:val="00AF703D"/>
    <w:rsid w:val="00AF73C3"/>
    <w:rsid w:val="00AF752B"/>
    <w:rsid w:val="00AF76C3"/>
    <w:rsid w:val="00B0060B"/>
    <w:rsid w:val="00B009A4"/>
    <w:rsid w:val="00B010AB"/>
    <w:rsid w:val="00B011E9"/>
    <w:rsid w:val="00B01662"/>
    <w:rsid w:val="00B01C7E"/>
    <w:rsid w:val="00B01D90"/>
    <w:rsid w:val="00B01DBD"/>
    <w:rsid w:val="00B02DD1"/>
    <w:rsid w:val="00B032BE"/>
    <w:rsid w:val="00B03E91"/>
    <w:rsid w:val="00B06953"/>
    <w:rsid w:val="00B102AD"/>
    <w:rsid w:val="00B10989"/>
    <w:rsid w:val="00B11451"/>
    <w:rsid w:val="00B122DE"/>
    <w:rsid w:val="00B137BF"/>
    <w:rsid w:val="00B137F1"/>
    <w:rsid w:val="00B1391D"/>
    <w:rsid w:val="00B1393F"/>
    <w:rsid w:val="00B14138"/>
    <w:rsid w:val="00B142F8"/>
    <w:rsid w:val="00B14458"/>
    <w:rsid w:val="00B14B89"/>
    <w:rsid w:val="00B15589"/>
    <w:rsid w:val="00B1564F"/>
    <w:rsid w:val="00B15F22"/>
    <w:rsid w:val="00B16857"/>
    <w:rsid w:val="00B17381"/>
    <w:rsid w:val="00B1739C"/>
    <w:rsid w:val="00B2024F"/>
    <w:rsid w:val="00B20539"/>
    <w:rsid w:val="00B20B97"/>
    <w:rsid w:val="00B20D68"/>
    <w:rsid w:val="00B21217"/>
    <w:rsid w:val="00B21450"/>
    <w:rsid w:val="00B2165E"/>
    <w:rsid w:val="00B21D33"/>
    <w:rsid w:val="00B21F29"/>
    <w:rsid w:val="00B22527"/>
    <w:rsid w:val="00B22BD4"/>
    <w:rsid w:val="00B2345B"/>
    <w:rsid w:val="00B2380C"/>
    <w:rsid w:val="00B238B1"/>
    <w:rsid w:val="00B23926"/>
    <w:rsid w:val="00B23FC4"/>
    <w:rsid w:val="00B241C6"/>
    <w:rsid w:val="00B243F2"/>
    <w:rsid w:val="00B24965"/>
    <w:rsid w:val="00B255A9"/>
    <w:rsid w:val="00B25A26"/>
    <w:rsid w:val="00B2641D"/>
    <w:rsid w:val="00B2693A"/>
    <w:rsid w:val="00B274A7"/>
    <w:rsid w:val="00B27E1E"/>
    <w:rsid w:val="00B30470"/>
    <w:rsid w:val="00B3083E"/>
    <w:rsid w:val="00B30DDD"/>
    <w:rsid w:val="00B30FDF"/>
    <w:rsid w:val="00B3145D"/>
    <w:rsid w:val="00B31851"/>
    <w:rsid w:val="00B31C84"/>
    <w:rsid w:val="00B3216D"/>
    <w:rsid w:val="00B323AF"/>
    <w:rsid w:val="00B32AFE"/>
    <w:rsid w:val="00B32E6A"/>
    <w:rsid w:val="00B33B62"/>
    <w:rsid w:val="00B33EC1"/>
    <w:rsid w:val="00B359D4"/>
    <w:rsid w:val="00B3661A"/>
    <w:rsid w:val="00B3722F"/>
    <w:rsid w:val="00B3763C"/>
    <w:rsid w:val="00B405E5"/>
    <w:rsid w:val="00B41052"/>
    <w:rsid w:val="00B410D7"/>
    <w:rsid w:val="00B41E3C"/>
    <w:rsid w:val="00B42599"/>
    <w:rsid w:val="00B42CDF"/>
    <w:rsid w:val="00B42D61"/>
    <w:rsid w:val="00B43067"/>
    <w:rsid w:val="00B43905"/>
    <w:rsid w:val="00B4459C"/>
    <w:rsid w:val="00B44D20"/>
    <w:rsid w:val="00B44F17"/>
    <w:rsid w:val="00B461EE"/>
    <w:rsid w:val="00B467A2"/>
    <w:rsid w:val="00B46DD2"/>
    <w:rsid w:val="00B46ED4"/>
    <w:rsid w:val="00B46FC3"/>
    <w:rsid w:val="00B47605"/>
    <w:rsid w:val="00B47731"/>
    <w:rsid w:val="00B51587"/>
    <w:rsid w:val="00B51AC5"/>
    <w:rsid w:val="00B526C4"/>
    <w:rsid w:val="00B52CBF"/>
    <w:rsid w:val="00B53042"/>
    <w:rsid w:val="00B55425"/>
    <w:rsid w:val="00B55839"/>
    <w:rsid w:val="00B56094"/>
    <w:rsid w:val="00B5672A"/>
    <w:rsid w:val="00B57035"/>
    <w:rsid w:val="00B572FB"/>
    <w:rsid w:val="00B579C6"/>
    <w:rsid w:val="00B603DD"/>
    <w:rsid w:val="00B608FF"/>
    <w:rsid w:val="00B61877"/>
    <w:rsid w:val="00B6188C"/>
    <w:rsid w:val="00B62205"/>
    <w:rsid w:val="00B62548"/>
    <w:rsid w:val="00B62F69"/>
    <w:rsid w:val="00B62FC5"/>
    <w:rsid w:val="00B637C9"/>
    <w:rsid w:val="00B638FC"/>
    <w:rsid w:val="00B63E3A"/>
    <w:rsid w:val="00B64DF3"/>
    <w:rsid w:val="00B64F26"/>
    <w:rsid w:val="00B653EA"/>
    <w:rsid w:val="00B65B8D"/>
    <w:rsid w:val="00B663C4"/>
    <w:rsid w:val="00B66BAB"/>
    <w:rsid w:val="00B67560"/>
    <w:rsid w:val="00B6767E"/>
    <w:rsid w:val="00B67733"/>
    <w:rsid w:val="00B705F2"/>
    <w:rsid w:val="00B71008"/>
    <w:rsid w:val="00B717DE"/>
    <w:rsid w:val="00B7186F"/>
    <w:rsid w:val="00B719EA"/>
    <w:rsid w:val="00B71F39"/>
    <w:rsid w:val="00B72B2C"/>
    <w:rsid w:val="00B72CE2"/>
    <w:rsid w:val="00B732B6"/>
    <w:rsid w:val="00B737ED"/>
    <w:rsid w:val="00B7406B"/>
    <w:rsid w:val="00B744F8"/>
    <w:rsid w:val="00B7454D"/>
    <w:rsid w:val="00B755E1"/>
    <w:rsid w:val="00B76516"/>
    <w:rsid w:val="00B7651E"/>
    <w:rsid w:val="00B76C05"/>
    <w:rsid w:val="00B76ECD"/>
    <w:rsid w:val="00B77530"/>
    <w:rsid w:val="00B77764"/>
    <w:rsid w:val="00B77D8D"/>
    <w:rsid w:val="00B809E0"/>
    <w:rsid w:val="00B81339"/>
    <w:rsid w:val="00B81393"/>
    <w:rsid w:val="00B81672"/>
    <w:rsid w:val="00B818ED"/>
    <w:rsid w:val="00B8283A"/>
    <w:rsid w:val="00B836B3"/>
    <w:rsid w:val="00B841EB"/>
    <w:rsid w:val="00B846C5"/>
    <w:rsid w:val="00B854AA"/>
    <w:rsid w:val="00B85ED4"/>
    <w:rsid w:val="00B85FAF"/>
    <w:rsid w:val="00B865B0"/>
    <w:rsid w:val="00B86FF6"/>
    <w:rsid w:val="00B871BA"/>
    <w:rsid w:val="00B872A8"/>
    <w:rsid w:val="00B87398"/>
    <w:rsid w:val="00B87F72"/>
    <w:rsid w:val="00B909A9"/>
    <w:rsid w:val="00B913F0"/>
    <w:rsid w:val="00B91726"/>
    <w:rsid w:val="00B925AF"/>
    <w:rsid w:val="00B92B24"/>
    <w:rsid w:val="00B931F1"/>
    <w:rsid w:val="00B935EF"/>
    <w:rsid w:val="00B93673"/>
    <w:rsid w:val="00B93A7E"/>
    <w:rsid w:val="00B947B0"/>
    <w:rsid w:val="00B94FAD"/>
    <w:rsid w:val="00B95157"/>
    <w:rsid w:val="00B96855"/>
    <w:rsid w:val="00B96E28"/>
    <w:rsid w:val="00B970DD"/>
    <w:rsid w:val="00B977E4"/>
    <w:rsid w:val="00BA0427"/>
    <w:rsid w:val="00BA048B"/>
    <w:rsid w:val="00BA091A"/>
    <w:rsid w:val="00BA15F9"/>
    <w:rsid w:val="00BA1641"/>
    <w:rsid w:val="00BA285E"/>
    <w:rsid w:val="00BA2F06"/>
    <w:rsid w:val="00BA3717"/>
    <w:rsid w:val="00BA3740"/>
    <w:rsid w:val="00BA3E81"/>
    <w:rsid w:val="00BA49C2"/>
    <w:rsid w:val="00BA522F"/>
    <w:rsid w:val="00BA57C4"/>
    <w:rsid w:val="00BA5ABB"/>
    <w:rsid w:val="00BA5E28"/>
    <w:rsid w:val="00BA6432"/>
    <w:rsid w:val="00BA6635"/>
    <w:rsid w:val="00BA69D9"/>
    <w:rsid w:val="00BA6E9A"/>
    <w:rsid w:val="00BA7630"/>
    <w:rsid w:val="00BA77E8"/>
    <w:rsid w:val="00BA7B73"/>
    <w:rsid w:val="00BA7ECB"/>
    <w:rsid w:val="00BB045D"/>
    <w:rsid w:val="00BB053F"/>
    <w:rsid w:val="00BB07E7"/>
    <w:rsid w:val="00BB0CAE"/>
    <w:rsid w:val="00BB1058"/>
    <w:rsid w:val="00BB11C0"/>
    <w:rsid w:val="00BB1ED6"/>
    <w:rsid w:val="00BB2333"/>
    <w:rsid w:val="00BB4265"/>
    <w:rsid w:val="00BB432B"/>
    <w:rsid w:val="00BB494B"/>
    <w:rsid w:val="00BB57BC"/>
    <w:rsid w:val="00BB5C0D"/>
    <w:rsid w:val="00BB5DB9"/>
    <w:rsid w:val="00BB5DC6"/>
    <w:rsid w:val="00BB6129"/>
    <w:rsid w:val="00BB70BB"/>
    <w:rsid w:val="00BB74B5"/>
    <w:rsid w:val="00BB7A34"/>
    <w:rsid w:val="00BB7CBD"/>
    <w:rsid w:val="00BC15AB"/>
    <w:rsid w:val="00BC2E33"/>
    <w:rsid w:val="00BC3EB1"/>
    <w:rsid w:val="00BC4D80"/>
    <w:rsid w:val="00BC4F6C"/>
    <w:rsid w:val="00BC57B8"/>
    <w:rsid w:val="00BC589E"/>
    <w:rsid w:val="00BC5974"/>
    <w:rsid w:val="00BC5B6C"/>
    <w:rsid w:val="00BC6518"/>
    <w:rsid w:val="00BC6600"/>
    <w:rsid w:val="00BC6B15"/>
    <w:rsid w:val="00BC71E3"/>
    <w:rsid w:val="00BC778E"/>
    <w:rsid w:val="00BD04C5"/>
    <w:rsid w:val="00BD0566"/>
    <w:rsid w:val="00BD09CB"/>
    <w:rsid w:val="00BD102E"/>
    <w:rsid w:val="00BD10D2"/>
    <w:rsid w:val="00BD12D0"/>
    <w:rsid w:val="00BD1AB5"/>
    <w:rsid w:val="00BD222A"/>
    <w:rsid w:val="00BD229A"/>
    <w:rsid w:val="00BD260A"/>
    <w:rsid w:val="00BD28F6"/>
    <w:rsid w:val="00BD2ADE"/>
    <w:rsid w:val="00BD2BBD"/>
    <w:rsid w:val="00BD370D"/>
    <w:rsid w:val="00BD3C66"/>
    <w:rsid w:val="00BD4353"/>
    <w:rsid w:val="00BD4D1B"/>
    <w:rsid w:val="00BD4E31"/>
    <w:rsid w:val="00BD5733"/>
    <w:rsid w:val="00BD57B0"/>
    <w:rsid w:val="00BD57F7"/>
    <w:rsid w:val="00BD63E8"/>
    <w:rsid w:val="00BD64BF"/>
    <w:rsid w:val="00BD6FCE"/>
    <w:rsid w:val="00BD774C"/>
    <w:rsid w:val="00BE04B2"/>
    <w:rsid w:val="00BE05A1"/>
    <w:rsid w:val="00BE12EA"/>
    <w:rsid w:val="00BE19AD"/>
    <w:rsid w:val="00BE1BE0"/>
    <w:rsid w:val="00BE2E50"/>
    <w:rsid w:val="00BE3115"/>
    <w:rsid w:val="00BE3D40"/>
    <w:rsid w:val="00BE41D3"/>
    <w:rsid w:val="00BE4384"/>
    <w:rsid w:val="00BE46E1"/>
    <w:rsid w:val="00BE4E40"/>
    <w:rsid w:val="00BE4EEC"/>
    <w:rsid w:val="00BE4FD8"/>
    <w:rsid w:val="00BE50D6"/>
    <w:rsid w:val="00BE576D"/>
    <w:rsid w:val="00BE5908"/>
    <w:rsid w:val="00BE6737"/>
    <w:rsid w:val="00BE69C1"/>
    <w:rsid w:val="00BE6A7E"/>
    <w:rsid w:val="00BE6F16"/>
    <w:rsid w:val="00BE72CD"/>
    <w:rsid w:val="00BE7676"/>
    <w:rsid w:val="00BE7AE9"/>
    <w:rsid w:val="00BE7C9B"/>
    <w:rsid w:val="00BE7E74"/>
    <w:rsid w:val="00BE7F36"/>
    <w:rsid w:val="00BF0719"/>
    <w:rsid w:val="00BF0B77"/>
    <w:rsid w:val="00BF0D4F"/>
    <w:rsid w:val="00BF1048"/>
    <w:rsid w:val="00BF113C"/>
    <w:rsid w:val="00BF117D"/>
    <w:rsid w:val="00BF203C"/>
    <w:rsid w:val="00BF26BB"/>
    <w:rsid w:val="00BF2F40"/>
    <w:rsid w:val="00BF3DBD"/>
    <w:rsid w:val="00BF3EAD"/>
    <w:rsid w:val="00BF4886"/>
    <w:rsid w:val="00BF49D3"/>
    <w:rsid w:val="00BF4FD5"/>
    <w:rsid w:val="00BF5CF6"/>
    <w:rsid w:val="00BF6128"/>
    <w:rsid w:val="00BF6140"/>
    <w:rsid w:val="00BF6148"/>
    <w:rsid w:val="00BF6192"/>
    <w:rsid w:val="00BF6234"/>
    <w:rsid w:val="00BF64EE"/>
    <w:rsid w:val="00BF6E97"/>
    <w:rsid w:val="00C0047A"/>
    <w:rsid w:val="00C00705"/>
    <w:rsid w:val="00C00FDD"/>
    <w:rsid w:val="00C01058"/>
    <w:rsid w:val="00C01A71"/>
    <w:rsid w:val="00C02394"/>
    <w:rsid w:val="00C025E0"/>
    <w:rsid w:val="00C02CE6"/>
    <w:rsid w:val="00C03B0F"/>
    <w:rsid w:val="00C044E4"/>
    <w:rsid w:val="00C05373"/>
    <w:rsid w:val="00C054A0"/>
    <w:rsid w:val="00C05628"/>
    <w:rsid w:val="00C05A9F"/>
    <w:rsid w:val="00C067AA"/>
    <w:rsid w:val="00C06931"/>
    <w:rsid w:val="00C06AE3"/>
    <w:rsid w:val="00C06BAC"/>
    <w:rsid w:val="00C0767C"/>
    <w:rsid w:val="00C07D27"/>
    <w:rsid w:val="00C1014A"/>
    <w:rsid w:val="00C108C4"/>
    <w:rsid w:val="00C10CC2"/>
    <w:rsid w:val="00C11C07"/>
    <w:rsid w:val="00C11DBC"/>
    <w:rsid w:val="00C12173"/>
    <w:rsid w:val="00C1240B"/>
    <w:rsid w:val="00C1255E"/>
    <w:rsid w:val="00C12800"/>
    <w:rsid w:val="00C133C1"/>
    <w:rsid w:val="00C135CC"/>
    <w:rsid w:val="00C13826"/>
    <w:rsid w:val="00C13CD8"/>
    <w:rsid w:val="00C13E8C"/>
    <w:rsid w:val="00C143B7"/>
    <w:rsid w:val="00C14A3B"/>
    <w:rsid w:val="00C14C52"/>
    <w:rsid w:val="00C15BCA"/>
    <w:rsid w:val="00C16302"/>
    <w:rsid w:val="00C16E05"/>
    <w:rsid w:val="00C16F24"/>
    <w:rsid w:val="00C17031"/>
    <w:rsid w:val="00C175A9"/>
    <w:rsid w:val="00C17BF2"/>
    <w:rsid w:val="00C17FA5"/>
    <w:rsid w:val="00C20017"/>
    <w:rsid w:val="00C200DB"/>
    <w:rsid w:val="00C2073D"/>
    <w:rsid w:val="00C20A5A"/>
    <w:rsid w:val="00C20D97"/>
    <w:rsid w:val="00C2155B"/>
    <w:rsid w:val="00C21781"/>
    <w:rsid w:val="00C22084"/>
    <w:rsid w:val="00C2280F"/>
    <w:rsid w:val="00C22AD5"/>
    <w:rsid w:val="00C22B3A"/>
    <w:rsid w:val="00C22EA5"/>
    <w:rsid w:val="00C22FDB"/>
    <w:rsid w:val="00C23BD6"/>
    <w:rsid w:val="00C241A5"/>
    <w:rsid w:val="00C242ED"/>
    <w:rsid w:val="00C24A67"/>
    <w:rsid w:val="00C24B01"/>
    <w:rsid w:val="00C24DED"/>
    <w:rsid w:val="00C24FE3"/>
    <w:rsid w:val="00C259E8"/>
    <w:rsid w:val="00C2641B"/>
    <w:rsid w:val="00C26F71"/>
    <w:rsid w:val="00C27485"/>
    <w:rsid w:val="00C277A6"/>
    <w:rsid w:val="00C279CB"/>
    <w:rsid w:val="00C27DA2"/>
    <w:rsid w:val="00C30246"/>
    <w:rsid w:val="00C30391"/>
    <w:rsid w:val="00C303B4"/>
    <w:rsid w:val="00C31973"/>
    <w:rsid w:val="00C3200D"/>
    <w:rsid w:val="00C32AAA"/>
    <w:rsid w:val="00C32AAD"/>
    <w:rsid w:val="00C32EC8"/>
    <w:rsid w:val="00C33A37"/>
    <w:rsid w:val="00C341DE"/>
    <w:rsid w:val="00C34D34"/>
    <w:rsid w:val="00C35E82"/>
    <w:rsid w:val="00C36996"/>
    <w:rsid w:val="00C37712"/>
    <w:rsid w:val="00C37DEB"/>
    <w:rsid w:val="00C40002"/>
    <w:rsid w:val="00C40131"/>
    <w:rsid w:val="00C403CC"/>
    <w:rsid w:val="00C40573"/>
    <w:rsid w:val="00C40B3A"/>
    <w:rsid w:val="00C40C8D"/>
    <w:rsid w:val="00C40CC0"/>
    <w:rsid w:val="00C40CFF"/>
    <w:rsid w:val="00C41384"/>
    <w:rsid w:val="00C4193B"/>
    <w:rsid w:val="00C42556"/>
    <w:rsid w:val="00C42AEF"/>
    <w:rsid w:val="00C42FC4"/>
    <w:rsid w:val="00C43CB8"/>
    <w:rsid w:val="00C44D9A"/>
    <w:rsid w:val="00C45044"/>
    <w:rsid w:val="00C45175"/>
    <w:rsid w:val="00C455DE"/>
    <w:rsid w:val="00C45731"/>
    <w:rsid w:val="00C45755"/>
    <w:rsid w:val="00C45A65"/>
    <w:rsid w:val="00C4613B"/>
    <w:rsid w:val="00C462A3"/>
    <w:rsid w:val="00C46319"/>
    <w:rsid w:val="00C46456"/>
    <w:rsid w:val="00C46CFA"/>
    <w:rsid w:val="00C47AC3"/>
    <w:rsid w:val="00C47B37"/>
    <w:rsid w:val="00C503CD"/>
    <w:rsid w:val="00C50507"/>
    <w:rsid w:val="00C506A8"/>
    <w:rsid w:val="00C5114F"/>
    <w:rsid w:val="00C515C5"/>
    <w:rsid w:val="00C51B61"/>
    <w:rsid w:val="00C527BF"/>
    <w:rsid w:val="00C52DDB"/>
    <w:rsid w:val="00C531D4"/>
    <w:rsid w:val="00C535F5"/>
    <w:rsid w:val="00C53715"/>
    <w:rsid w:val="00C5376A"/>
    <w:rsid w:val="00C53814"/>
    <w:rsid w:val="00C5454F"/>
    <w:rsid w:val="00C54C04"/>
    <w:rsid w:val="00C54C5F"/>
    <w:rsid w:val="00C55CA4"/>
    <w:rsid w:val="00C55F02"/>
    <w:rsid w:val="00C56227"/>
    <w:rsid w:val="00C56B04"/>
    <w:rsid w:val="00C56BA1"/>
    <w:rsid w:val="00C56BB1"/>
    <w:rsid w:val="00C57734"/>
    <w:rsid w:val="00C605D1"/>
    <w:rsid w:val="00C61073"/>
    <w:rsid w:val="00C61A38"/>
    <w:rsid w:val="00C6225F"/>
    <w:rsid w:val="00C628AE"/>
    <w:rsid w:val="00C629D8"/>
    <w:rsid w:val="00C63A77"/>
    <w:rsid w:val="00C64EFD"/>
    <w:rsid w:val="00C64F8A"/>
    <w:rsid w:val="00C66559"/>
    <w:rsid w:val="00C66D77"/>
    <w:rsid w:val="00C70244"/>
    <w:rsid w:val="00C705DA"/>
    <w:rsid w:val="00C708C2"/>
    <w:rsid w:val="00C70A9C"/>
    <w:rsid w:val="00C70F01"/>
    <w:rsid w:val="00C71D78"/>
    <w:rsid w:val="00C71FF7"/>
    <w:rsid w:val="00C72511"/>
    <w:rsid w:val="00C72A8C"/>
    <w:rsid w:val="00C72C91"/>
    <w:rsid w:val="00C73400"/>
    <w:rsid w:val="00C734D6"/>
    <w:rsid w:val="00C73C43"/>
    <w:rsid w:val="00C74609"/>
    <w:rsid w:val="00C750D5"/>
    <w:rsid w:val="00C7598B"/>
    <w:rsid w:val="00C759DC"/>
    <w:rsid w:val="00C76701"/>
    <w:rsid w:val="00C7757A"/>
    <w:rsid w:val="00C8092F"/>
    <w:rsid w:val="00C809C0"/>
    <w:rsid w:val="00C8126C"/>
    <w:rsid w:val="00C81531"/>
    <w:rsid w:val="00C8178F"/>
    <w:rsid w:val="00C81992"/>
    <w:rsid w:val="00C82242"/>
    <w:rsid w:val="00C83954"/>
    <w:rsid w:val="00C83BDB"/>
    <w:rsid w:val="00C84E7B"/>
    <w:rsid w:val="00C85CD7"/>
    <w:rsid w:val="00C860E6"/>
    <w:rsid w:val="00C878C5"/>
    <w:rsid w:val="00C903E3"/>
    <w:rsid w:val="00C9086F"/>
    <w:rsid w:val="00C90BDE"/>
    <w:rsid w:val="00C915C8"/>
    <w:rsid w:val="00C91C94"/>
    <w:rsid w:val="00C92793"/>
    <w:rsid w:val="00C9301D"/>
    <w:rsid w:val="00C93AC2"/>
    <w:rsid w:val="00C93BCB"/>
    <w:rsid w:val="00C93E20"/>
    <w:rsid w:val="00C94605"/>
    <w:rsid w:val="00C947AB"/>
    <w:rsid w:val="00C948FE"/>
    <w:rsid w:val="00C951EB"/>
    <w:rsid w:val="00C953FF"/>
    <w:rsid w:val="00C956A6"/>
    <w:rsid w:val="00C95B16"/>
    <w:rsid w:val="00C9603A"/>
    <w:rsid w:val="00C962E5"/>
    <w:rsid w:val="00C96772"/>
    <w:rsid w:val="00C97359"/>
    <w:rsid w:val="00C978A3"/>
    <w:rsid w:val="00CA01C9"/>
    <w:rsid w:val="00CA02A5"/>
    <w:rsid w:val="00CA02B4"/>
    <w:rsid w:val="00CA0434"/>
    <w:rsid w:val="00CA0F90"/>
    <w:rsid w:val="00CA1709"/>
    <w:rsid w:val="00CA1757"/>
    <w:rsid w:val="00CA1A89"/>
    <w:rsid w:val="00CA1B26"/>
    <w:rsid w:val="00CA22E9"/>
    <w:rsid w:val="00CA328B"/>
    <w:rsid w:val="00CA39A4"/>
    <w:rsid w:val="00CA3C39"/>
    <w:rsid w:val="00CA3E9E"/>
    <w:rsid w:val="00CA44D7"/>
    <w:rsid w:val="00CA464A"/>
    <w:rsid w:val="00CA486C"/>
    <w:rsid w:val="00CA552E"/>
    <w:rsid w:val="00CA5732"/>
    <w:rsid w:val="00CA5C5C"/>
    <w:rsid w:val="00CA5C8E"/>
    <w:rsid w:val="00CA5EAD"/>
    <w:rsid w:val="00CA62EC"/>
    <w:rsid w:val="00CA67C0"/>
    <w:rsid w:val="00CA7905"/>
    <w:rsid w:val="00CA7CCE"/>
    <w:rsid w:val="00CB01AA"/>
    <w:rsid w:val="00CB10A9"/>
    <w:rsid w:val="00CB117E"/>
    <w:rsid w:val="00CB11BA"/>
    <w:rsid w:val="00CB13E9"/>
    <w:rsid w:val="00CB14C0"/>
    <w:rsid w:val="00CB1BD1"/>
    <w:rsid w:val="00CB372E"/>
    <w:rsid w:val="00CB3B06"/>
    <w:rsid w:val="00CB3F0E"/>
    <w:rsid w:val="00CB48FB"/>
    <w:rsid w:val="00CB622E"/>
    <w:rsid w:val="00CB6980"/>
    <w:rsid w:val="00CB6BAB"/>
    <w:rsid w:val="00CB7483"/>
    <w:rsid w:val="00CB7974"/>
    <w:rsid w:val="00CC0084"/>
    <w:rsid w:val="00CC00FB"/>
    <w:rsid w:val="00CC05C4"/>
    <w:rsid w:val="00CC06E0"/>
    <w:rsid w:val="00CC0B53"/>
    <w:rsid w:val="00CC0CB8"/>
    <w:rsid w:val="00CC191B"/>
    <w:rsid w:val="00CC2016"/>
    <w:rsid w:val="00CC2434"/>
    <w:rsid w:val="00CC27E1"/>
    <w:rsid w:val="00CC2FE1"/>
    <w:rsid w:val="00CC34E6"/>
    <w:rsid w:val="00CC3608"/>
    <w:rsid w:val="00CC41DF"/>
    <w:rsid w:val="00CC506C"/>
    <w:rsid w:val="00CC5424"/>
    <w:rsid w:val="00CC5A6A"/>
    <w:rsid w:val="00CC5B63"/>
    <w:rsid w:val="00CC5C22"/>
    <w:rsid w:val="00CC6658"/>
    <w:rsid w:val="00CD0056"/>
    <w:rsid w:val="00CD00CF"/>
    <w:rsid w:val="00CD0C19"/>
    <w:rsid w:val="00CD1E03"/>
    <w:rsid w:val="00CD2D91"/>
    <w:rsid w:val="00CD30F3"/>
    <w:rsid w:val="00CD314F"/>
    <w:rsid w:val="00CD354B"/>
    <w:rsid w:val="00CD374E"/>
    <w:rsid w:val="00CD37BE"/>
    <w:rsid w:val="00CD3C4A"/>
    <w:rsid w:val="00CD48C0"/>
    <w:rsid w:val="00CD4C93"/>
    <w:rsid w:val="00CD50E7"/>
    <w:rsid w:val="00CD580D"/>
    <w:rsid w:val="00CD58DB"/>
    <w:rsid w:val="00CD5A07"/>
    <w:rsid w:val="00CD5A63"/>
    <w:rsid w:val="00CD6115"/>
    <w:rsid w:val="00CD6497"/>
    <w:rsid w:val="00CD6768"/>
    <w:rsid w:val="00CD6E14"/>
    <w:rsid w:val="00CD78A3"/>
    <w:rsid w:val="00CD7D86"/>
    <w:rsid w:val="00CD7FAB"/>
    <w:rsid w:val="00CE0398"/>
    <w:rsid w:val="00CE1FB0"/>
    <w:rsid w:val="00CE21AB"/>
    <w:rsid w:val="00CE277F"/>
    <w:rsid w:val="00CE287B"/>
    <w:rsid w:val="00CE28FA"/>
    <w:rsid w:val="00CE31EA"/>
    <w:rsid w:val="00CE3802"/>
    <w:rsid w:val="00CE50DC"/>
    <w:rsid w:val="00CE52B8"/>
    <w:rsid w:val="00CE56FE"/>
    <w:rsid w:val="00CE5DB8"/>
    <w:rsid w:val="00CE5EA2"/>
    <w:rsid w:val="00CE600E"/>
    <w:rsid w:val="00CE6816"/>
    <w:rsid w:val="00CE6C9D"/>
    <w:rsid w:val="00CE7810"/>
    <w:rsid w:val="00CE7FA4"/>
    <w:rsid w:val="00CF052E"/>
    <w:rsid w:val="00CF08D8"/>
    <w:rsid w:val="00CF0CAE"/>
    <w:rsid w:val="00CF10BC"/>
    <w:rsid w:val="00CF1179"/>
    <w:rsid w:val="00CF11D1"/>
    <w:rsid w:val="00CF186F"/>
    <w:rsid w:val="00CF199C"/>
    <w:rsid w:val="00CF1DE5"/>
    <w:rsid w:val="00CF1E53"/>
    <w:rsid w:val="00CF21E7"/>
    <w:rsid w:val="00CF2B9D"/>
    <w:rsid w:val="00CF2C7D"/>
    <w:rsid w:val="00CF490E"/>
    <w:rsid w:val="00CF4DD4"/>
    <w:rsid w:val="00CF4FE5"/>
    <w:rsid w:val="00CF533D"/>
    <w:rsid w:val="00CF5689"/>
    <w:rsid w:val="00CF5696"/>
    <w:rsid w:val="00CF5D77"/>
    <w:rsid w:val="00CF5E0F"/>
    <w:rsid w:val="00CF64F8"/>
    <w:rsid w:val="00CF6834"/>
    <w:rsid w:val="00CF6FBA"/>
    <w:rsid w:val="00CF7E13"/>
    <w:rsid w:val="00D001CD"/>
    <w:rsid w:val="00D00404"/>
    <w:rsid w:val="00D006D9"/>
    <w:rsid w:val="00D00AD7"/>
    <w:rsid w:val="00D013A1"/>
    <w:rsid w:val="00D014EF"/>
    <w:rsid w:val="00D016E2"/>
    <w:rsid w:val="00D01BB0"/>
    <w:rsid w:val="00D021CD"/>
    <w:rsid w:val="00D02E43"/>
    <w:rsid w:val="00D02E9F"/>
    <w:rsid w:val="00D02EE6"/>
    <w:rsid w:val="00D036A5"/>
    <w:rsid w:val="00D03DEB"/>
    <w:rsid w:val="00D04D95"/>
    <w:rsid w:val="00D04F76"/>
    <w:rsid w:val="00D050F8"/>
    <w:rsid w:val="00D05B96"/>
    <w:rsid w:val="00D062F5"/>
    <w:rsid w:val="00D06D2B"/>
    <w:rsid w:val="00D07769"/>
    <w:rsid w:val="00D07B4E"/>
    <w:rsid w:val="00D100B0"/>
    <w:rsid w:val="00D1021D"/>
    <w:rsid w:val="00D10A39"/>
    <w:rsid w:val="00D10FD2"/>
    <w:rsid w:val="00D116FB"/>
    <w:rsid w:val="00D11C2E"/>
    <w:rsid w:val="00D12167"/>
    <w:rsid w:val="00D12221"/>
    <w:rsid w:val="00D12EFE"/>
    <w:rsid w:val="00D139A2"/>
    <w:rsid w:val="00D14A6F"/>
    <w:rsid w:val="00D14DE7"/>
    <w:rsid w:val="00D15280"/>
    <w:rsid w:val="00D16148"/>
    <w:rsid w:val="00D16BF2"/>
    <w:rsid w:val="00D1706A"/>
    <w:rsid w:val="00D17440"/>
    <w:rsid w:val="00D2108A"/>
    <w:rsid w:val="00D21095"/>
    <w:rsid w:val="00D214FE"/>
    <w:rsid w:val="00D21F47"/>
    <w:rsid w:val="00D21F53"/>
    <w:rsid w:val="00D223A1"/>
    <w:rsid w:val="00D22812"/>
    <w:rsid w:val="00D22D3B"/>
    <w:rsid w:val="00D23260"/>
    <w:rsid w:val="00D23CC4"/>
    <w:rsid w:val="00D25324"/>
    <w:rsid w:val="00D25C55"/>
    <w:rsid w:val="00D25F25"/>
    <w:rsid w:val="00D26654"/>
    <w:rsid w:val="00D26F0E"/>
    <w:rsid w:val="00D27021"/>
    <w:rsid w:val="00D27181"/>
    <w:rsid w:val="00D2754C"/>
    <w:rsid w:val="00D27AE2"/>
    <w:rsid w:val="00D31790"/>
    <w:rsid w:val="00D31BD7"/>
    <w:rsid w:val="00D3207F"/>
    <w:rsid w:val="00D33020"/>
    <w:rsid w:val="00D33ACC"/>
    <w:rsid w:val="00D33FA1"/>
    <w:rsid w:val="00D34A09"/>
    <w:rsid w:val="00D34F39"/>
    <w:rsid w:val="00D3527F"/>
    <w:rsid w:val="00D358DC"/>
    <w:rsid w:val="00D35CB6"/>
    <w:rsid w:val="00D36B8E"/>
    <w:rsid w:val="00D3703B"/>
    <w:rsid w:val="00D37929"/>
    <w:rsid w:val="00D37FEC"/>
    <w:rsid w:val="00D40815"/>
    <w:rsid w:val="00D41508"/>
    <w:rsid w:val="00D42173"/>
    <w:rsid w:val="00D4241C"/>
    <w:rsid w:val="00D42EB7"/>
    <w:rsid w:val="00D43330"/>
    <w:rsid w:val="00D4421F"/>
    <w:rsid w:val="00D4422E"/>
    <w:rsid w:val="00D444A0"/>
    <w:rsid w:val="00D446F7"/>
    <w:rsid w:val="00D45D8A"/>
    <w:rsid w:val="00D46064"/>
    <w:rsid w:val="00D472E9"/>
    <w:rsid w:val="00D479E2"/>
    <w:rsid w:val="00D47A90"/>
    <w:rsid w:val="00D502F1"/>
    <w:rsid w:val="00D502FB"/>
    <w:rsid w:val="00D50905"/>
    <w:rsid w:val="00D50B22"/>
    <w:rsid w:val="00D52479"/>
    <w:rsid w:val="00D53777"/>
    <w:rsid w:val="00D541CE"/>
    <w:rsid w:val="00D541DE"/>
    <w:rsid w:val="00D548FB"/>
    <w:rsid w:val="00D54DB8"/>
    <w:rsid w:val="00D54E05"/>
    <w:rsid w:val="00D54E7E"/>
    <w:rsid w:val="00D54EFC"/>
    <w:rsid w:val="00D54FCC"/>
    <w:rsid w:val="00D5509E"/>
    <w:rsid w:val="00D552ED"/>
    <w:rsid w:val="00D56056"/>
    <w:rsid w:val="00D561F6"/>
    <w:rsid w:val="00D56402"/>
    <w:rsid w:val="00D5668F"/>
    <w:rsid w:val="00D5713F"/>
    <w:rsid w:val="00D575C8"/>
    <w:rsid w:val="00D57CEB"/>
    <w:rsid w:val="00D61B4A"/>
    <w:rsid w:val="00D62B15"/>
    <w:rsid w:val="00D62F6C"/>
    <w:rsid w:val="00D63DE3"/>
    <w:rsid w:val="00D64017"/>
    <w:rsid w:val="00D640C0"/>
    <w:rsid w:val="00D64900"/>
    <w:rsid w:val="00D649F9"/>
    <w:rsid w:val="00D64BCE"/>
    <w:rsid w:val="00D64F8E"/>
    <w:rsid w:val="00D64F93"/>
    <w:rsid w:val="00D65D6E"/>
    <w:rsid w:val="00D65F06"/>
    <w:rsid w:val="00D662AA"/>
    <w:rsid w:val="00D664D4"/>
    <w:rsid w:val="00D669C3"/>
    <w:rsid w:val="00D66AAA"/>
    <w:rsid w:val="00D6781D"/>
    <w:rsid w:val="00D67D0F"/>
    <w:rsid w:val="00D67E36"/>
    <w:rsid w:val="00D70FBF"/>
    <w:rsid w:val="00D71017"/>
    <w:rsid w:val="00D71AD7"/>
    <w:rsid w:val="00D73746"/>
    <w:rsid w:val="00D7382C"/>
    <w:rsid w:val="00D73D1D"/>
    <w:rsid w:val="00D75393"/>
    <w:rsid w:val="00D75EF8"/>
    <w:rsid w:val="00D7605F"/>
    <w:rsid w:val="00D76851"/>
    <w:rsid w:val="00D76E51"/>
    <w:rsid w:val="00D77508"/>
    <w:rsid w:val="00D777DE"/>
    <w:rsid w:val="00D77882"/>
    <w:rsid w:val="00D77B82"/>
    <w:rsid w:val="00D8044E"/>
    <w:rsid w:val="00D8076C"/>
    <w:rsid w:val="00D8170F"/>
    <w:rsid w:val="00D81AD0"/>
    <w:rsid w:val="00D81CEB"/>
    <w:rsid w:val="00D82815"/>
    <w:rsid w:val="00D82AE9"/>
    <w:rsid w:val="00D82F97"/>
    <w:rsid w:val="00D83874"/>
    <w:rsid w:val="00D83A34"/>
    <w:rsid w:val="00D84AB5"/>
    <w:rsid w:val="00D85181"/>
    <w:rsid w:val="00D852CB"/>
    <w:rsid w:val="00D85420"/>
    <w:rsid w:val="00D85B3D"/>
    <w:rsid w:val="00D86A9E"/>
    <w:rsid w:val="00D87022"/>
    <w:rsid w:val="00D900A1"/>
    <w:rsid w:val="00D90427"/>
    <w:rsid w:val="00D906E4"/>
    <w:rsid w:val="00D909AB"/>
    <w:rsid w:val="00D90CBD"/>
    <w:rsid w:val="00D90F13"/>
    <w:rsid w:val="00D912DE"/>
    <w:rsid w:val="00D91959"/>
    <w:rsid w:val="00D91BFF"/>
    <w:rsid w:val="00D91E62"/>
    <w:rsid w:val="00D922BB"/>
    <w:rsid w:val="00D922F5"/>
    <w:rsid w:val="00D92CD8"/>
    <w:rsid w:val="00D92D8B"/>
    <w:rsid w:val="00D9388E"/>
    <w:rsid w:val="00D93AF1"/>
    <w:rsid w:val="00D93EF3"/>
    <w:rsid w:val="00D947D4"/>
    <w:rsid w:val="00D94D6B"/>
    <w:rsid w:val="00D94E75"/>
    <w:rsid w:val="00D95B86"/>
    <w:rsid w:val="00D96949"/>
    <w:rsid w:val="00D97258"/>
    <w:rsid w:val="00D973D6"/>
    <w:rsid w:val="00D973FE"/>
    <w:rsid w:val="00D978B3"/>
    <w:rsid w:val="00DA0366"/>
    <w:rsid w:val="00DA0F9E"/>
    <w:rsid w:val="00DA10A7"/>
    <w:rsid w:val="00DA1AC7"/>
    <w:rsid w:val="00DA1F5F"/>
    <w:rsid w:val="00DA2794"/>
    <w:rsid w:val="00DA2843"/>
    <w:rsid w:val="00DA2B47"/>
    <w:rsid w:val="00DA300C"/>
    <w:rsid w:val="00DA3466"/>
    <w:rsid w:val="00DA3506"/>
    <w:rsid w:val="00DA3738"/>
    <w:rsid w:val="00DA3AC8"/>
    <w:rsid w:val="00DA3DC3"/>
    <w:rsid w:val="00DA4AC2"/>
    <w:rsid w:val="00DA4B08"/>
    <w:rsid w:val="00DA5952"/>
    <w:rsid w:val="00DA59CB"/>
    <w:rsid w:val="00DA6223"/>
    <w:rsid w:val="00DA63FA"/>
    <w:rsid w:val="00DA652C"/>
    <w:rsid w:val="00DA666D"/>
    <w:rsid w:val="00DA6948"/>
    <w:rsid w:val="00DA7251"/>
    <w:rsid w:val="00DA733B"/>
    <w:rsid w:val="00DA7526"/>
    <w:rsid w:val="00DA7724"/>
    <w:rsid w:val="00DA7978"/>
    <w:rsid w:val="00DA7A9E"/>
    <w:rsid w:val="00DB06E8"/>
    <w:rsid w:val="00DB0FEC"/>
    <w:rsid w:val="00DB12DB"/>
    <w:rsid w:val="00DB179C"/>
    <w:rsid w:val="00DB223E"/>
    <w:rsid w:val="00DB2497"/>
    <w:rsid w:val="00DB2E57"/>
    <w:rsid w:val="00DB328B"/>
    <w:rsid w:val="00DB3BD2"/>
    <w:rsid w:val="00DB425A"/>
    <w:rsid w:val="00DB4858"/>
    <w:rsid w:val="00DB4E39"/>
    <w:rsid w:val="00DB50C7"/>
    <w:rsid w:val="00DB567B"/>
    <w:rsid w:val="00DB5746"/>
    <w:rsid w:val="00DB62AA"/>
    <w:rsid w:val="00DB78E0"/>
    <w:rsid w:val="00DB7E33"/>
    <w:rsid w:val="00DB7F02"/>
    <w:rsid w:val="00DC015E"/>
    <w:rsid w:val="00DC061D"/>
    <w:rsid w:val="00DC200C"/>
    <w:rsid w:val="00DC2309"/>
    <w:rsid w:val="00DC2672"/>
    <w:rsid w:val="00DC2A59"/>
    <w:rsid w:val="00DC3293"/>
    <w:rsid w:val="00DC35EA"/>
    <w:rsid w:val="00DC413B"/>
    <w:rsid w:val="00DC53E8"/>
    <w:rsid w:val="00DC55FE"/>
    <w:rsid w:val="00DC563C"/>
    <w:rsid w:val="00DC6608"/>
    <w:rsid w:val="00DC7188"/>
    <w:rsid w:val="00DC791F"/>
    <w:rsid w:val="00DC7C0D"/>
    <w:rsid w:val="00DC7C89"/>
    <w:rsid w:val="00DD0143"/>
    <w:rsid w:val="00DD01A1"/>
    <w:rsid w:val="00DD02A4"/>
    <w:rsid w:val="00DD030C"/>
    <w:rsid w:val="00DD0355"/>
    <w:rsid w:val="00DD04D8"/>
    <w:rsid w:val="00DD054E"/>
    <w:rsid w:val="00DD079B"/>
    <w:rsid w:val="00DD0899"/>
    <w:rsid w:val="00DD1541"/>
    <w:rsid w:val="00DD1E07"/>
    <w:rsid w:val="00DD2161"/>
    <w:rsid w:val="00DD2889"/>
    <w:rsid w:val="00DD28B4"/>
    <w:rsid w:val="00DD3425"/>
    <w:rsid w:val="00DD436A"/>
    <w:rsid w:val="00DD49B6"/>
    <w:rsid w:val="00DD4AB5"/>
    <w:rsid w:val="00DD4C5A"/>
    <w:rsid w:val="00DD50AF"/>
    <w:rsid w:val="00DD58F6"/>
    <w:rsid w:val="00DD5E1D"/>
    <w:rsid w:val="00DD6C3E"/>
    <w:rsid w:val="00DD714B"/>
    <w:rsid w:val="00DD77C7"/>
    <w:rsid w:val="00DD78C0"/>
    <w:rsid w:val="00DD7B32"/>
    <w:rsid w:val="00DE01CA"/>
    <w:rsid w:val="00DE0FF0"/>
    <w:rsid w:val="00DE1EBB"/>
    <w:rsid w:val="00DE2240"/>
    <w:rsid w:val="00DE3B38"/>
    <w:rsid w:val="00DE436C"/>
    <w:rsid w:val="00DE549A"/>
    <w:rsid w:val="00DE5C53"/>
    <w:rsid w:val="00DE5EE6"/>
    <w:rsid w:val="00DE7B10"/>
    <w:rsid w:val="00DE7D01"/>
    <w:rsid w:val="00DF1775"/>
    <w:rsid w:val="00DF1DD5"/>
    <w:rsid w:val="00DF1FE1"/>
    <w:rsid w:val="00DF204B"/>
    <w:rsid w:val="00DF2BEC"/>
    <w:rsid w:val="00DF38C0"/>
    <w:rsid w:val="00DF39DB"/>
    <w:rsid w:val="00DF476B"/>
    <w:rsid w:val="00DF5682"/>
    <w:rsid w:val="00DF5A59"/>
    <w:rsid w:val="00DF6792"/>
    <w:rsid w:val="00DF67BF"/>
    <w:rsid w:val="00DF6FCB"/>
    <w:rsid w:val="00DF7838"/>
    <w:rsid w:val="00DF7CB2"/>
    <w:rsid w:val="00DF7EDE"/>
    <w:rsid w:val="00E0050A"/>
    <w:rsid w:val="00E0073E"/>
    <w:rsid w:val="00E00800"/>
    <w:rsid w:val="00E0172E"/>
    <w:rsid w:val="00E017F5"/>
    <w:rsid w:val="00E02335"/>
    <w:rsid w:val="00E02519"/>
    <w:rsid w:val="00E0273B"/>
    <w:rsid w:val="00E02E19"/>
    <w:rsid w:val="00E02E51"/>
    <w:rsid w:val="00E02F71"/>
    <w:rsid w:val="00E03220"/>
    <w:rsid w:val="00E03C8D"/>
    <w:rsid w:val="00E03F4A"/>
    <w:rsid w:val="00E040A6"/>
    <w:rsid w:val="00E05A5B"/>
    <w:rsid w:val="00E0612A"/>
    <w:rsid w:val="00E07270"/>
    <w:rsid w:val="00E07C05"/>
    <w:rsid w:val="00E07FBA"/>
    <w:rsid w:val="00E105E9"/>
    <w:rsid w:val="00E108FB"/>
    <w:rsid w:val="00E1211A"/>
    <w:rsid w:val="00E12AFB"/>
    <w:rsid w:val="00E12C6A"/>
    <w:rsid w:val="00E13312"/>
    <w:rsid w:val="00E134B4"/>
    <w:rsid w:val="00E140FC"/>
    <w:rsid w:val="00E147EB"/>
    <w:rsid w:val="00E1481C"/>
    <w:rsid w:val="00E14C5D"/>
    <w:rsid w:val="00E1501F"/>
    <w:rsid w:val="00E150DB"/>
    <w:rsid w:val="00E1587E"/>
    <w:rsid w:val="00E15983"/>
    <w:rsid w:val="00E16902"/>
    <w:rsid w:val="00E16E8C"/>
    <w:rsid w:val="00E16F05"/>
    <w:rsid w:val="00E17290"/>
    <w:rsid w:val="00E17311"/>
    <w:rsid w:val="00E17C4B"/>
    <w:rsid w:val="00E20494"/>
    <w:rsid w:val="00E2067E"/>
    <w:rsid w:val="00E20DBD"/>
    <w:rsid w:val="00E20F50"/>
    <w:rsid w:val="00E20FF8"/>
    <w:rsid w:val="00E22186"/>
    <w:rsid w:val="00E22E2E"/>
    <w:rsid w:val="00E23A28"/>
    <w:rsid w:val="00E2421A"/>
    <w:rsid w:val="00E24484"/>
    <w:rsid w:val="00E24910"/>
    <w:rsid w:val="00E249E5"/>
    <w:rsid w:val="00E24B51"/>
    <w:rsid w:val="00E24EF4"/>
    <w:rsid w:val="00E2508F"/>
    <w:rsid w:val="00E25CEE"/>
    <w:rsid w:val="00E25FFB"/>
    <w:rsid w:val="00E2650B"/>
    <w:rsid w:val="00E26536"/>
    <w:rsid w:val="00E26F00"/>
    <w:rsid w:val="00E2760D"/>
    <w:rsid w:val="00E27C2D"/>
    <w:rsid w:val="00E27F20"/>
    <w:rsid w:val="00E30796"/>
    <w:rsid w:val="00E31A5E"/>
    <w:rsid w:val="00E31B0B"/>
    <w:rsid w:val="00E3220D"/>
    <w:rsid w:val="00E32463"/>
    <w:rsid w:val="00E32794"/>
    <w:rsid w:val="00E32B24"/>
    <w:rsid w:val="00E32C29"/>
    <w:rsid w:val="00E33213"/>
    <w:rsid w:val="00E342D3"/>
    <w:rsid w:val="00E345BA"/>
    <w:rsid w:val="00E3496D"/>
    <w:rsid w:val="00E35C63"/>
    <w:rsid w:val="00E35E27"/>
    <w:rsid w:val="00E366AD"/>
    <w:rsid w:val="00E3686D"/>
    <w:rsid w:val="00E36B2B"/>
    <w:rsid w:val="00E37309"/>
    <w:rsid w:val="00E37912"/>
    <w:rsid w:val="00E37E44"/>
    <w:rsid w:val="00E4052A"/>
    <w:rsid w:val="00E4057D"/>
    <w:rsid w:val="00E405C5"/>
    <w:rsid w:val="00E408AE"/>
    <w:rsid w:val="00E40F03"/>
    <w:rsid w:val="00E41262"/>
    <w:rsid w:val="00E41303"/>
    <w:rsid w:val="00E41AF7"/>
    <w:rsid w:val="00E41B12"/>
    <w:rsid w:val="00E422E8"/>
    <w:rsid w:val="00E42962"/>
    <w:rsid w:val="00E43379"/>
    <w:rsid w:val="00E43BC1"/>
    <w:rsid w:val="00E43E01"/>
    <w:rsid w:val="00E4577E"/>
    <w:rsid w:val="00E45CE9"/>
    <w:rsid w:val="00E464DA"/>
    <w:rsid w:val="00E46632"/>
    <w:rsid w:val="00E470E1"/>
    <w:rsid w:val="00E476E3"/>
    <w:rsid w:val="00E478AF"/>
    <w:rsid w:val="00E5054D"/>
    <w:rsid w:val="00E5071B"/>
    <w:rsid w:val="00E5088D"/>
    <w:rsid w:val="00E50EA7"/>
    <w:rsid w:val="00E50F1B"/>
    <w:rsid w:val="00E51726"/>
    <w:rsid w:val="00E51C46"/>
    <w:rsid w:val="00E524A8"/>
    <w:rsid w:val="00E52BDB"/>
    <w:rsid w:val="00E5316D"/>
    <w:rsid w:val="00E5367D"/>
    <w:rsid w:val="00E53988"/>
    <w:rsid w:val="00E53DB9"/>
    <w:rsid w:val="00E540C1"/>
    <w:rsid w:val="00E547ED"/>
    <w:rsid w:val="00E54E11"/>
    <w:rsid w:val="00E54E3B"/>
    <w:rsid w:val="00E54E50"/>
    <w:rsid w:val="00E54E9E"/>
    <w:rsid w:val="00E550CD"/>
    <w:rsid w:val="00E553D9"/>
    <w:rsid w:val="00E554E4"/>
    <w:rsid w:val="00E559F6"/>
    <w:rsid w:val="00E55C2E"/>
    <w:rsid w:val="00E55E42"/>
    <w:rsid w:val="00E55FAE"/>
    <w:rsid w:val="00E562BD"/>
    <w:rsid w:val="00E5664A"/>
    <w:rsid w:val="00E56AAC"/>
    <w:rsid w:val="00E5785C"/>
    <w:rsid w:val="00E57CA2"/>
    <w:rsid w:val="00E57F1D"/>
    <w:rsid w:val="00E602C0"/>
    <w:rsid w:val="00E603A2"/>
    <w:rsid w:val="00E60D8D"/>
    <w:rsid w:val="00E61BA3"/>
    <w:rsid w:val="00E623CC"/>
    <w:rsid w:val="00E6274C"/>
    <w:rsid w:val="00E6362B"/>
    <w:rsid w:val="00E638F1"/>
    <w:rsid w:val="00E63E16"/>
    <w:rsid w:val="00E64225"/>
    <w:rsid w:val="00E649ED"/>
    <w:rsid w:val="00E64B9F"/>
    <w:rsid w:val="00E65409"/>
    <w:rsid w:val="00E654A1"/>
    <w:rsid w:val="00E6612E"/>
    <w:rsid w:val="00E66911"/>
    <w:rsid w:val="00E66A3A"/>
    <w:rsid w:val="00E67099"/>
    <w:rsid w:val="00E6774A"/>
    <w:rsid w:val="00E67CDD"/>
    <w:rsid w:val="00E67E0C"/>
    <w:rsid w:val="00E67FB1"/>
    <w:rsid w:val="00E67FCA"/>
    <w:rsid w:val="00E7018D"/>
    <w:rsid w:val="00E703C8"/>
    <w:rsid w:val="00E712BB"/>
    <w:rsid w:val="00E71EA4"/>
    <w:rsid w:val="00E726B9"/>
    <w:rsid w:val="00E7293D"/>
    <w:rsid w:val="00E736F1"/>
    <w:rsid w:val="00E7400A"/>
    <w:rsid w:val="00E7414C"/>
    <w:rsid w:val="00E74290"/>
    <w:rsid w:val="00E74E28"/>
    <w:rsid w:val="00E755E6"/>
    <w:rsid w:val="00E75955"/>
    <w:rsid w:val="00E75C00"/>
    <w:rsid w:val="00E75C47"/>
    <w:rsid w:val="00E76045"/>
    <w:rsid w:val="00E76683"/>
    <w:rsid w:val="00E76A8E"/>
    <w:rsid w:val="00E771EA"/>
    <w:rsid w:val="00E77874"/>
    <w:rsid w:val="00E77BAA"/>
    <w:rsid w:val="00E77C3F"/>
    <w:rsid w:val="00E8124D"/>
    <w:rsid w:val="00E818FB"/>
    <w:rsid w:val="00E82093"/>
    <w:rsid w:val="00E8219E"/>
    <w:rsid w:val="00E82A10"/>
    <w:rsid w:val="00E841FA"/>
    <w:rsid w:val="00E84208"/>
    <w:rsid w:val="00E8428B"/>
    <w:rsid w:val="00E84355"/>
    <w:rsid w:val="00E84553"/>
    <w:rsid w:val="00E84698"/>
    <w:rsid w:val="00E84CB9"/>
    <w:rsid w:val="00E84DD2"/>
    <w:rsid w:val="00E84E16"/>
    <w:rsid w:val="00E8602D"/>
    <w:rsid w:val="00E86C02"/>
    <w:rsid w:val="00E86C8A"/>
    <w:rsid w:val="00E87C30"/>
    <w:rsid w:val="00E87D98"/>
    <w:rsid w:val="00E91070"/>
    <w:rsid w:val="00E9194B"/>
    <w:rsid w:val="00E91C39"/>
    <w:rsid w:val="00E91D57"/>
    <w:rsid w:val="00E926E6"/>
    <w:rsid w:val="00E927E7"/>
    <w:rsid w:val="00E92ACD"/>
    <w:rsid w:val="00E92D52"/>
    <w:rsid w:val="00E930D7"/>
    <w:rsid w:val="00E931D9"/>
    <w:rsid w:val="00E933FA"/>
    <w:rsid w:val="00E934E5"/>
    <w:rsid w:val="00E93638"/>
    <w:rsid w:val="00E93B42"/>
    <w:rsid w:val="00E94213"/>
    <w:rsid w:val="00E94583"/>
    <w:rsid w:val="00E957D9"/>
    <w:rsid w:val="00E960E6"/>
    <w:rsid w:val="00E9688B"/>
    <w:rsid w:val="00EA0628"/>
    <w:rsid w:val="00EA09F4"/>
    <w:rsid w:val="00EA0F35"/>
    <w:rsid w:val="00EA1D5D"/>
    <w:rsid w:val="00EA2CEC"/>
    <w:rsid w:val="00EA3785"/>
    <w:rsid w:val="00EA3831"/>
    <w:rsid w:val="00EA3923"/>
    <w:rsid w:val="00EA39E7"/>
    <w:rsid w:val="00EA3AAE"/>
    <w:rsid w:val="00EA3FAB"/>
    <w:rsid w:val="00EA4110"/>
    <w:rsid w:val="00EA465C"/>
    <w:rsid w:val="00EA5124"/>
    <w:rsid w:val="00EA6448"/>
    <w:rsid w:val="00EA6476"/>
    <w:rsid w:val="00EA6777"/>
    <w:rsid w:val="00EA68B2"/>
    <w:rsid w:val="00EA6FC4"/>
    <w:rsid w:val="00EA7A92"/>
    <w:rsid w:val="00EA7D26"/>
    <w:rsid w:val="00EB00BE"/>
    <w:rsid w:val="00EB0348"/>
    <w:rsid w:val="00EB0A94"/>
    <w:rsid w:val="00EB0E58"/>
    <w:rsid w:val="00EB123D"/>
    <w:rsid w:val="00EB1D66"/>
    <w:rsid w:val="00EB245A"/>
    <w:rsid w:val="00EB26BB"/>
    <w:rsid w:val="00EB3005"/>
    <w:rsid w:val="00EB3B1B"/>
    <w:rsid w:val="00EB3C48"/>
    <w:rsid w:val="00EB41D6"/>
    <w:rsid w:val="00EB41EA"/>
    <w:rsid w:val="00EB476C"/>
    <w:rsid w:val="00EB4C15"/>
    <w:rsid w:val="00EB4ED3"/>
    <w:rsid w:val="00EB5481"/>
    <w:rsid w:val="00EB559F"/>
    <w:rsid w:val="00EB59DE"/>
    <w:rsid w:val="00EB5AA9"/>
    <w:rsid w:val="00EB5C8B"/>
    <w:rsid w:val="00EB5E62"/>
    <w:rsid w:val="00EB5F5E"/>
    <w:rsid w:val="00EB6111"/>
    <w:rsid w:val="00EB66D9"/>
    <w:rsid w:val="00EB6825"/>
    <w:rsid w:val="00EB684A"/>
    <w:rsid w:val="00EB6E25"/>
    <w:rsid w:val="00EB7832"/>
    <w:rsid w:val="00EB7A23"/>
    <w:rsid w:val="00EB7E5C"/>
    <w:rsid w:val="00EC037E"/>
    <w:rsid w:val="00EC04F6"/>
    <w:rsid w:val="00EC09E5"/>
    <w:rsid w:val="00EC1D16"/>
    <w:rsid w:val="00EC1E0D"/>
    <w:rsid w:val="00EC24F3"/>
    <w:rsid w:val="00EC47E5"/>
    <w:rsid w:val="00EC48A1"/>
    <w:rsid w:val="00EC4BDD"/>
    <w:rsid w:val="00EC5847"/>
    <w:rsid w:val="00EC5F51"/>
    <w:rsid w:val="00EC6012"/>
    <w:rsid w:val="00EC6666"/>
    <w:rsid w:val="00EC666E"/>
    <w:rsid w:val="00EC68C9"/>
    <w:rsid w:val="00ED0CB4"/>
    <w:rsid w:val="00ED19BC"/>
    <w:rsid w:val="00ED1BBE"/>
    <w:rsid w:val="00ED1ECE"/>
    <w:rsid w:val="00ED22E7"/>
    <w:rsid w:val="00ED26E8"/>
    <w:rsid w:val="00ED3D36"/>
    <w:rsid w:val="00ED539E"/>
    <w:rsid w:val="00ED610E"/>
    <w:rsid w:val="00ED6AE6"/>
    <w:rsid w:val="00ED6D26"/>
    <w:rsid w:val="00EE00C5"/>
    <w:rsid w:val="00EE02B2"/>
    <w:rsid w:val="00EE03D3"/>
    <w:rsid w:val="00EE0512"/>
    <w:rsid w:val="00EE0535"/>
    <w:rsid w:val="00EE0C8D"/>
    <w:rsid w:val="00EE17DF"/>
    <w:rsid w:val="00EE2200"/>
    <w:rsid w:val="00EE2319"/>
    <w:rsid w:val="00EE2391"/>
    <w:rsid w:val="00EE2396"/>
    <w:rsid w:val="00EE25A2"/>
    <w:rsid w:val="00EE3039"/>
    <w:rsid w:val="00EE3053"/>
    <w:rsid w:val="00EE315D"/>
    <w:rsid w:val="00EE3738"/>
    <w:rsid w:val="00EE38FF"/>
    <w:rsid w:val="00EE39A5"/>
    <w:rsid w:val="00EE3BB7"/>
    <w:rsid w:val="00EE3FA9"/>
    <w:rsid w:val="00EE4471"/>
    <w:rsid w:val="00EE4505"/>
    <w:rsid w:val="00EE4C42"/>
    <w:rsid w:val="00EE4C56"/>
    <w:rsid w:val="00EE5DF1"/>
    <w:rsid w:val="00EE6629"/>
    <w:rsid w:val="00EE6E39"/>
    <w:rsid w:val="00EE74C9"/>
    <w:rsid w:val="00EE782B"/>
    <w:rsid w:val="00EF02D5"/>
    <w:rsid w:val="00EF0435"/>
    <w:rsid w:val="00EF06A7"/>
    <w:rsid w:val="00EF074B"/>
    <w:rsid w:val="00EF1937"/>
    <w:rsid w:val="00EF2018"/>
    <w:rsid w:val="00EF23ED"/>
    <w:rsid w:val="00EF2C8C"/>
    <w:rsid w:val="00EF2F8F"/>
    <w:rsid w:val="00EF3480"/>
    <w:rsid w:val="00EF3893"/>
    <w:rsid w:val="00EF39E8"/>
    <w:rsid w:val="00EF3DD7"/>
    <w:rsid w:val="00EF420A"/>
    <w:rsid w:val="00EF4786"/>
    <w:rsid w:val="00EF47F3"/>
    <w:rsid w:val="00EF4AC4"/>
    <w:rsid w:val="00EF5592"/>
    <w:rsid w:val="00EF5D79"/>
    <w:rsid w:val="00EF6B8E"/>
    <w:rsid w:val="00EF7463"/>
    <w:rsid w:val="00EF7726"/>
    <w:rsid w:val="00EF7D98"/>
    <w:rsid w:val="00EF7E43"/>
    <w:rsid w:val="00F00819"/>
    <w:rsid w:val="00F00A3E"/>
    <w:rsid w:val="00F00B3B"/>
    <w:rsid w:val="00F00F3B"/>
    <w:rsid w:val="00F013F2"/>
    <w:rsid w:val="00F01A18"/>
    <w:rsid w:val="00F02657"/>
    <w:rsid w:val="00F02A10"/>
    <w:rsid w:val="00F03718"/>
    <w:rsid w:val="00F03960"/>
    <w:rsid w:val="00F0449D"/>
    <w:rsid w:val="00F04684"/>
    <w:rsid w:val="00F051CD"/>
    <w:rsid w:val="00F054CB"/>
    <w:rsid w:val="00F06467"/>
    <w:rsid w:val="00F07BF3"/>
    <w:rsid w:val="00F10035"/>
    <w:rsid w:val="00F111F5"/>
    <w:rsid w:val="00F11765"/>
    <w:rsid w:val="00F1188F"/>
    <w:rsid w:val="00F11C85"/>
    <w:rsid w:val="00F1280D"/>
    <w:rsid w:val="00F12ABA"/>
    <w:rsid w:val="00F12F12"/>
    <w:rsid w:val="00F13095"/>
    <w:rsid w:val="00F135C4"/>
    <w:rsid w:val="00F13EDC"/>
    <w:rsid w:val="00F146AA"/>
    <w:rsid w:val="00F14DDA"/>
    <w:rsid w:val="00F14EF6"/>
    <w:rsid w:val="00F15808"/>
    <w:rsid w:val="00F15C1C"/>
    <w:rsid w:val="00F15F73"/>
    <w:rsid w:val="00F1682B"/>
    <w:rsid w:val="00F17324"/>
    <w:rsid w:val="00F175EB"/>
    <w:rsid w:val="00F1782E"/>
    <w:rsid w:val="00F17837"/>
    <w:rsid w:val="00F17CD9"/>
    <w:rsid w:val="00F21012"/>
    <w:rsid w:val="00F212A1"/>
    <w:rsid w:val="00F213E5"/>
    <w:rsid w:val="00F2183B"/>
    <w:rsid w:val="00F21EAB"/>
    <w:rsid w:val="00F222B4"/>
    <w:rsid w:val="00F22FBF"/>
    <w:rsid w:val="00F232EA"/>
    <w:rsid w:val="00F234CD"/>
    <w:rsid w:val="00F238CC"/>
    <w:rsid w:val="00F23CC4"/>
    <w:rsid w:val="00F23D46"/>
    <w:rsid w:val="00F245AF"/>
    <w:rsid w:val="00F24CC5"/>
    <w:rsid w:val="00F24E32"/>
    <w:rsid w:val="00F252A4"/>
    <w:rsid w:val="00F25301"/>
    <w:rsid w:val="00F2535B"/>
    <w:rsid w:val="00F262D0"/>
    <w:rsid w:val="00F266C8"/>
    <w:rsid w:val="00F2750D"/>
    <w:rsid w:val="00F2795C"/>
    <w:rsid w:val="00F27AFF"/>
    <w:rsid w:val="00F30325"/>
    <w:rsid w:val="00F311F1"/>
    <w:rsid w:val="00F3243D"/>
    <w:rsid w:val="00F34148"/>
    <w:rsid w:val="00F34791"/>
    <w:rsid w:val="00F34CEB"/>
    <w:rsid w:val="00F35484"/>
    <w:rsid w:val="00F35A7B"/>
    <w:rsid w:val="00F3603C"/>
    <w:rsid w:val="00F36A80"/>
    <w:rsid w:val="00F37602"/>
    <w:rsid w:val="00F37D35"/>
    <w:rsid w:val="00F37D8D"/>
    <w:rsid w:val="00F401D7"/>
    <w:rsid w:val="00F40425"/>
    <w:rsid w:val="00F40BB4"/>
    <w:rsid w:val="00F410AF"/>
    <w:rsid w:val="00F41995"/>
    <w:rsid w:val="00F41F21"/>
    <w:rsid w:val="00F42180"/>
    <w:rsid w:val="00F427C5"/>
    <w:rsid w:val="00F43298"/>
    <w:rsid w:val="00F43309"/>
    <w:rsid w:val="00F43667"/>
    <w:rsid w:val="00F437AE"/>
    <w:rsid w:val="00F441F7"/>
    <w:rsid w:val="00F449EA"/>
    <w:rsid w:val="00F44E0B"/>
    <w:rsid w:val="00F45467"/>
    <w:rsid w:val="00F45BCA"/>
    <w:rsid w:val="00F45CAF"/>
    <w:rsid w:val="00F45D52"/>
    <w:rsid w:val="00F45D81"/>
    <w:rsid w:val="00F45F86"/>
    <w:rsid w:val="00F46331"/>
    <w:rsid w:val="00F4665B"/>
    <w:rsid w:val="00F466D5"/>
    <w:rsid w:val="00F472CA"/>
    <w:rsid w:val="00F47625"/>
    <w:rsid w:val="00F47BEF"/>
    <w:rsid w:val="00F51078"/>
    <w:rsid w:val="00F513AB"/>
    <w:rsid w:val="00F51546"/>
    <w:rsid w:val="00F51B69"/>
    <w:rsid w:val="00F523AC"/>
    <w:rsid w:val="00F52F07"/>
    <w:rsid w:val="00F53225"/>
    <w:rsid w:val="00F532AD"/>
    <w:rsid w:val="00F53CA7"/>
    <w:rsid w:val="00F5485E"/>
    <w:rsid w:val="00F549AC"/>
    <w:rsid w:val="00F54A8F"/>
    <w:rsid w:val="00F54D0B"/>
    <w:rsid w:val="00F55948"/>
    <w:rsid w:val="00F55CB0"/>
    <w:rsid w:val="00F56378"/>
    <w:rsid w:val="00F5643C"/>
    <w:rsid w:val="00F566BA"/>
    <w:rsid w:val="00F572CB"/>
    <w:rsid w:val="00F574FE"/>
    <w:rsid w:val="00F57751"/>
    <w:rsid w:val="00F578A5"/>
    <w:rsid w:val="00F578F1"/>
    <w:rsid w:val="00F6084F"/>
    <w:rsid w:val="00F608D8"/>
    <w:rsid w:val="00F60BC7"/>
    <w:rsid w:val="00F6172D"/>
    <w:rsid w:val="00F61B2F"/>
    <w:rsid w:val="00F624EE"/>
    <w:rsid w:val="00F62841"/>
    <w:rsid w:val="00F62EB9"/>
    <w:rsid w:val="00F64883"/>
    <w:rsid w:val="00F650FC"/>
    <w:rsid w:val="00F652B4"/>
    <w:rsid w:val="00F65C0E"/>
    <w:rsid w:val="00F66317"/>
    <w:rsid w:val="00F67511"/>
    <w:rsid w:val="00F67D21"/>
    <w:rsid w:val="00F70110"/>
    <w:rsid w:val="00F7026C"/>
    <w:rsid w:val="00F708E0"/>
    <w:rsid w:val="00F70D7A"/>
    <w:rsid w:val="00F7159F"/>
    <w:rsid w:val="00F71E0B"/>
    <w:rsid w:val="00F72A80"/>
    <w:rsid w:val="00F73B64"/>
    <w:rsid w:val="00F73C70"/>
    <w:rsid w:val="00F7420F"/>
    <w:rsid w:val="00F7426E"/>
    <w:rsid w:val="00F743CB"/>
    <w:rsid w:val="00F74C93"/>
    <w:rsid w:val="00F7523F"/>
    <w:rsid w:val="00F75339"/>
    <w:rsid w:val="00F75D25"/>
    <w:rsid w:val="00F75E7E"/>
    <w:rsid w:val="00F767F4"/>
    <w:rsid w:val="00F76C80"/>
    <w:rsid w:val="00F773D3"/>
    <w:rsid w:val="00F77D01"/>
    <w:rsid w:val="00F77D39"/>
    <w:rsid w:val="00F8069D"/>
    <w:rsid w:val="00F806D0"/>
    <w:rsid w:val="00F80FE3"/>
    <w:rsid w:val="00F81838"/>
    <w:rsid w:val="00F820E7"/>
    <w:rsid w:val="00F8275D"/>
    <w:rsid w:val="00F8305A"/>
    <w:rsid w:val="00F830F9"/>
    <w:rsid w:val="00F83555"/>
    <w:rsid w:val="00F837EB"/>
    <w:rsid w:val="00F839BC"/>
    <w:rsid w:val="00F83DF6"/>
    <w:rsid w:val="00F83F86"/>
    <w:rsid w:val="00F84388"/>
    <w:rsid w:val="00F84470"/>
    <w:rsid w:val="00F85E79"/>
    <w:rsid w:val="00F867D4"/>
    <w:rsid w:val="00F86F7C"/>
    <w:rsid w:val="00F8770F"/>
    <w:rsid w:val="00F90769"/>
    <w:rsid w:val="00F90CEA"/>
    <w:rsid w:val="00F90D1A"/>
    <w:rsid w:val="00F91036"/>
    <w:rsid w:val="00F911F1"/>
    <w:rsid w:val="00F91CC7"/>
    <w:rsid w:val="00F92220"/>
    <w:rsid w:val="00F92657"/>
    <w:rsid w:val="00F92B1D"/>
    <w:rsid w:val="00F92C6B"/>
    <w:rsid w:val="00F933AF"/>
    <w:rsid w:val="00F94144"/>
    <w:rsid w:val="00F94381"/>
    <w:rsid w:val="00F958C7"/>
    <w:rsid w:val="00F95B0E"/>
    <w:rsid w:val="00F968C9"/>
    <w:rsid w:val="00F97420"/>
    <w:rsid w:val="00F97613"/>
    <w:rsid w:val="00F97709"/>
    <w:rsid w:val="00F978FD"/>
    <w:rsid w:val="00FA004D"/>
    <w:rsid w:val="00FA0C3A"/>
    <w:rsid w:val="00FA111D"/>
    <w:rsid w:val="00FA159F"/>
    <w:rsid w:val="00FA16CC"/>
    <w:rsid w:val="00FA173F"/>
    <w:rsid w:val="00FA2458"/>
    <w:rsid w:val="00FA32D3"/>
    <w:rsid w:val="00FA36D1"/>
    <w:rsid w:val="00FA4C4D"/>
    <w:rsid w:val="00FA564B"/>
    <w:rsid w:val="00FA5929"/>
    <w:rsid w:val="00FA5B54"/>
    <w:rsid w:val="00FA5E38"/>
    <w:rsid w:val="00FA5E97"/>
    <w:rsid w:val="00FA6164"/>
    <w:rsid w:val="00FA69C9"/>
    <w:rsid w:val="00FA6AC1"/>
    <w:rsid w:val="00FA7517"/>
    <w:rsid w:val="00FA7E31"/>
    <w:rsid w:val="00FA7F4B"/>
    <w:rsid w:val="00FB0362"/>
    <w:rsid w:val="00FB2070"/>
    <w:rsid w:val="00FB208D"/>
    <w:rsid w:val="00FB297D"/>
    <w:rsid w:val="00FB3572"/>
    <w:rsid w:val="00FB3D5C"/>
    <w:rsid w:val="00FB48E8"/>
    <w:rsid w:val="00FB54D3"/>
    <w:rsid w:val="00FB58FE"/>
    <w:rsid w:val="00FB5F83"/>
    <w:rsid w:val="00FB6473"/>
    <w:rsid w:val="00FB6D9B"/>
    <w:rsid w:val="00FB73F9"/>
    <w:rsid w:val="00FB7E7B"/>
    <w:rsid w:val="00FC0444"/>
    <w:rsid w:val="00FC0CF8"/>
    <w:rsid w:val="00FC0DAB"/>
    <w:rsid w:val="00FC0FCB"/>
    <w:rsid w:val="00FC106E"/>
    <w:rsid w:val="00FC11D8"/>
    <w:rsid w:val="00FC1373"/>
    <w:rsid w:val="00FC1388"/>
    <w:rsid w:val="00FC1480"/>
    <w:rsid w:val="00FC1AB0"/>
    <w:rsid w:val="00FC1B8B"/>
    <w:rsid w:val="00FC2D89"/>
    <w:rsid w:val="00FC3092"/>
    <w:rsid w:val="00FC328F"/>
    <w:rsid w:val="00FC3364"/>
    <w:rsid w:val="00FC3643"/>
    <w:rsid w:val="00FC4428"/>
    <w:rsid w:val="00FC58D9"/>
    <w:rsid w:val="00FC5DD9"/>
    <w:rsid w:val="00FC62F2"/>
    <w:rsid w:val="00FC645B"/>
    <w:rsid w:val="00FC668C"/>
    <w:rsid w:val="00FC6B03"/>
    <w:rsid w:val="00FC79A0"/>
    <w:rsid w:val="00FD0707"/>
    <w:rsid w:val="00FD15EC"/>
    <w:rsid w:val="00FD1BFF"/>
    <w:rsid w:val="00FD24DF"/>
    <w:rsid w:val="00FD2533"/>
    <w:rsid w:val="00FD2C3B"/>
    <w:rsid w:val="00FD2FC7"/>
    <w:rsid w:val="00FD3091"/>
    <w:rsid w:val="00FD4059"/>
    <w:rsid w:val="00FD4554"/>
    <w:rsid w:val="00FD4BEF"/>
    <w:rsid w:val="00FD54BE"/>
    <w:rsid w:val="00FD5583"/>
    <w:rsid w:val="00FD5B62"/>
    <w:rsid w:val="00FD5C10"/>
    <w:rsid w:val="00FD6455"/>
    <w:rsid w:val="00FD67E4"/>
    <w:rsid w:val="00FD682A"/>
    <w:rsid w:val="00FD79CF"/>
    <w:rsid w:val="00FD7D02"/>
    <w:rsid w:val="00FD7ED8"/>
    <w:rsid w:val="00FD7F09"/>
    <w:rsid w:val="00FE0058"/>
    <w:rsid w:val="00FE00E1"/>
    <w:rsid w:val="00FE047E"/>
    <w:rsid w:val="00FE06F5"/>
    <w:rsid w:val="00FE0C4C"/>
    <w:rsid w:val="00FE0CE0"/>
    <w:rsid w:val="00FE120F"/>
    <w:rsid w:val="00FE16FC"/>
    <w:rsid w:val="00FE20EB"/>
    <w:rsid w:val="00FE211F"/>
    <w:rsid w:val="00FE22C8"/>
    <w:rsid w:val="00FE23D5"/>
    <w:rsid w:val="00FE2437"/>
    <w:rsid w:val="00FE2449"/>
    <w:rsid w:val="00FE24AB"/>
    <w:rsid w:val="00FE27E8"/>
    <w:rsid w:val="00FE2A59"/>
    <w:rsid w:val="00FE2B6A"/>
    <w:rsid w:val="00FE2EFC"/>
    <w:rsid w:val="00FE35BB"/>
    <w:rsid w:val="00FE3D6E"/>
    <w:rsid w:val="00FE3F05"/>
    <w:rsid w:val="00FE3F70"/>
    <w:rsid w:val="00FE4B60"/>
    <w:rsid w:val="00FE5771"/>
    <w:rsid w:val="00FE5990"/>
    <w:rsid w:val="00FE5F11"/>
    <w:rsid w:val="00FE60AA"/>
    <w:rsid w:val="00FE60F3"/>
    <w:rsid w:val="00FE6E02"/>
    <w:rsid w:val="00FE6FE4"/>
    <w:rsid w:val="00FE7529"/>
    <w:rsid w:val="00FE797A"/>
    <w:rsid w:val="00FE7D64"/>
    <w:rsid w:val="00FE7E09"/>
    <w:rsid w:val="00FE7EEA"/>
    <w:rsid w:val="00FE7FB2"/>
    <w:rsid w:val="00FF041A"/>
    <w:rsid w:val="00FF07F1"/>
    <w:rsid w:val="00FF102B"/>
    <w:rsid w:val="00FF145E"/>
    <w:rsid w:val="00FF17B8"/>
    <w:rsid w:val="00FF3296"/>
    <w:rsid w:val="00FF36A8"/>
    <w:rsid w:val="00FF377C"/>
    <w:rsid w:val="00FF3BD7"/>
    <w:rsid w:val="00FF43B7"/>
    <w:rsid w:val="00FF45E1"/>
    <w:rsid w:val="00FF4726"/>
    <w:rsid w:val="00FF4A4F"/>
    <w:rsid w:val="00FF5BA6"/>
    <w:rsid w:val="00FF5C4B"/>
    <w:rsid w:val="00FF65EA"/>
    <w:rsid w:val="00FF6D44"/>
    <w:rsid w:val="00FF779B"/>
    <w:rsid w:val="00FF7AA5"/>
    <w:rsid w:val="00FF7D13"/>
    <w:rsid w:val="00FF7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53249"/>
    <o:shapelayout v:ext="edit">
      <o:idmap v:ext="edit" data="1"/>
    </o:shapelayout>
  </w:shapeDefaults>
  <w:decimalSymbol w:val="."/>
  <w:listSeparator w:val=","/>
  <w14:docId w14:val="0B655AB9"/>
  <w15:docId w15:val="{C76019C8-2AC7-4984-B3B1-C5B62F14F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locked="1"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4365"/>
    <w:rPr>
      <w:rFonts w:ascii="Calibri" w:hAnsi="Calibri"/>
      <w:sz w:val="24"/>
      <w:szCs w:val="24"/>
    </w:rPr>
  </w:style>
  <w:style w:type="paragraph" w:styleId="Heading1">
    <w:name w:val="heading 1"/>
    <w:basedOn w:val="Normal"/>
    <w:next w:val="Normal"/>
    <w:link w:val="Heading1Char"/>
    <w:qFormat/>
    <w:rsid w:val="00F401D7"/>
    <w:pPr>
      <w:keepNext/>
      <w:numPr>
        <w:numId w:val="4"/>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1"/>
    <w:qFormat/>
    <w:rsid w:val="00411FC1"/>
    <w:pPr>
      <w:keepNext/>
      <w:numPr>
        <w:ilvl w:val="1"/>
        <w:numId w:val="4"/>
      </w:numPr>
      <w:spacing w:before="240" w:after="60"/>
      <w:ind w:left="0"/>
      <w:outlineLvl w:val="1"/>
    </w:pPr>
    <w:rPr>
      <w:rFonts w:ascii="Arial" w:hAnsi="Arial" w:cs="Arial"/>
      <w:b/>
      <w:bCs/>
      <w:i/>
      <w:iCs/>
      <w:sz w:val="28"/>
      <w:szCs w:val="28"/>
    </w:rPr>
  </w:style>
  <w:style w:type="paragraph" w:styleId="Heading3">
    <w:name w:val="heading 3"/>
    <w:basedOn w:val="Normal"/>
    <w:next w:val="Normal"/>
    <w:link w:val="Heading3Char1"/>
    <w:qFormat/>
    <w:rsid w:val="00411FC1"/>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B0166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401D7"/>
    <w:rPr>
      <w:rFonts w:ascii="Arial" w:hAnsi="Arial" w:cs="Arial"/>
      <w:b/>
      <w:bCs/>
      <w:kern w:val="32"/>
      <w:sz w:val="32"/>
      <w:szCs w:val="32"/>
    </w:rPr>
  </w:style>
  <w:style w:type="character" w:customStyle="1" w:styleId="Heading2Char1">
    <w:name w:val="Heading 2 Char1"/>
    <w:link w:val="Heading2"/>
    <w:locked/>
    <w:rsid w:val="00283592"/>
    <w:rPr>
      <w:rFonts w:ascii="Arial" w:hAnsi="Arial" w:cs="Arial"/>
      <w:b/>
      <w:bCs/>
      <w:i/>
      <w:iCs/>
      <w:sz w:val="28"/>
      <w:szCs w:val="28"/>
    </w:rPr>
  </w:style>
  <w:style w:type="character" w:customStyle="1" w:styleId="Heading3Char1">
    <w:name w:val="Heading 3 Char1"/>
    <w:link w:val="Heading3"/>
    <w:locked/>
    <w:rsid w:val="00411FC1"/>
    <w:rPr>
      <w:rFonts w:ascii="Arial" w:hAnsi="Arial" w:cs="Arial"/>
      <w:b/>
      <w:bCs/>
      <w:sz w:val="26"/>
      <w:szCs w:val="26"/>
    </w:rPr>
  </w:style>
  <w:style w:type="character" w:customStyle="1" w:styleId="Heading4Char">
    <w:name w:val="Heading 4 Char"/>
    <w:basedOn w:val="DefaultParagraphFont"/>
    <w:link w:val="Heading4"/>
    <w:semiHidden/>
    <w:rsid w:val="00B01662"/>
    <w:rPr>
      <w:rFonts w:asciiTheme="majorHAnsi" w:eastAsiaTheme="majorEastAsia" w:hAnsiTheme="majorHAnsi" w:cstheme="majorBidi"/>
      <w:i/>
      <w:iCs/>
      <w:color w:val="2E74B5" w:themeColor="accent1" w:themeShade="BF"/>
      <w:sz w:val="24"/>
      <w:szCs w:val="24"/>
    </w:rPr>
  </w:style>
  <w:style w:type="paragraph" w:styleId="Footer">
    <w:name w:val="footer"/>
    <w:basedOn w:val="Normal"/>
    <w:rsid w:val="007F2912"/>
    <w:pPr>
      <w:tabs>
        <w:tab w:val="center" w:pos="4320"/>
        <w:tab w:val="right" w:pos="8640"/>
      </w:tabs>
    </w:pPr>
  </w:style>
  <w:style w:type="character" w:styleId="PageNumber">
    <w:name w:val="page number"/>
    <w:rsid w:val="007F2912"/>
    <w:rPr>
      <w:rFonts w:cs="Times New Roman"/>
    </w:rPr>
  </w:style>
  <w:style w:type="paragraph" w:styleId="FootnoteText">
    <w:name w:val="footnote text"/>
    <w:aliases w:val="Footnote Text1 Char,Footnote Text Char Ch,Footnote Text Char Char,Footnote Text Char1 Char,Footnote Text Char Char Char,Footnote Text Char1 Char Char Char,Footnote Text Char Char1 Char Char Char,TBG Style"/>
    <w:basedOn w:val="Normal"/>
    <w:link w:val="FootnoteTextChar1"/>
    <w:rsid w:val="0094538D"/>
    <w:rPr>
      <w:rFonts w:ascii="Times New Roman" w:hAnsi="Times New Roman"/>
      <w:sz w:val="20"/>
      <w:szCs w:val="20"/>
    </w:rPr>
  </w:style>
  <w:style w:type="character" w:customStyle="1" w:styleId="FootnoteTextChar1">
    <w:name w:val="Footnote Text Char1"/>
    <w:aliases w:val="Footnote Text1 Char Char,Footnote Text Char Ch Char,Footnote Text Char Char Char2,Footnote Text Char1 Char Char1,Footnote Text Char Char Char Char1,Footnote Text Char1 Char Char Char Char1,Footnote Text Char Char1 Char Char Char Char"/>
    <w:link w:val="FootnoteText"/>
    <w:locked/>
    <w:rsid w:val="008A3E42"/>
    <w:rPr>
      <w:rFonts w:cs="Times New Roman"/>
      <w:lang w:val="en-US" w:eastAsia="en-US" w:bidi="ar-SA"/>
    </w:rPr>
  </w:style>
  <w:style w:type="character" w:styleId="FootnoteReference">
    <w:name w:val="footnote reference"/>
    <w:aliases w:val="o"/>
    <w:rsid w:val="0094538D"/>
    <w:rPr>
      <w:rFonts w:cs="Times New Roman"/>
      <w:vertAlign w:val="superscript"/>
    </w:rPr>
  </w:style>
  <w:style w:type="paragraph" w:styleId="Header">
    <w:name w:val="header"/>
    <w:basedOn w:val="Normal"/>
    <w:rsid w:val="00484164"/>
    <w:pPr>
      <w:tabs>
        <w:tab w:val="center" w:pos="4320"/>
        <w:tab w:val="right" w:pos="8640"/>
      </w:tabs>
    </w:pPr>
  </w:style>
  <w:style w:type="paragraph" w:styleId="TOC1">
    <w:name w:val="toc 1"/>
    <w:basedOn w:val="Normal"/>
    <w:next w:val="Normal"/>
    <w:autoRedefine/>
    <w:uiPriority w:val="39"/>
    <w:rsid w:val="00265EE5"/>
    <w:pPr>
      <w:tabs>
        <w:tab w:val="right" w:leader="dot" w:pos="8630"/>
      </w:tabs>
      <w:jc w:val="center"/>
    </w:pPr>
    <w:rPr>
      <w:b/>
    </w:rPr>
  </w:style>
  <w:style w:type="paragraph" w:styleId="TOC2">
    <w:name w:val="toc 2"/>
    <w:basedOn w:val="Normal"/>
    <w:next w:val="Normal"/>
    <w:autoRedefine/>
    <w:uiPriority w:val="39"/>
    <w:rsid w:val="000B5A5D"/>
    <w:pPr>
      <w:ind w:left="240"/>
    </w:pPr>
  </w:style>
  <w:style w:type="paragraph" w:styleId="TOC3">
    <w:name w:val="toc 3"/>
    <w:basedOn w:val="Normal"/>
    <w:next w:val="Normal"/>
    <w:autoRedefine/>
    <w:uiPriority w:val="39"/>
    <w:rsid w:val="000B35D6"/>
    <w:pPr>
      <w:tabs>
        <w:tab w:val="right" w:leader="dot" w:pos="8630"/>
      </w:tabs>
      <w:ind w:left="720"/>
    </w:pPr>
  </w:style>
  <w:style w:type="character" w:styleId="Hyperlink">
    <w:name w:val="Hyperlink"/>
    <w:uiPriority w:val="99"/>
    <w:rsid w:val="000B5A5D"/>
    <w:rPr>
      <w:rFonts w:cs="Times New Roman"/>
      <w:color w:val="0000FF"/>
      <w:u w:val="single"/>
    </w:rPr>
  </w:style>
  <w:style w:type="paragraph" w:styleId="Caption">
    <w:name w:val="caption"/>
    <w:basedOn w:val="Normal"/>
    <w:next w:val="Normal"/>
    <w:link w:val="CaptionChar"/>
    <w:qFormat/>
    <w:rsid w:val="006169CA"/>
    <w:rPr>
      <w:rFonts w:ascii="Times New Roman" w:hAnsi="Times New Roman"/>
      <w:b/>
      <w:bCs/>
      <w:sz w:val="20"/>
      <w:szCs w:val="20"/>
    </w:rPr>
  </w:style>
  <w:style w:type="character" w:customStyle="1" w:styleId="CaptionChar">
    <w:name w:val="Caption Char"/>
    <w:link w:val="Caption"/>
    <w:locked/>
    <w:rsid w:val="00283592"/>
    <w:rPr>
      <w:rFonts w:cs="Times New Roman"/>
      <w:b/>
      <w:bCs/>
      <w:lang w:val="en-US" w:eastAsia="en-US" w:bidi="ar-SA"/>
    </w:rPr>
  </w:style>
  <w:style w:type="paragraph" w:styleId="TableofFigures">
    <w:name w:val="table of figures"/>
    <w:basedOn w:val="Normal"/>
    <w:next w:val="Normal"/>
    <w:uiPriority w:val="99"/>
    <w:rsid w:val="006169CA"/>
  </w:style>
  <w:style w:type="paragraph" w:customStyle="1" w:styleId="TableCaption">
    <w:name w:val="Table Caption"/>
    <w:basedOn w:val="Caption"/>
    <w:link w:val="TableCaptionChar"/>
    <w:qFormat/>
    <w:rsid w:val="00D41508"/>
    <w:pPr>
      <w:keepNext/>
      <w:spacing w:after="120"/>
      <w:jc w:val="center"/>
    </w:pPr>
    <w:rPr>
      <w:rFonts w:ascii="Calibri" w:hAnsi="Calibri"/>
      <w:sz w:val="24"/>
    </w:rPr>
  </w:style>
  <w:style w:type="character" w:customStyle="1" w:styleId="TableCaptionChar">
    <w:name w:val="Table Caption Char"/>
    <w:link w:val="TableCaption"/>
    <w:locked/>
    <w:rsid w:val="00D41508"/>
    <w:rPr>
      <w:rFonts w:ascii="Calibri" w:hAnsi="Calibri"/>
      <w:b/>
      <w:bCs/>
      <w:sz w:val="24"/>
    </w:rPr>
  </w:style>
  <w:style w:type="paragraph" w:customStyle="1" w:styleId="FigureCaption">
    <w:name w:val="Figure Caption"/>
    <w:basedOn w:val="TableCaption"/>
    <w:link w:val="FigureCaptionChar"/>
    <w:qFormat/>
    <w:rsid w:val="0097115E"/>
  </w:style>
  <w:style w:type="character" w:customStyle="1" w:styleId="FigureCaptionChar">
    <w:name w:val="Figure Caption Char"/>
    <w:link w:val="FigureCaption"/>
    <w:locked/>
    <w:rsid w:val="0097115E"/>
    <w:rPr>
      <w:rFonts w:ascii="Calibri" w:hAnsi="Calibri"/>
      <w:b/>
      <w:bCs/>
      <w:sz w:val="24"/>
    </w:rPr>
  </w:style>
  <w:style w:type="paragraph" w:customStyle="1" w:styleId="EPRITitle">
    <w:name w:val="EPRI Title"/>
    <w:rsid w:val="00111FB1"/>
    <w:pPr>
      <w:spacing w:before="240" w:after="60"/>
      <w:ind w:left="1195" w:right="1195"/>
    </w:pPr>
    <w:rPr>
      <w:rFonts w:ascii="Helvetica" w:hAnsi="Helvetica"/>
      <w:b/>
      <w:sz w:val="40"/>
    </w:rPr>
  </w:style>
  <w:style w:type="paragraph" w:customStyle="1" w:styleId="EPRISubtitle">
    <w:name w:val="EPRI Subtitle"/>
    <w:rsid w:val="00111FB1"/>
    <w:pPr>
      <w:spacing w:after="60"/>
      <w:ind w:left="1195" w:right="1195"/>
    </w:pPr>
    <w:rPr>
      <w:rFonts w:ascii="Helvetica" w:hAnsi="Helvetica"/>
      <w:noProof/>
      <w:sz w:val="30"/>
    </w:rPr>
  </w:style>
  <w:style w:type="paragraph" w:customStyle="1" w:styleId="EPRIOI">
    <w:name w:val="EPRI OI#"/>
    <w:rsid w:val="00111FB1"/>
    <w:pPr>
      <w:spacing w:before="140" w:after="480"/>
      <w:ind w:left="1195" w:right="1195"/>
    </w:pPr>
    <w:rPr>
      <w:rFonts w:ascii="Helvetica" w:hAnsi="Helvetica"/>
      <w:b/>
      <w:sz w:val="24"/>
    </w:rPr>
  </w:style>
  <w:style w:type="paragraph" w:customStyle="1" w:styleId="EPRITitleText">
    <w:name w:val="EPRI Title Text"/>
    <w:rsid w:val="00111FB1"/>
    <w:pPr>
      <w:spacing w:before="140" w:after="1200"/>
      <w:ind w:left="1195" w:right="1195"/>
    </w:pPr>
    <w:rPr>
      <w:rFonts w:ascii="Helvetica" w:hAnsi="Helvetica"/>
      <w:sz w:val="24"/>
    </w:rPr>
  </w:style>
  <w:style w:type="paragraph" w:styleId="BalloonText">
    <w:name w:val="Balloon Text"/>
    <w:basedOn w:val="Normal"/>
    <w:semiHidden/>
    <w:rsid w:val="004F6104"/>
    <w:rPr>
      <w:rFonts w:ascii="Tahoma" w:hAnsi="Tahoma" w:cs="Tahoma"/>
      <w:sz w:val="16"/>
      <w:szCs w:val="16"/>
    </w:rPr>
  </w:style>
  <w:style w:type="table" w:styleId="TableGrid">
    <w:name w:val="Table Grid"/>
    <w:basedOn w:val="TableNormal"/>
    <w:rsid w:val="002E3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rsid w:val="00283592"/>
    <w:rPr>
      <w:rFonts w:ascii="Arial" w:hAnsi="Arial" w:cs="Arial"/>
      <w:b/>
      <w:bCs/>
      <w:sz w:val="26"/>
      <w:szCs w:val="26"/>
      <w:lang w:val="en-US" w:eastAsia="en-US" w:bidi="ar-SA"/>
    </w:rPr>
  </w:style>
  <w:style w:type="character" w:styleId="CommentReference">
    <w:name w:val="annotation reference"/>
    <w:rsid w:val="00A8020B"/>
    <w:rPr>
      <w:rFonts w:cs="Times New Roman"/>
      <w:sz w:val="16"/>
      <w:szCs w:val="16"/>
    </w:rPr>
  </w:style>
  <w:style w:type="paragraph" w:styleId="CommentText">
    <w:name w:val="annotation text"/>
    <w:basedOn w:val="Normal"/>
    <w:link w:val="CommentTextChar"/>
    <w:rsid w:val="00A8020B"/>
    <w:rPr>
      <w:rFonts w:ascii="Times New Roman" w:hAnsi="Times New Roman"/>
      <w:sz w:val="20"/>
      <w:szCs w:val="20"/>
      <w:lang w:val="x-none" w:eastAsia="x-none"/>
    </w:rPr>
  </w:style>
  <w:style w:type="character" w:customStyle="1" w:styleId="CommentTextChar">
    <w:name w:val="Comment Text Char"/>
    <w:link w:val="CommentText"/>
    <w:locked/>
    <w:rsid w:val="00A8020B"/>
    <w:rPr>
      <w:rFonts w:cs="Times New Roman"/>
    </w:rPr>
  </w:style>
  <w:style w:type="paragraph" w:styleId="CommentSubject">
    <w:name w:val="annotation subject"/>
    <w:basedOn w:val="CommentText"/>
    <w:next w:val="CommentText"/>
    <w:link w:val="CommentSubjectChar"/>
    <w:rsid w:val="00A8020B"/>
    <w:rPr>
      <w:b/>
      <w:bCs/>
    </w:rPr>
  </w:style>
  <w:style w:type="character" w:customStyle="1" w:styleId="CommentSubjectChar">
    <w:name w:val="Comment Subject Char"/>
    <w:link w:val="CommentSubject"/>
    <w:locked/>
    <w:rsid w:val="00A8020B"/>
    <w:rPr>
      <w:rFonts w:cs="Times New Roman"/>
      <w:b/>
      <w:bCs/>
    </w:rPr>
  </w:style>
  <w:style w:type="paragraph" w:styleId="EndnoteText">
    <w:name w:val="endnote text"/>
    <w:basedOn w:val="Normal"/>
    <w:link w:val="EndnoteTextChar"/>
    <w:rsid w:val="00363778"/>
    <w:rPr>
      <w:rFonts w:ascii="Times New Roman" w:hAnsi="Times New Roman"/>
      <w:sz w:val="20"/>
      <w:szCs w:val="20"/>
      <w:lang w:val="x-none" w:eastAsia="x-none"/>
    </w:rPr>
  </w:style>
  <w:style w:type="character" w:customStyle="1" w:styleId="EndnoteTextChar">
    <w:name w:val="Endnote Text Char"/>
    <w:link w:val="EndnoteText"/>
    <w:locked/>
    <w:rsid w:val="00363778"/>
    <w:rPr>
      <w:rFonts w:cs="Times New Roman"/>
    </w:rPr>
  </w:style>
  <w:style w:type="character" w:styleId="EndnoteReference">
    <w:name w:val="endnote reference"/>
    <w:rsid w:val="00363778"/>
    <w:rPr>
      <w:rFonts w:cs="Times New Roman"/>
      <w:vertAlign w:val="superscript"/>
    </w:rPr>
  </w:style>
  <w:style w:type="character" w:styleId="FollowedHyperlink">
    <w:name w:val="FollowedHyperlink"/>
    <w:rsid w:val="002F7583"/>
    <w:rPr>
      <w:color w:val="800080"/>
      <w:u w:val="single"/>
    </w:rPr>
  </w:style>
  <w:style w:type="character" w:customStyle="1" w:styleId="FootnoteTextChar">
    <w:name w:val="Footnote Text Char"/>
    <w:aliases w:val="Footnote Text1 Char Char1,Footnote Text Char Ch Char1,Footnote Text Char1 Char1,Footnote Text Char Char Char1,Footnote Text Char1 Char Char,Footnote Text Char Char Char Char,Footnote Text Char1 Char Char Char Char,TBG Style Char"/>
    <w:rsid w:val="00002343"/>
    <w:rPr>
      <w:lang w:val="en-US" w:eastAsia="en-US" w:bidi="ar-SA"/>
    </w:rPr>
  </w:style>
  <w:style w:type="character" w:customStyle="1" w:styleId="Heading2Char">
    <w:name w:val="Heading 2 Char"/>
    <w:rsid w:val="00C54C5F"/>
    <w:rPr>
      <w:rFonts w:ascii="Arial" w:hAnsi="Arial" w:cs="Arial"/>
      <w:b/>
      <w:bCs/>
      <w:i/>
      <w:iCs/>
      <w:sz w:val="24"/>
      <w:szCs w:val="28"/>
      <w:lang w:val="en-US" w:eastAsia="en-US" w:bidi="ar-SA"/>
    </w:rPr>
  </w:style>
  <w:style w:type="paragraph" w:styleId="DocumentMap">
    <w:name w:val="Document Map"/>
    <w:basedOn w:val="Normal"/>
    <w:semiHidden/>
    <w:rsid w:val="000E553B"/>
    <w:pPr>
      <w:shd w:val="clear" w:color="auto" w:fill="000080"/>
    </w:pPr>
    <w:rPr>
      <w:rFonts w:ascii="Tahoma" w:hAnsi="Tahoma" w:cs="Tahoma"/>
      <w:sz w:val="20"/>
      <w:szCs w:val="20"/>
    </w:rPr>
  </w:style>
  <w:style w:type="paragraph" w:styleId="NormalWeb">
    <w:name w:val="Normal (Web)"/>
    <w:basedOn w:val="Normal"/>
    <w:uiPriority w:val="99"/>
    <w:unhideWhenUsed/>
    <w:rsid w:val="00530476"/>
    <w:pPr>
      <w:spacing w:before="100" w:beforeAutospacing="1" w:after="100" w:afterAutospacing="1"/>
    </w:pPr>
    <w:rPr>
      <w:rFonts w:ascii="Times New Roman" w:hAnsi="Times New Roman"/>
    </w:rPr>
  </w:style>
  <w:style w:type="paragraph" w:customStyle="1" w:styleId="TableHeader">
    <w:name w:val="Table Header"/>
    <w:qFormat/>
    <w:rsid w:val="008E5D4C"/>
    <w:pPr>
      <w:spacing w:before="100" w:after="100"/>
      <w:jc w:val="center"/>
    </w:pPr>
    <w:rPr>
      <w:rFonts w:ascii="Arial" w:eastAsia="Calibri" w:hAnsi="Arial"/>
      <w:b/>
      <w:color w:val="FFFFFF"/>
      <w:szCs w:val="22"/>
    </w:rPr>
  </w:style>
  <w:style w:type="paragraph" w:customStyle="1" w:styleId="TableText">
    <w:name w:val="Table Text"/>
    <w:qFormat/>
    <w:rsid w:val="008E5D4C"/>
    <w:pPr>
      <w:spacing w:before="60" w:after="60"/>
      <w:jc w:val="center"/>
    </w:pPr>
    <w:rPr>
      <w:rFonts w:ascii="Arial" w:eastAsia="Calibri" w:hAnsi="Arial"/>
      <w:sz w:val="18"/>
      <w:szCs w:val="22"/>
    </w:rPr>
  </w:style>
  <w:style w:type="paragraph" w:styleId="ListParagraph">
    <w:name w:val="List Paragraph"/>
    <w:basedOn w:val="Normal"/>
    <w:uiPriority w:val="34"/>
    <w:qFormat/>
    <w:rsid w:val="00B01662"/>
    <w:pPr>
      <w:ind w:left="720"/>
      <w:contextualSpacing/>
    </w:pPr>
    <w:rPr>
      <w:rFonts w:ascii="Times New Roman" w:hAnsi="Times New Roman"/>
      <w:szCs w:val="20"/>
    </w:rPr>
  </w:style>
  <w:style w:type="paragraph" w:styleId="Revision">
    <w:name w:val="Revision"/>
    <w:hidden/>
    <w:uiPriority w:val="99"/>
    <w:semiHidden/>
    <w:rsid w:val="003438FF"/>
    <w:rPr>
      <w:rFonts w:ascii="Calibri" w:hAnsi="Calibri"/>
      <w:sz w:val="24"/>
      <w:szCs w:val="24"/>
    </w:rPr>
  </w:style>
  <w:style w:type="character" w:styleId="PlaceholderText">
    <w:name w:val="Placeholder Text"/>
    <w:basedOn w:val="DefaultParagraphFont"/>
    <w:uiPriority w:val="99"/>
    <w:semiHidden/>
    <w:rsid w:val="00EB476C"/>
    <w:rPr>
      <w:color w:val="808080"/>
    </w:rPr>
  </w:style>
  <w:style w:type="paragraph" w:styleId="BodyText">
    <w:name w:val="Body Text"/>
    <w:basedOn w:val="Normal"/>
    <w:link w:val="BodyTextChar"/>
    <w:rsid w:val="000409E9"/>
    <w:pPr>
      <w:spacing w:after="120"/>
    </w:pPr>
    <w:rPr>
      <w:szCs w:val="32"/>
    </w:rPr>
  </w:style>
  <w:style w:type="character" w:customStyle="1" w:styleId="BodyTextChar">
    <w:name w:val="Body Text Char"/>
    <w:basedOn w:val="DefaultParagraphFont"/>
    <w:link w:val="BodyText"/>
    <w:rsid w:val="000409E9"/>
    <w:rPr>
      <w:rFonts w:ascii="Calibri" w:hAnsi="Calibri"/>
      <w:sz w:val="24"/>
      <w:szCs w:val="32"/>
    </w:rPr>
  </w:style>
  <w:style w:type="paragraph" w:styleId="PlainText">
    <w:name w:val="Plain Text"/>
    <w:basedOn w:val="Normal"/>
    <w:link w:val="PlainTextChar"/>
    <w:uiPriority w:val="99"/>
    <w:semiHidden/>
    <w:unhideWhenUsed/>
    <w:rsid w:val="008835B3"/>
    <w:rPr>
      <w:rFonts w:eastAsiaTheme="minorHAnsi" w:cstheme="minorBidi"/>
      <w:sz w:val="22"/>
      <w:szCs w:val="21"/>
    </w:rPr>
  </w:style>
  <w:style w:type="character" w:customStyle="1" w:styleId="PlainTextChar">
    <w:name w:val="Plain Text Char"/>
    <w:basedOn w:val="DefaultParagraphFont"/>
    <w:link w:val="PlainText"/>
    <w:uiPriority w:val="99"/>
    <w:semiHidden/>
    <w:rsid w:val="008835B3"/>
    <w:rPr>
      <w:rFonts w:ascii="Calibri" w:eastAsiaTheme="minorHAnsi" w:hAnsi="Calibri" w:cstheme="minorBidi"/>
      <w:sz w:val="22"/>
      <w:szCs w:val="21"/>
    </w:rPr>
  </w:style>
  <w:style w:type="character" w:styleId="Emphasis">
    <w:name w:val="Emphasis"/>
    <w:basedOn w:val="DefaultParagraphFont"/>
    <w:qFormat/>
    <w:locked/>
    <w:rsid w:val="005C0A84"/>
    <w:rPr>
      <w:i/>
      <w:iCs/>
    </w:rPr>
  </w:style>
  <w:style w:type="character" w:customStyle="1" w:styleId="UnresolvedMention1">
    <w:name w:val="Unresolved Mention1"/>
    <w:basedOn w:val="DefaultParagraphFont"/>
    <w:uiPriority w:val="99"/>
    <w:semiHidden/>
    <w:unhideWhenUsed/>
    <w:rsid w:val="00F74C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5835024">
      <w:bodyDiv w:val="1"/>
      <w:marLeft w:val="0"/>
      <w:marRight w:val="0"/>
      <w:marTop w:val="0"/>
      <w:marBottom w:val="0"/>
      <w:divBdr>
        <w:top w:val="none" w:sz="0" w:space="0" w:color="auto"/>
        <w:left w:val="none" w:sz="0" w:space="0" w:color="auto"/>
        <w:bottom w:val="none" w:sz="0" w:space="0" w:color="auto"/>
        <w:right w:val="none" w:sz="0" w:space="0" w:color="auto"/>
      </w:divBdr>
    </w:div>
    <w:div w:id="17201020">
      <w:bodyDiv w:val="1"/>
      <w:marLeft w:val="0"/>
      <w:marRight w:val="0"/>
      <w:marTop w:val="0"/>
      <w:marBottom w:val="0"/>
      <w:divBdr>
        <w:top w:val="none" w:sz="0" w:space="0" w:color="auto"/>
        <w:left w:val="none" w:sz="0" w:space="0" w:color="auto"/>
        <w:bottom w:val="none" w:sz="0" w:space="0" w:color="auto"/>
        <w:right w:val="none" w:sz="0" w:space="0" w:color="auto"/>
      </w:divBdr>
    </w:div>
    <w:div w:id="20593810">
      <w:bodyDiv w:val="1"/>
      <w:marLeft w:val="0"/>
      <w:marRight w:val="0"/>
      <w:marTop w:val="0"/>
      <w:marBottom w:val="0"/>
      <w:divBdr>
        <w:top w:val="none" w:sz="0" w:space="0" w:color="auto"/>
        <w:left w:val="none" w:sz="0" w:space="0" w:color="auto"/>
        <w:bottom w:val="none" w:sz="0" w:space="0" w:color="auto"/>
        <w:right w:val="none" w:sz="0" w:space="0" w:color="auto"/>
      </w:divBdr>
    </w:div>
    <w:div w:id="40713041">
      <w:bodyDiv w:val="1"/>
      <w:marLeft w:val="0"/>
      <w:marRight w:val="0"/>
      <w:marTop w:val="0"/>
      <w:marBottom w:val="0"/>
      <w:divBdr>
        <w:top w:val="none" w:sz="0" w:space="0" w:color="auto"/>
        <w:left w:val="none" w:sz="0" w:space="0" w:color="auto"/>
        <w:bottom w:val="none" w:sz="0" w:space="0" w:color="auto"/>
        <w:right w:val="none" w:sz="0" w:space="0" w:color="auto"/>
      </w:divBdr>
    </w:div>
    <w:div w:id="46270437">
      <w:bodyDiv w:val="1"/>
      <w:marLeft w:val="0"/>
      <w:marRight w:val="0"/>
      <w:marTop w:val="0"/>
      <w:marBottom w:val="0"/>
      <w:divBdr>
        <w:top w:val="none" w:sz="0" w:space="0" w:color="auto"/>
        <w:left w:val="none" w:sz="0" w:space="0" w:color="auto"/>
        <w:bottom w:val="none" w:sz="0" w:space="0" w:color="auto"/>
        <w:right w:val="none" w:sz="0" w:space="0" w:color="auto"/>
      </w:divBdr>
    </w:div>
    <w:div w:id="59524325">
      <w:bodyDiv w:val="1"/>
      <w:marLeft w:val="0"/>
      <w:marRight w:val="0"/>
      <w:marTop w:val="0"/>
      <w:marBottom w:val="0"/>
      <w:divBdr>
        <w:top w:val="none" w:sz="0" w:space="0" w:color="auto"/>
        <w:left w:val="none" w:sz="0" w:space="0" w:color="auto"/>
        <w:bottom w:val="none" w:sz="0" w:space="0" w:color="auto"/>
        <w:right w:val="none" w:sz="0" w:space="0" w:color="auto"/>
      </w:divBdr>
    </w:div>
    <w:div w:id="62796609">
      <w:bodyDiv w:val="1"/>
      <w:marLeft w:val="0"/>
      <w:marRight w:val="0"/>
      <w:marTop w:val="0"/>
      <w:marBottom w:val="0"/>
      <w:divBdr>
        <w:top w:val="none" w:sz="0" w:space="0" w:color="auto"/>
        <w:left w:val="none" w:sz="0" w:space="0" w:color="auto"/>
        <w:bottom w:val="none" w:sz="0" w:space="0" w:color="auto"/>
        <w:right w:val="none" w:sz="0" w:space="0" w:color="auto"/>
      </w:divBdr>
    </w:div>
    <w:div w:id="85421586">
      <w:bodyDiv w:val="1"/>
      <w:marLeft w:val="0"/>
      <w:marRight w:val="0"/>
      <w:marTop w:val="0"/>
      <w:marBottom w:val="0"/>
      <w:divBdr>
        <w:top w:val="none" w:sz="0" w:space="0" w:color="auto"/>
        <w:left w:val="none" w:sz="0" w:space="0" w:color="auto"/>
        <w:bottom w:val="none" w:sz="0" w:space="0" w:color="auto"/>
        <w:right w:val="none" w:sz="0" w:space="0" w:color="auto"/>
      </w:divBdr>
    </w:div>
    <w:div w:id="94403000">
      <w:bodyDiv w:val="1"/>
      <w:marLeft w:val="0"/>
      <w:marRight w:val="0"/>
      <w:marTop w:val="0"/>
      <w:marBottom w:val="0"/>
      <w:divBdr>
        <w:top w:val="none" w:sz="0" w:space="0" w:color="auto"/>
        <w:left w:val="none" w:sz="0" w:space="0" w:color="auto"/>
        <w:bottom w:val="none" w:sz="0" w:space="0" w:color="auto"/>
        <w:right w:val="none" w:sz="0" w:space="0" w:color="auto"/>
      </w:divBdr>
    </w:div>
    <w:div w:id="107511727">
      <w:bodyDiv w:val="1"/>
      <w:marLeft w:val="0"/>
      <w:marRight w:val="0"/>
      <w:marTop w:val="0"/>
      <w:marBottom w:val="0"/>
      <w:divBdr>
        <w:top w:val="none" w:sz="0" w:space="0" w:color="auto"/>
        <w:left w:val="none" w:sz="0" w:space="0" w:color="auto"/>
        <w:bottom w:val="none" w:sz="0" w:space="0" w:color="auto"/>
        <w:right w:val="none" w:sz="0" w:space="0" w:color="auto"/>
      </w:divBdr>
    </w:div>
    <w:div w:id="119958684">
      <w:bodyDiv w:val="1"/>
      <w:marLeft w:val="0"/>
      <w:marRight w:val="0"/>
      <w:marTop w:val="0"/>
      <w:marBottom w:val="0"/>
      <w:divBdr>
        <w:top w:val="none" w:sz="0" w:space="0" w:color="auto"/>
        <w:left w:val="none" w:sz="0" w:space="0" w:color="auto"/>
        <w:bottom w:val="none" w:sz="0" w:space="0" w:color="auto"/>
        <w:right w:val="none" w:sz="0" w:space="0" w:color="auto"/>
      </w:divBdr>
    </w:div>
    <w:div w:id="125436439">
      <w:bodyDiv w:val="1"/>
      <w:marLeft w:val="0"/>
      <w:marRight w:val="0"/>
      <w:marTop w:val="0"/>
      <w:marBottom w:val="0"/>
      <w:divBdr>
        <w:top w:val="none" w:sz="0" w:space="0" w:color="auto"/>
        <w:left w:val="none" w:sz="0" w:space="0" w:color="auto"/>
        <w:bottom w:val="none" w:sz="0" w:space="0" w:color="auto"/>
        <w:right w:val="none" w:sz="0" w:space="0" w:color="auto"/>
      </w:divBdr>
    </w:div>
    <w:div w:id="133984911">
      <w:bodyDiv w:val="1"/>
      <w:marLeft w:val="0"/>
      <w:marRight w:val="0"/>
      <w:marTop w:val="0"/>
      <w:marBottom w:val="0"/>
      <w:divBdr>
        <w:top w:val="none" w:sz="0" w:space="0" w:color="auto"/>
        <w:left w:val="none" w:sz="0" w:space="0" w:color="auto"/>
        <w:bottom w:val="none" w:sz="0" w:space="0" w:color="auto"/>
        <w:right w:val="none" w:sz="0" w:space="0" w:color="auto"/>
      </w:divBdr>
    </w:div>
    <w:div w:id="142738351">
      <w:bodyDiv w:val="1"/>
      <w:marLeft w:val="0"/>
      <w:marRight w:val="0"/>
      <w:marTop w:val="0"/>
      <w:marBottom w:val="0"/>
      <w:divBdr>
        <w:top w:val="none" w:sz="0" w:space="0" w:color="auto"/>
        <w:left w:val="none" w:sz="0" w:space="0" w:color="auto"/>
        <w:bottom w:val="none" w:sz="0" w:space="0" w:color="auto"/>
        <w:right w:val="none" w:sz="0" w:space="0" w:color="auto"/>
      </w:divBdr>
    </w:div>
    <w:div w:id="144392931">
      <w:bodyDiv w:val="1"/>
      <w:marLeft w:val="0"/>
      <w:marRight w:val="0"/>
      <w:marTop w:val="0"/>
      <w:marBottom w:val="0"/>
      <w:divBdr>
        <w:top w:val="none" w:sz="0" w:space="0" w:color="auto"/>
        <w:left w:val="none" w:sz="0" w:space="0" w:color="auto"/>
        <w:bottom w:val="none" w:sz="0" w:space="0" w:color="auto"/>
        <w:right w:val="none" w:sz="0" w:space="0" w:color="auto"/>
      </w:divBdr>
    </w:div>
    <w:div w:id="147941816">
      <w:bodyDiv w:val="1"/>
      <w:marLeft w:val="0"/>
      <w:marRight w:val="0"/>
      <w:marTop w:val="0"/>
      <w:marBottom w:val="0"/>
      <w:divBdr>
        <w:top w:val="none" w:sz="0" w:space="0" w:color="auto"/>
        <w:left w:val="none" w:sz="0" w:space="0" w:color="auto"/>
        <w:bottom w:val="none" w:sz="0" w:space="0" w:color="auto"/>
        <w:right w:val="none" w:sz="0" w:space="0" w:color="auto"/>
      </w:divBdr>
    </w:div>
    <w:div w:id="154959704">
      <w:bodyDiv w:val="1"/>
      <w:marLeft w:val="0"/>
      <w:marRight w:val="0"/>
      <w:marTop w:val="0"/>
      <w:marBottom w:val="0"/>
      <w:divBdr>
        <w:top w:val="none" w:sz="0" w:space="0" w:color="auto"/>
        <w:left w:val="none" w:sz="0" w:space="0" w:color="auto"/>
        <w:bottom w:val="none" w:sz="0" w:space="0" w:color="auto"/>
        <w:right w:val="none" w:sz="0" w:space="0" w:color="auto"/>
      </w:divBdr>
    </w:div>
    <w:div w:id="165443879">
      <w:bodyDiv w:val="1"/>
      <w:marLeft w:val="0"/>
      <w:marRight w:val="0"/>
      <w:marTop w:val="0"/>
      <w:marBottom w:val="0"/>
      <w:divBdr>
        <w:top w:val="none" w:sz="0" w:space="0" w:color="auto"/>
        <w:left w:val="none" w:sz="0" w:space="0" w:color="auto"/>
        <w:bottom w:val="none" w:sz="0" w:space="0" w:color="auto"/>
        <w:right w:val="none" w:sz="0" w:space="0" w:color="auto"/>
      </w:divBdr>
    </w:div>
    <w:div w:id="170343380">
      <w:bodyDiv w:val="1"/>
      <w:marLeft w:val="0"/>
      <w:marRight w:val="0"/>
      <w:marTop w:val="0"/>
      <w:marBottom w:val="0"/>
      <w:divBdr>
        <w:top w:val="none" w:sz="0" w:space="0" w:color="auto"/>
        <w:left w:val="none" w:sz="0" w:space="0" w:color="auto"/>
        <w:bottom w:val="none" w:sz="0" w:space="0" w:color="auto"/>
        <w:right w:val="none" w:sz="0" w:space="0" w:color="auto"/>
      </w:divBdr>
    </w:div>
    <w:div w:id="179901336">
      <w:bodyDiv w:val="1"/>
      <w:marLeft w:val="0"/>
      <w:marRight w:val="0"/>
      <w:marTop w:val="0"/>
      <w:marBottom w:val="0"/>
      <w:divBdr>
        <w:top w:val="none" w:sz="0" w:space="0" w:color="auto"/>
        <w:left w:val="none" w:sz="0" w:space="0" w:color="auto"/>
        <w:bottom w:val="none" w:sz="0" w:space="0" w:color="auto"/>
        <w:right w:val="none" w:sz="0" w:space="0" w:color="auto"/>
      </w:divBdr>
    </w:div>
    <w:div w:id="182474036">
      <w:bodyDiv w:val="1"/>
      <w:marLeft w:val="0"/>
      <w:marRight w:val="0"/>
      <w:marTop w:val="0"/>
      <w:marBottom w:val="0"/>
      <w:divBdr>
        <w:top w:val="none" w:sz="0" w:space="0" w:color="auto"/>
        <w:left w:val="none" w:sz="0" w:space="0" w:color="auto"/>
        <w:bottom w:val="none" w:sz="0" w:space="0" w:color="auto"/>
        <w:right w:val="none" w:sz="0" w:space="0" w:color="auto"/>
      </w:divBdr>
    </w:div>
    <w:div w:id="186527587">
      <w:bodyDiv w:val="1"/>
      <w:marLeft w:val="0"/>
      <w:marRight w:val="0"/>
      <w:marTop w:val="0"/>
      <w:marBottom w:val="0"/>
      <w:divBdr>
        <w:top w:val="none" w:sz="0" w:space="0" w:color="auto"/>
        <w:left w:val="none" w:sz="0" w:space="0" w:color="auto"/>
        <w:bottom w:val="none" w:sz="0" w:space="0" w:color="auto"/>
        <w:right w:val="none" w:sz="0" w:space="0" w:color="auto"/>
      </w:divBdr>
    </w:div>
    <w:div w:id="211969475">
      <w:bodyDiv w:val="1"/>
      <w:marLeft w:val="0"/>
      <w:marRight w:val="0"/>
      <w:marTop w:val="0"/>
      <w:marBottom w:val="0"/>
      <w:divBdr>
        <w:top w:val="none" w:sz="0" w:space="0" w:color="auto"/>
        <w:left w:val="none" w:sz="0" w:space="0" w:color="auto"/>
        <w:bottom w:val="none" w:sz="0" w:space="0" w:color="auto"/>
        <w:right w:val="none" w:sz="0" w:space="0" w:color="auto"/>
      </w:divBdr>
    </w:div>
    <w:div w:id="230581108">
      <w:bodyDiv w:val="1"/>
      <w:marLeft w:val="0"/>
      <w:marRight w:val="0"/>
      <w:marTop w:val="0"/>
      <w:marBottom w:val="0"/>
      <w:divBdr>
        <w:top w:val="none" w:sz="0" w:space="0" w:color="auto"/>
        <w:left w:val="none" w:sz="0" w:space="0" w:color="auto"/>
        <w:bottom w:val="none" w:sz="0" w:space="0" w:color="auto"/>
        <w:right w:val="none" w:sz="0" w:space="0" w:color="auto"/>
      </w:divBdr>
    </w:div>
    <w:div w:id="262227500">
      <w:bodyDiv w:val="1"/>
      <w:marLeft w:val="0"/>
      <w:marRight w:val="0"/>
      <w:marTop w:val="0"/>
      <w:marBottom w:val="0"/>
      <w:divBdr>
        <w:top w:val="none" w:sz="0" w:space="0" w:color="auto"/>
        <w:left w:val="none" w:sz="0" w:space="0" w:color="auto"/>
        <w:bottom w:val="none" w:sz="0" w:space="0" w:color="auto"/>
        <w:right w:val="none" w:sz="0" w:space="0" w:color="auto"/>
      </w:divBdr>
    </w:div>
    <w:div w:id="264776288">
      <w:bodyDiv w:val="1"/>
      <w:marLeft w:val="0"/>
      <w:marRight w:val="0"/>
      <w:marTop w:val="0"/>
      <w:marBottom w:val="0"/>
      <w:divBdr>
        <w:top w:val="none" w:sz="0" w:space="0" w:color="auto"/>
        <w:left w:val="none" w:sz="0" w:space="0" w:color="auto"/>
        <w:bottom w:val="none" w:sz="0" w:space="0" w:color="auto"/>
        <w:right w:val="none" w:sz="0" w:space="0" w:color="auto"/>
      </w:divBdr>
    </w:div>
    <w:div w:id="276253807">
      <w:bodyDiv w:val="1"/>
      <w:marLeft w:val="0"/>
      <w:marRight w:val="0"/>
      <w:marTop w:val="0"/>
      <w:marBottom w:val="0"/>
      <w:divBdr>
        <w:top w:val="none" w:sz="0" w:space="0" w:color="auto"/>
        <w:left w:val="none" w:sz="0" w:space="0" w:color="auto"/>
        <w:bottom w:val="none" w:sz="0" w:space="0" w:color="auto"/>
        <w:right w:val="none" w:sz="0" w:space="0" w:color="auto"/>
      </w:divBdr>
    </w:div>
    <w:div w:id="322591816">
      <w:bodyDiv w:val="1"/>
      <w:marLeft w:val="0"/>
      <w:marRight w:val="0"/>
      <w:marTop w:val="0"/>
      <w:marBottom w:val="0"/>
      <w:divBdr>
        <w:top w:val="none" w:sz="0" w:space="0" w:color="auto"/>
        <w:left w:val="none" w:sz="0" w:space="0" w:color="auto"/>
        <w:bottom w:val="none" w:sz="0" w:space="0" w:color="auto"/>
        <w:right w:val="none" w:sz="0" w:space="0" w:color="auto"/>
      </w:divBdr>
    </w:div>
    <w:div w:id="328288502">
      <w:bodyDiv w:val="1"/>
      <w:marLeft w:val="0"/>
      <w:marRight w:val="0"/>
      <w:marTop w:val="0"/>
      <w:marBottom w:val="0"/>
      <w:divBdr>
        <w:top w:val="none" w:sz="0" w:space="0" w:color="auto"/>
        <w:left w:val="none" w:sz="0" w:space="0" w:color="auto"/>
        <w:bottom w:val="none" w:sz="0" w:space="0" w:color="auto"/>
        <w:right w:val="none" w:sz="0" w:space="0" w:color="auto"/>
      </w:divBdr>
    </w:div>
    <w:div w:id="357706648">
      <w:bodyDiv w:val="1"/>
      <w:marLeft w:val="0"/>
      <w:marRight w:val="0"/>
      <w:marTop w:val="0"/>
      <w:marBottom w:val="0"/>
      <w:divBdr>
        <w:top w:val="none" w:sz="0" w:space="0" w:color="auto"/>
        <w:left w:val="none" w:sz="0" w:space="0" w:color="auto"/>
        <w:bottom w:val="none" w:sz="0" w:space="0" w:color="auto"/>
        <w:right w:val="none" w:sz="0" w:space="0" w:color="auto"/>
      </w:divBdr>
    </w:div>
    <w:div w:id="367073999">
      <w:bodyDiv w:val="1"/>
      <w:marLeft w:val="0"/>
      <w:marRight w:val="0"/>
      <w:marTop w:val="0"/>
      <w:marBottom w:val="0"/>
      <w:divBdr>
        <w:top w:val="none" w:sz="0" w:space="0" w:color="auto"/>
        <w:left w:val="none" w:sz="0" w:space="0" w:color="auto"/>
        <w:bottom w:val="none" w:sz="0" w:space="0" w:color="auto"/>
        <w:right w:val="none" w:sz="0" w:space="0" w:color="auto"/>
      </w:divBdr>
    </w:div>
    <w:div w:id="372929563">
      <w:bodyDiv w:val="1"/>
      <w:marLeft w:val="0"/>
      <w:marRight w:val="0"/>
      <w:marTop w:val="0"/>
      <w:marBottom w:val="0"/>
      <w:divBdr>
        <w:top w:val="none" w:sz="0" w:space="0" w:color="auto"/>
        <w:left w:val="none" w:sz="0" w:space="0" w:color="auto"/>
        <w:bottom w:val="none" w:sz="0" w:space="0" w:color="auto"/>
        <w:right w:val="none" w:sz="0" w:space="0" w:color="auto"/>
      </w:divBdr>
    </w:div>
    <w:div w:id="376509589">
      <w:bodyDiv w:val="1"/>
      <w:marLeft w:val="0"/>
      <w:marRight w:val="0"/>
      <w:marTop w:val="0"/>
      <w:marBottom w:val="0"/>
      <w:divBdr>
        <w:top w:val="none" w:sz="0" w:space="0" w:color="auto"/>
        <w:left w:val="none" w:sz="0" w:space="0" w:color="auto"/>
        <w:bottom w:val="none" w:sz="0" w:space="0" w:color="auto"/>
        <w:right w:val="none" w:sz="0" w:space="0" w:color="auto"/>
      </w:divBdr>
    </w:div>
    <w:div w:id="392656125">
      <w:bodyDiv w:val="1"/>
      <w:marLeft w:val="0"/>
      <w:marRight w:val="0"/>
      <w:marTop w:val="0"/>
      <w:marBottom w:val="0"/>
      <w:divBdr>
        <w:top w:val="none" w:sz="0" w:space="0" w:color="auto"/>
        <w:left w:val="none" w:sz="0" w:space="0" w:color="auto"/>
        <w:bottom w:val="none" w:sz="0" w:space="0" w:color="auto"/>
        <w:right w:val="none" w:sz="0" w:space="0" w:color="auto"/>
      </w:divBdr>
    </w:div>
    <w:div w:id="394818539">
      <w:bodyDiv w:val="1"/>
      <w:marLeft w:val="0"/>
      <w:marRight w:val="0"/>
      <w:marTop w:val="0"/>
      <w:marBottom w:val="0"/>
      <w:divBdr>
        <w:top w:val="none" w:sz="0" w:space="0" w:color="auto"/>
        <w:left w:val="none" w:sz="0" w:space="0" w:color="auto"/>
        <w:bottom w:val="none" w:sz="0" w:space="0" w:color="auto"/>
        <w:right w:val="none" w:sz="0" w:space="0" w:color="auto"/>
      </w:divBdr>
    </w:div>
    <w:div w:id="396706024">
      <w:bodyDiv w:val="1"/>
      <w:marLeft w:val="0"/>
      <w:marRight w:val="0"/>
      <w:marTop w:val="0"/>
      <w:marBottom w:val="0"/>
      <w:divBdr>
        <w:top w:val="none" w:sz="0" w:space="0" w:color="auto"/>
        <w:left w:val="none" w:sz="0" w:space="0" w:color="auto"/>
        <w:bottom w:val="none" w:sz="0" w:space="0" w:color="auto"/>
        <w:right w:val="none" w:sz="0" w:space="0" w:color="auto"/>
      </w:divBdr>
    </w:div>
    <w:div w:id="406459561">
      <w:bodyDiv w:val="1"/>
      <w:marLeft w:val="0"/>
      <w:marRight w:val="0"/>
      <w:marTop w:val="0"/>
      <w:marBottom w:val="0"/>
      <w:divBdr>
        <w:top w:val="none" w:sz="0" w:space="0" w:color="auto"/>
        <w:left w:val="none" w:sz="0" w:space="0" w:color="auto"/>
        <w:bottom w:val="none" w:sz="0" w:space="0" w:color="auto"/>
        <w:right w:val="none" w:sz="0" w:space="0" w:color="auto"/>
      </w:divBdr>
    </w:div>
    <w:div w:id="410467535">
      <w:bodyDiv w:val="1"/>
      <w:marLeft w:val="0"/>
      <w:marRight w:val="0"/>
      <w:marTop w:val="0"/>
      <w:marBottom w:val="0"/>
      <w:divBdr>
        <w:top w:val="none" w:sz="0" w:space="0" w:color="auto"/>
        <w:left w:val="none" w:sz="0" w:space="0" w:color="auto"/>
        <w:bottom w:val="none" w:sz="0" w:space="0" w:color="auto"/>
        <w:right w:val="none" w:sz="0" w:space="0" w:color="auto"/>
      </w:divBdr>
    </w:div>
    <w:div w:id="440758734">
      <w:bodyDiv w:val="1"/>
      <w:marLeft w:val="0"/>
      <w:marRight w:val="0"/>
      <w:marTop w:val="0"/>
      <w:marBottom w:val="0"/>
      <w:divBdr>
        <w:top w:val="none" w:sz="0" w:space="0" w:color="auto"/>
        <w:left w:val="none" w:sz="0" w:space="0" w:color="auto"/>
        <w:bottom w:val="none" w:sz="0" w:space="0" w:color="auto"/>
        <w:right w:val="none" w:sz="0" w:space="0" w:color="auto"/>
      </w:divBdr>
    </w:div>
    <w:div w:id="448087594">
      <w:bodyDiv w:val="1"/>
      <w:marLeft w:val="0"/>
      <w:marRight w:val="0"/>
      <w:marTop w:val="0"/>
      <w:marBottom w:val="0"/>
      <w:divBdr>
        <w:top w:val="none" w:sz="0" w:space="0" w:color="auto"/>
        <w:left w:val="none" w:sz="0" w:space="0" w:color="auto"/>
        <w:bottom w:val="none" w:sz="0" w:space="0" w:color="auto"/>
        <w:right w:val="none" w:sz="0" w:space="0" w:color="auto"/>
      </w:divBdr>
    </w:div>
    <w:div w:id="463742627">
      <w:bodyDiv w:val="1"/>
      <w:marLeft w:val="0"/>
      <w:marRight w:val="0"/>
      <w:marTop w:val="0"/>
      <w:marBottom w:val="0"/>
      <w:divBdr>
        <w:top w:val="none" w:sz="0" w:space="0" w:color="auto"/>
        <w:left w:val="none" w:sz="0" w:space="0" w:color="auto"/>
        <w:bottom w:val="none" w:sz="0" w:space="0" w:color="auto"/>
        <w:right w:val="none" w:sz="0" w:space="0" w:color="auto"/>
      </w:divBdr>
    </w:div>
    <w:div w:id="471941503">
      <w:bodyDiv w:val="1"/>
      <w:marLeft w:val="0"/>
      <w:marRight w:val="0"/>
      <w:marTop w:val="0"/>
      <w:marBottom w:val="0"/>
      <w:divBdr>
        <w:top w:val="none" w:sz="0" w:space="0" w:color="auto"/>
        <w:left w:val="none" w:sz="0" w:space="0" w:color="auto"/>
        <w:bottom w:val="none" w:sz="0" w:space="0" w:color="auto"/>
        <w:right w:val="none" w:sz="0" w:space="0" w:color="auto"/>
      </w:divBdr>
    </w:div>
    <w:div w:id="474370659">
      <w:bodyDiv w:val="1"/>
      <w:marLeft w:val="0"/>
      <w:marRight w:val="0"/>
      <w:marTop w:val="0"/>
      <w:marBottom w:val="0"/>
      <w:divBdr>
        <w:top w:val="none" w:sz="0" w:space="0" w:color="auto"/>
        <w:left w:val="none" w:sz="0" w:space="0" w:color="auto"/>
        <w:bottom w:val="none" w:sz="0" w:space="0" w:color="auto"/>
        <w:right w:val="none" w:sz="0" w:space="0" w:color="auto"/>
      </w:divBdr>
    </w:div>
    <w:div w:id="474689337">
      <w:bodyDiv w:val="1"/>
      <w:marLeft w:val="0"/>
      <w:marRight w:val="0"/>
      <w:marTop w:val="0"/>
      <w:marBottom w:val="0"/>
      <w:divBdr>
        <w:top w:val="none" w:sz="0" w:space="0" w:color="auto"/>
        <w:left w:val="none" w:sz="0" w:space="0" w:color="auto"/>
        <w:bottom w:val="none" w:sz="0" w:space="0" w:color="auto"/>
        <w:right w:val="none" w:sz="0" w:space="0" w:color="auto"/>
      </w:divBdr>
    </w:div>
    <w:div w:id="481048054">
      <w:bodyDiv w:val="1"/>
      <w:marLeft w:val="0"/>
      <w:marRight w:val="0"/>
      <w:marTop w:val="0"/>
      <w:marBottom w:val="0"/>
      <w:divBdr>
        <w:top w:val="none" w:sz="0" w:space="0" w:color="auto"/>
        <w:left w:val="none" w:sz="0" w:space="0" w:color="auto"/>
        <w:bottom w:val="none" w:sz="0" w:space="0" w:color="auto"/>
        <w:right w:val="none" w:sz="0" w:space="0" w:color="auto"/>
      </w:divBdr>
    </w:div>
    <w:div w:id="508566582">
      <w:bodyDiv w:val="1"/>
      <w:marLeft w:val="0"/>
      <w:marRight w:val="0"/>
      <w:marTop w:val="0"/>
      <w:marBottom w:val="0"/>
      <w:divBdr>
        <w:top w:val="none" w:sz="0" w:space="0" w:color="auto"/>
        <w:left w:val="none" w:sz="0" w:space="0" w:color="auto"/>
        <w:bottom w:val="none" w:sz="0" w:space="0" w:color="auto"/>
        <w:right w:val="none" w:sz="0" w:space="0" w:color="auto"/>
      </w:divBdr>
    </w:div>
    <w:div w:id="520120815">
      <w:bodyDiv w:val="1"/>
      <w:marLeft w:val="0"/>
      <w:marRight w:val="0"/>
      <w:marTop w:val="0"/>
      <w:marBottom w:val="0"/>
      <w:divBdr>
        <w:top w:val="none" w:sz="0" w:space="0" w:color="auto"/>
        <w:left w:val="none" w:sz="0" w:space="0" w:color="auto"/>
        <w:bottom w:val="none" w:sz="0" w:space="0" w:color="auto"/>
        <w:right w:val="none" w:sz="0" w:space="0" w:color="auto"/>
      </w:divBdr>
    </w:div>
    <w:div w:id="523712958">
      <w:bodyDiv w:val="1"/>
      <w:marLeft w:val="0"/>
      <w:marRight w:val="0"/>
      <w:marTop w:val="0"/>
      <w:marBottom w:val="0"/>
      <w:divBdr>
        <w:top w:val="none" w:sz="0" w:space="0" w:color="auto"/>
        <w:left w:val="none" w:sz="0" w:space="0" w:color="auto"/>
        <w:bottom w:val="none" w:sz="0" w:space="0" w:color="auto"/>
        <w:right w:val="none" w:sz="0" w:space="0" w:color="auto"/>
      </w:divBdr>
    </w:div>
    <w:div w:id="534973841">
      <w:bodyDiv w:val="1"/>
      <w:marLeft w:val="0"/>
      <w:marRight w:val="0"/>
      <w:marTop w:val="0"/>
      <w:marBottom w:val="0"/>
      <w:divBdr>
        <w:top w:val="none" w:sz="0" w:space="0" w:color="auto"/>
        <w:left w:val="none" w:sz="0" w:space="0" w:color="auto"/>
        <w:bottom w:val="none" w:sz="0" w:space="0" w:color="auto"/>
        <w:right w:val="none" w:sz="0" w:space="0" w:color="auto"/>
      </w:divBdr>
    </w:div>
    <w:div w:id="563639233">
      <w:bodyDiv w:val="1"/>
      <w:marLeft w:val="0"/>
      <w:marRight w:val="0"/>
      <w:marTop w:val="0"/>
      <w:marBottom w:val="0"/>
      <w:divBdr>
        <w:top w:val="none" w:sz="0" w:space="0" w:color="auto"/>
        <w:left w:val="none" w:sz="0" w:space="0" w:color="auto"/>
        <w:bottom w:val="none" w:sz="0" w:space="0" w:color="auto"/>
        <w:right w:val="none" w:sz="0" w:space="0" w:color="auto"/>
      </w:divBdr>
    </w:div>
    <w:div w:id="582957700">
      <w:bodyDiv w:val="1"/>
      <w:marLeft w:val="0"/>
      <w:marRight w:val="0"/>
      <w:marTop w:val="0"/>
      <w:marBottom w:val="0"/>
      <w:divBdr>
        <w:top w:val="none" w:sz="0" w:space="0" w:color="auto"/>
        <w:left w:val="none" w:sz="0" w:space="0" w:color="auto"/>
        <w:bottom w:val="none" w:sz="0" w:space="0" w:color="auto"/>
        <w:right w:val="none" w:sz="0" w:space="0" w:color="auto"/>
      </w:divBdr>
    </w:div>
    <w:div w:id="605573813">
      <w:bodyDiv w:val="1"/>
      <w:marLeft w:val="0"/>
      <w:marRight w:val="0"/>
      <w:marTop w:val="0"/>
      <w:marBottom w:val="0"/>
      <w:divBdr>
        <w:top w:val="none" w:sz="0" w:space="0" w:color="auto"/>
        <w:left w:val="none" w:sz="0" w:space="0" w:color="auto"/>
        <w:bottom w:val="none" w:sz="0" w:space="0" w:color="auto"/>
        <w:right w:val="none" w:sz="0" w:space="0" w:color="auto"/>
      </w:divBdr>
    </w:div>
    <w:div w:id="606548404">
      <w:bodyDiv w:val="1"/>
      <w:marLeft w:val="0"/>
      <w:marRight w:val="0"/>
      <w:marTop w:val="0"/>
      <w:marBottom w:val="0"/>
      <w:divBdr>
        <w:top w:val="none" w:sz="0" w:space="0" w:color="auto"/>
        <w:left w:val="none" w:sz="0" w:space="0" w:color="auto"/>
        <w:bottom w:val="none" w:sz="0" w:space="0" w:color="auto"/>
        <w:right w:val="none" w:sz="0" w:space="0" w:color="auto"/>
      </w:divBdr>
    </w:div>
    <w:div w:id="614871063">
      <w:bodyDiv w:val="1"/>
      <w:marLeft w:val="0"/>
      <w:marRight w:val="0"/>
      <w:marTop w:val="0"/>
      <w:marBottom w:val="0"/>
      <w:divBdr>
        <w:top w:val="none" w:sz="0" w:space="0" w:color="auto"/>
        <w:left w:val="none" w:sz="0" w:space="0" w:color="auto"/>
        <w:bottom w:val="none" w:sz="0" w:space="0" w:color="auto"/>
        <w:right w:val="none" w:sz="0" w:space="0" w:color="auto"/>
      </w:divBdr>
    </w:div>
    <w:div w:id="621301787">
      <w:bodyDiv w:val="1"/>
      <w:marLeft w:val="0"/>
      <w:marRight w:val="0"/>
      <w:marTop w:val="0"/>
      <w:marBottom w:val="0"/>
      <w:divBdr>
        <w:top w:val="none" w:sz="0" w:space="0" w:color="auto"/>
        <w:left w:val="none" w:sz="0" w:space="0" w:color="auto"/>
        <w:bottom w:val="none" w:sz="0" w:space="0" w:color="auto"/>
        <w:right w:val="none" w:sz="0" w:space="0" w:color="auto"/>
      </w:divBdr>
    </w:div>
    <w:div w:id="624581929">
      <w:bodyDiv w:val="1"/>
      <w:marLeft w:val="0"/>
      <w:marRight w:val="0"/>
      <w:marTop w:val="0"/>
      <w:marBottom w:val="0"/>
      <w:divBdr>
        <w:top w:val="none" w:sz="0" w:space="0" w:color="auto"/>
        <w:left w:val="none" w:sz="0" w:space="0" w:color="auto"/>
        <w:bottom w:val="none" w:sz="0" w:space="0" w:color="auto"/>
        <w:right w:val="none" w:sz="0" w:space="0" w:color="auto"/>
      </w:divBdr>
    </w:div>
    <w:div w:id="628127101">
      <w:bodyDiv w:val="1"/>
      <w:marLeft w:val="0"/>
      <w:marRight w:val="0"/>
      <w:marTop w:val="0"/>
      <w:marBottom w:val="0"/>
      <w:divBdr>
        <w:top w:val="none" w:sz="0" w:space="0" w:color="auto"/>
        <w:left w:val="none" w:sz="0" w:space="0" w:color="auto"/>
        <w:bottom w:val="none" w:sz="0" w:space="0" w:color="auto"/>
        <w:right w:val="none" w:sz="0" w:space="0" w:color="auto"/>
      </w:divBdr>
    </w:div>
    <w:div w:id="629018625">
      <w:bodyDiv w:val="1"/>
      <w:marLeft w:val="0"/>
      <w:marRight w:val="0"/>
      <w:marTop w:val="0"/>
      <w:marBottom w:val="0"/>
      <w:divBdr>
        <w:top w:val="none" w:sz="0" w:space="0" w:color="auto"/>
        <w:left w:val="none" w:sz="0" w:space="0" w:color="auto"/>
        <w:bottom w:val="none" w:sz="0" w:space="0" w:color="auto"/>
        <w:right w:val="none" w:sz="0" w:space="0" w:color="auto"/>
      </w:divBdr>
    </w:div>
    <w:div w:id="650409054">
      <w:bodyDiv w:val="1"/>
      <w:marLeft w:val="0"/>
      <w:marRight w:val="0"/>
      <w:marTop w:val="0"/>
      <w:marBottom w:val="0"/>
      <w:divBdr>
        <w:top w:val="none" w:sz="0" w:space="0" w:color="auto"/>
        <w:left w:val="none" w:sz="0" w:space="0" w:color="auto"/>
        <w:bottom w:val="none" w:sz="0" w:space="0" w:color="auto"/>
        <w:right w:val="none" w:sz="0" w:space="0" w:color="auto"/>
      </w:divBdr>
    </w:div>
    <w:div w:id="663627341">
      <w:bodyDiv w:val="1"/>
      <w:marLeft w:val="0"/>
      <w:marRight w:val="0"/>
      <w:marTop w:val="0"/>
      <w:marBottom w:val="0"/>
      <w:divBdr>
        <w:top w:val="none" w:sz="0" w:space="0" w:color="auto"/>
        <w:left w:val="none" w:sz="0" w:space="0" w:color="auto"/>
        <w:bottom w:val="none" w:sz="0" w:space="0" w:color="auto"/>
        <w:right w:val="none" w:sz="0" w:space="0" w:color="auto"/>
      </w:divBdr>
    </w:div>
    <w:div w:id="684676646">
      <w:bodyDiv w:val="1"/>
      <w:marLeft w:val="0"/>
      <w:marRight w:val="0"/>
      <w:marTop w:val="0"/>
      <w:marBottom w:val="0"/>
      <w:divBdr>
        <w:top w:val="none" w:sz="0" w:space="0" w:color="auto"/>
        <w:left w:val="none" w:sz="0" w:space="0" w:color="auto"/>
        <w:bottom w:val="none" w:sz="0" w:space="0" w:color="auto"/>
        <w:right w:val="none" w:sz="0" w:space="0" w:color="auto"/>
      </w:divBdr>
    </w:div>
    <w:div w:id="690650182">
      <w:bodyDiv w:val="1"/>
      <w:marLeft w:val="0"/>
      <w:marRight w:val="0"/>
      <w:marTop w:val="0"/>
      <w:marBottom w:val="0"/>
      <w:divBdr>
        <w:top w:val="none" w:sz="0" w:space="0" w:color="auto"/>
        <w:left w:val="none" w:sz="0" w:space="0" w:color="auto"/>
        <w:bottom w:val="none" w:sz="0" w:space="0" w:color="auto"/>
        <w:right w:val="none" w:sz="0" w:space="0" w:color="auto"/>
      </w:divBdr>
    </w:div>
    <w:div w:id="699942029">
      <w:bodyDiv w:val="1"/>
      <w:marLeft w:val="0"/>
      <w:marRight w:val="0"/>
      <w:marTop w:val="0"/>
      <w:marBottom w:val="0"/>
      <w:divBdr>
        <w:top w:val="none" w:sz="0" w:space="0" w:color="auto"/>
        <w:left w:val="none" w:sz="0" w:space="0" w:color="auto"/>
        <w:bottom w:val="none" w:sz="0" w:space="0" w:color="auto"/>
        <w:right w:val="none" w:sz="0" w:space="0" w:color="auto"/>
      </w:divBdr>
    </w:div>
    <w:div w:id="735322790">
      <w:bodyDiv w:val="1"/>
      <w:marLeft w:val="0"/>
      <w:marRight w:val="0"/>
      <w:marTop w:val="0"/>
      <w:marBottom w:val="0"/>
      <w:divBdr>
        <w:top w:val="none" w:sz="0" w:space="0" w:color="auto"/>
        <w:left w:val="none" w:sz="0" w:space="0" w:color="auto"/>
        <w:bottom w:val="none" w:sz="0" w:space="0" w:color="auto"/>
        <w:right w:val="none" w:sz="0" w:space="0" w:color="auto"/>
      </w:divBdr>
    </w:div>
    <w:div w:id="753010844">
      <w:bodyDiv w:val="1"/>
      <w:marLeft w:val="0"/>
      <w:marRight w:val="0"/>
      <w:marTop w:val="0"/>
      <w:marBottom w:val="0"/>
      <w:divBdr>
        <w:top w:val="none" w:sz="0" w:space="0" w:color="auto"/>
        <w:left w:val="none" w:sz="0" w:space="0" w:color="auto"/>
        <w:bottom w:val="none" w:sz="0" w:space="0" w:color="auto"/>
        <w:right w:val="none" w:sz="0" w:space="0" w:color="auto"/>
      </w:divBdr>
    </w:div>
    <w:div w:id="759133464">
      <w:bodyDiv w:val="1"/>
      <w:marLeft w:val="0"/>
      <w:marRight w:val="0"/>
      <w:marTop w:val="0"/>
      <w:marBottom w:val="0"/>
      <w:divBdr>
        <w:top w:val="none" w:sz="0" w:space="0" w:color="auto"/>
        <w:left w:val="none" w:sz="0" w:space="0" w:color="auto"/>
        <w:bottom w:val="none" w:sz="0" w:space="0" w:color="auto"/>
        <w:right w:val="none" w:sz="0" w:space="0" w:color="auto"/>
      </w:divBdr>
    </w:div>
    <w:div w:id="774204030">
      <w:bodyDiv w:val="1"/>
      <w:marLeft w:val="0"/>
      <w:marRight w:val="0"/>
      <w:marTop w:val="0"/>
      <w:marBottom w:val="0"/>
      <w:divBdr>
        <w:top w:val="none" w:sz="0" w:space="0" w:color="auto"/>
        <w:left w:val="none" w:sz="0" w:space="0" w:color="auto"/>
        <w:bottom w:val="none" w:sz="0" w:space="0" w:color="auto"/>
        <w:right w:val="none" w:sz="0" w:space="0" w:color="auto"/>
      </w:divBdr>
    </w:div>
    <w:div w:id="784271640">
      <w:bodyDiv w:val="1"/>
      <w:marLeft w:val="0"/>
      <w:marRight w:val="0"/>
      <w:marTop w:val="0"/>
      <w:marBottom w:val="0"/>
      <w:divBdr>
        <w:top w:val="none" w:sz="0" w:space="0" w:color="auto"/>
        <w:left w:val="none" w:sz="0" w:space="0" w:color="auto"/>
        <w:bottom w:val="none" w:sz="0" w:space="0" w:color="auto"/>
        <w:right w:val="none" w:sz="0" w:space="0" w:color="auto"/>
      </w:divBdr>
    </w:div>
    <w:div w:id="793790936">
      <w:bodyDiv w:val="1"/>
      <w:marLeft w:val="0"/>
      <w:marRight w:val="0"/>
      <w:marTop w:val="0"/>
      <w:marBottom w:val="0"/>
      <w:divBdr>
        <w:top w:val="none" w:sz="0" w:space="0" w:color="auto"/>
        <w:left w:val="none" w:sz="0" w:space="0" w:color="auto"/>
        <w:bottom w:val="none" w:sz="0" w:space="0" w:color="auto"/>
        <w:right w:val="none" w:sz="0" w:space="0" w:color="auto"/>
      </w:divBdr>
    </w:div>
    <w:div w:id="805855984">
      <w:bodyDiv w:val="1"/>
      <w:marLeft w:val="0"/>
      <w:marRight w:val="0"/>
      <w:marTop w:val="0"/>
      <w:marBottom w:val="0"/>
      <w:divBdr>
        <w:top w:val="none" w:sz="0" w:space="0" w:color="auto"/>
        <w:left w:val="none" w:sz="0" w:space="0" w:color="auto"/>
        <w:bottom w:val="none" w:sz="0" w:space="0" w:color="auto"/>
        <w:right w:val="none" w:sz="0" w:space="0" w:color="auto"/>
      </w:divBdr>
    </w:div>
    <w:div w:id="807894753">
      <w:bodyDiv w:val="1"/>
      <w:marLeft w:val="0"/>
      <w:marRight w:val="0"/>
      <w:marTop w:val="0"/>
      <w:marBottom w:val="0"/>
      <w:divBdr>
        <w:top w:val="none" w:sz="0" w:space="0" w:color="auto"/>
        <w:left w:val="none" w:sz="0" w:space="0" w:color="auto"/>
        <w:bottom w:val="none" w:sz="0" w:space="0" w:color="auto"/>
        <w:right w:val="none" w:sz="0" w:space="0" w:color="auto"/>
      </w:divBdr>
    </w:div>
    <w:div w:id="816411807">
      <w:bodyDiv w:val="1"/>
      <w:marLeft w:val="0"/>
      <w:marRight w:val="0"/>
      <w:marTop w:val="0"/>
      <w:marBottom w:val="0"/>
      <w:divBdr>
        <w:top w:val="none" w:sz="0" w:space="0" w:color="auto"/>
        <w:left w:val="none" w:sz="0" w:space="0" w:color="auto"/>
        <w:bottom w:val="none" w:sz="0" w:space="0" w:color="auto"/>
        <w:right w:val="none" w:sz="0" w:space="0" w:color="auto"/>
      </w:divBdr>
    </w:div>
    <w:div w:id="841775280">
      <w:bodyDiv w:val="1"/>
      <w:marLeft w:val="0"/>
      <w:marRight w:val="0"/>
      <w:marTop w:val="0"/>
      <w:marBottom w:val="0"/>
      <w:divBdr>
        <w:top w:val="none" w:sz="0" w:space="0" w:color="auto"/>
        <w:left w:val="none" w:sz="0" w:space="0" w:color="auto"/>
        <w:bottom w:val="none" w:sz="0" w:space="0" w:color="auto"/>
        <w:right w:val="none" w:sz="0" w:space="0" w:color="auto"/>
      </w:divBdr>
    </w:div>
    <w:div w:id="857231138">
      <w:bodyDiv w:val="1"/>
      <w:marLeft w:val="0"/>
      <w:marRight w:val="0"/>
      <w:marTop w:val="0"/>
      <w:marBottom w:val="0"/>
      <w:divBdr>
        <w:top w:val="none" w:sz="0" w:space="0" w:color="auto"/>
        <w:left w:val="none" w:sz="0" w:space="0" w:color="auto"/>
        <w:bottom w:val="none" w:sz="0" w:space="0" w:color="auto"/>
        <w:right w:val="none" w:sz="0" w:space="0" w:color="auto"/>
      </w:divBdr>
    </w:div>
    <w:div w:id="881138450">
      <w:bodyDiv w:val="1"/>
      <w:marLeft w:val="0"/>
      <w:marRight w:val="0"/>
      <w:marTop w:val="0"/>
      <w:marBottom w:val="0"/>
      <w:divBdr>
        <w:top w:val="none" w:sz="0" w:space="0" w:color="auto"/>
        <w:left w:val="none" w:sz="0" w:space="0" w:color="auto"/>
        <w:bottom w:val="none" w:sz="0" w:space="0" w:color="auto"/>
        <w:right w:val="none" w:sz="0" w:space="0" w:color="auto"/>
      </w:divBdr>
    </w:div>
    <w:div w:id="883371092">
      <w:bodyDiv w:val="1"/>
      <w:marLeft w:val="0"/>
      <w:marRight w:val="0"/>
      <w:marTop w:val="0"/>
      <w:marBottom w:val="0"/>
      <w:divBdr>
        <w:top w:val="none" w:sz="0" w:space="0" w:color="auto"/>
        <w:left w:val="none" w:sz="0" w:space="0" w:color="auto"/>
        <w:bottom w:val="none" w:sz="0" w:space="0" w:color="auto"/>
        <w:right w:val="none" w:sz="0" w:space="0" w:color="auto"/>
      </w:divBdr>
    </w:div>
    <w:div w:id="895554576">
      <w:bodyDiv w:val="1"/>
      <w:marLeft w:val="0"/>
      <w:marRight w:val="0"/>
      <w:marTop w:val="0"/>
      <w:marBottom w:val="0"/>
      <w:divBdr>
        <w:top w:val="none" w:sz="0" w:space="0" w:color="auto"/>
        <w:left w:val="none" w:sz="0" w:space="0" w:color="auto"/>
        <w:bottom w:val="none" w:sz="0" w:space="0" w:color="auto"/>
        <w:right w:val="none" w:sz="0" w:space="0" w:color="auto"/>
      </w:divBdr>
    </w:div>
    <w:div w:id="920338181">
      <w:bodyDiv w:val="1"/>
      <w:marLeft w:val="0"/>
      <w:marRight w:val="0"/>
      <w:marTop w:val="0"/>
      <w:marBottom w:val="0"/>
      <w:divBdr>
        <w:top w:val="none" w:sz="0" w:space="0" w:color="auto"/>
        <w:left w:val="none" w:sz="0" w:space="0" w:color="auto"/>
        <w:bottom w:val="none" w:sz="0" w:space="0" w:color="auto"/>
        <w:right w:val="none" w:sz="0" w:space="0" w:color="auto"/>
      </w:divBdr>
    </w:div>
    <w:div w:id="936057874">
      <w:bodyDiv w:val="1"/>
      <w:marLeft w:val="0"/>
      <w:marRight w:val="0"/>
      <w:marTop w:val="0"/>
      <w:marBottom w:val="0"/>
      <w:divBdr>
        <w:top w:val="none" w:sz="0" w:space="0" w:color="auto"/>
        <w:left w:val="none" w:sz="0" w:space="0" w:color="auto"/>
        <w:bottom w:val="none" w:sz="0" w:space="0" w:color="auto"/>
        <w:right w:val="none" w:sz="0" w:space="0" w:color="auto"/>
      </w:divBdr>
    </w:div>
    <w:div w:id="936910428">
      <w:bodyDiv w:val="1"/>
      <w:marLeft w:val="0"/>
      <w:marRight w:val="0"/>
      <w:marTop w:val="0"/>
      <w:marBottom w:val="0"/>
      <w:divBdr>
        <w:top w:val="none" w:sz="0" w:space="0" w:color="auto"/>
        <w:left w:val="none" w:sz="0" w:space="0" w:color="auto"/>
        <w:bottom w:val="none" w:sz="0" w:space="0" w:color="auto"/>
        <w:right w:val="none" w:sz="0" w:space="0" w:color="auto"/>
      </w:divBdr>
    </w:div>
    <w:div w:id="945699119">
      <w:bodyDiv w:val="1"/>
      <w:marLeft w:val="0"/>
      <w:marRight w:val="0"/>
      <w:marTop w:val="0"/>
      <w:marBottom w:val="0"/>
      <w:divBdr>
        <w:top w:val="none" w:sz="0" w:space="0" w:color="auto"/>
        <w:left w:val="none" w:sz="0" w:space="0" w:color="auto"/>
        <w:bottom w:val="none" w:sz="0" w:space="0" w:color="auto"/>
        <w:right w:val="none" w:sz="0" w:space="0" w:color="auto"/>
      </w:divBdr>
    </w:div>
    <w:div w:id="946814245">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75986141">
      <w:bodyDiv w:val="1"/>
      <w:marLeft w:val="0"/>
      <w:marRight w:val="0"/>
      <w:marTop w:val="0"/>
      <w:marBottom w:val="0"/>
      <w:divBdr>
        <w:top w:val="none" w:sz="0" w:space="0" w:color="auto"/>
        <w:left w:val="none" w:sz="0" w:space="0" w:color="auto"/>
        <w:bottom w:val="none" w:sz="0" w:space="0" w:color="auto"/>
        <w:right w:val="none" w:sz="0" w:space="0" w:color="auto"/>
      </w:divBdr>
    </w:div>
    <w:div w:id="1056592090">
      <w:bodyDiv w:val="1"/>
      <w:marLeft w:val="0"/>
      <w:marRight w:val="0"/>
      <w:marTop w:val="0"/>
      <w:marBottom w:val="0"/>
      <w:divBdr>
        <w:top w:val="none" w:sz="0" w:space="0" w:color="auto"/>
        <w:left w:val="none" w:sz="0" w:space="0" w:color="auto"/>
        <w:bottom w:val="none" w:sz="0" w:space="0" w:color="auto"/>
        <w:right w:val="none" w:sz="0" w:space="0" w:color="auto"/>
      </w:divBdr>
    </w:div>
    <w:div w:id="1060707470">
      <w:bodyDiv w:val="1"/>
      <w:marLeft w:val="0"/>
      <w:marRight w:val="0"/>
      <w:marTop w:val="0"/>
      <w:marBottom w:val="0"/>
      <w:divBdr>
        <w:top w:val="none" w:sz="0" w:space="0" w:color="auto"/>
        <w:left w:val="none" w:sz="0" w:space="0" w:color="auto"/>
        <w:bottom w:val="none" w:sz="0" w:space="0" w:color="auto"/>
        <w:right w:val="none" w:sz="0" w:space="0" w:color="auto"/>
      </w:divBdr>
    </w:div>
    <w:div w:id="1067267062">
      <w:bodyDiv w:val="1"/>
      <w:marLeft w:val="0"/>
      <w:marRight w:val="0"/>
      <w:marTop w:val="0"/>
      <w:marBottom w:val="0"/>
      <w:divBdr>
        <w:top w:val="none" w:sz="0" w:space="0" w:color="auto"/>
        <w:left w:val="none" w:sz="0" w:space="0" w:color="auto"/>
        <w:bottom w:val="none" w:sz="0" w:space="0" w:color="auto"/>
        <w:right w:val="none" w:sz="0" w:space="0" w:color="auto"/>
      </w:divBdr>
    </w:div>
    <w:div w:id="1069108470">
      <w:bodyDiv w:val="1"/>
      <w:marLeft w:val="0"/>
      <w:marRight w:val="0"/>
      <w:marTop w:val="0"/>
      <w:marBottom w:val="0"/>
      <w:divBdr>
        <w:top w:val="none" w:sz="0" w:space="0" w:color="auto"/>
        <w:left w:val="none" w:sz="0" w:space="0" w:color="auto"/>
        <w:bottom w:val="none" w:sz="0" w:space="0" w:color="auto"/>
        <w:right w:val="none" w:sz="0" w:space="0" w:color="auto"/>
      </w:divBdr>
    </w:div>
    <w:div w:id="1070885044">
      <w:bodyDiv w:val="1"/>
      <w:marLeft w:val="0"/>
      <w:marRight w:val="0"/>
      <w:marTop w:val="0"/>
      <w:marBottom w:val="0"/>
      <w:divBdr>
        <w:top w:val="none" w:sz="0" w:space="0" w:color="auto"/>
        <w:left w:val="none" w:sz="0" w:space="0" w:color="auto"/>
        <w:bottom w:val="none" w:sz="0" w:space="0" w:color="auto"/>
        <w:right w:val="none" w:sz="0" w:space="0" w:color="auto"/>
      </w:divBdr>
    </w:div>
    <w:div w:id="1077022198">
      <w:bodyDiv w:val="1"/>
      <w:marLeft w:val="0"/>
      <w:marRight w:val="0"/>
      <w:marTop w:val="0"/>
      <w:marBottom w:val="0"/>
      <w:divBdr>
        <w:top w:val="none" w:sz="0" w:space="0" w:color="auto"/>
        <w:left w:val="none" w:sz="0" w:space="0" w:color="auto"/>
        <w:bottom w:val="none" w:sz="0" w:space="0" w:color="auto"/>
        <w:right w:val="none" w:sz="0" w:space="0" w:color="auto"/>
      </w:divBdr>
    </w:div>
    <w:div w:id="1128159993">
      <w:bodyDiv w:val="1"/>
      <w:marLeft w:val="0"/>
      <w:marRight w:val="0"/>
      <w:marTop w:val="0"/>
      <w:marBottom w:val="0"/>
      <w:divBdr>
        <w:top w:val="none" w:sz="0" w:space="0" w:color="auto"/>
        <w:left w:val="none" w:sz="0" w:space="0" w:color="auto"/>
        <w:bottom w:val="none" w:sz="0" w:space="0" w:color="auto"/>
        <w:right w:val="none" w:sz="0" w:space="0" w:color="auto"/>
      </w:divBdr>
    </w:div>
    <w:div w:id="1137188558">
      <w:bodyDiv w:val="1"/>
      <w:marLeft w:val="0"/>
      <w:marRight w:val="0"/>
      <w:marTop w:val="0"/>
      <w:marBottom w:val="0"/>
      <w:divBdr>
        <w:top w:val="none" w:sz="0" w:space="0" w:color="auto"/>
        <w:left w:val="none" w:sz="0" w:space="0" w:color="auto"/>
        <w:bottom w:val="none" w:sz="0" w:space="0" w:color="auto"/>
        <w:right w:val="none" w:sz="0" w:space="0" w:color="auto"/>
      </w:divBdr>
    </w:div>
    <w:div w:id="1150369204">
      <w:bodyDiv w:val="1"/>
      <w:marLeft w:val="0"/>
      <w:marRight w:val="0"/>
      <w:marTop w:val="0"/>
      <w:marBottom w:val="0"/>
      <w:divBdr>
        <w:top w:val="none" w:sz="0" w:space="0" w:color="auto"/>
        <w:left w:val="none" w:sz="0" w:space="0" w:color="auto"/>
        <w:bottom w:val="none" w:sz="0" w:space="0" w:color="auto"/>
        <w:right w:val="none" w:sz="0" w:space="0" w:color="auto"/>
      </w:divBdr>
    </w:div>
    <w:div w:id="1151366045">
      <w:bodyDiv w:val="1"/>
      <w:marLeft w:val="0"/>
      <w:marRight w:val="0"/>
      <w:marTop w:val="0"/>
      <w:marBottom w:val="0"/>
      <w:divBdr>
        <w:top w:val="none" w:sz="0" w:space="0" w:color="auto"/>
        <w:left w:val="none" w:sz="0" w:space="0" w:color="auto"/>
        <w:bottom w:val="none" w:sz="0" w:space="0" w:color="auto"/>
        <w:right w:val="none" w:sz="0" w:space="0" w:color="auto"/>
      </w:divBdr>
    </w:div>
    <w:div w:id="1154637461">
      <w:bodyDiv w:val="1"/>
      <w:marLeft w:val="0"/>
      <w:marRight w:val="0"/>
      <w:marTop w:val="0"/>
      <w:marBottom w:val="0"/>
      <w:divBdr>
        <w:top w:val="none" w:sz="0" w:space="0" w:color="auto"/>
        <w:left w:val="none" w:sz="0" w:space="0" w:color="auto"/>
        <w:bottom w:val="none" w:sz="0" w:space="0" w:color="auto"/>
        <w:right w:val="none" w:sz="0" w:space="0" w:color="auto"/>
      </w:divBdr>
    </w:div>
    <w:div w:id="1190410823">
      <w:bodyDiv w:val="1"/>
      <w:marLeft w:val="0"/>
      <w:marRight w:val="0"/>
      <w:marTop w:val="0"/>
      <w:marBottom w:val="0"/>
      <w:divBdr>
        <w:top w:val="none" w:sz="0" w:space="0" w:color="auto"/>
        <w:left w:val="none" w:sz="0" w:space="0" w:color="auto"/>
        <w:bottom w:val="none" w:sz="0" w:space="0" w:color="auto"/>
        <w:right w:val="none" w:sz="0" w:space="0" w:color="auto"/>
      </w:divBdr>
    </w:div>
    <w:div w:id="1208684452">
      <w:bodyDiv w:val="1"/>
      <w:marLeft w:val="0"/>
      <w:marRight w:val="0"/>
      <w:marTop w:val="0"/>
      <w:marBottom w:val="0"/>
      <w:divBdr>
        <w:top w:val="none" w:sz="0" w:space="0" w:color="auto"/>
        <w:left w:val="none" w:sz="0" w:space="0" w:color="auto"/>
        <w:bottom w:val="none" w:sz="0" w:space="0" w:color="auto"/>
        <w:right w:val="none" w:sz="0" w:space="0" w:color="auto"/>
      </w:divBdr>
    </w:div>
    <w:div w:id="1212113082">
      <w:bodyDiv w:val="1"/>
      <w:marLeft w:val="0"/>
      <w:marRight w:val="0"/>
      <w:marTop w:val="0"/>
      <w:marBottom w:val="0"/>
      <w:divBdr>
        <w:top w:val="none" w:sz="0" w:space="0" w:color="auto"/>
        <w:left w:val="none" w:sz="0" w:space="0" w:color="auto"/>
        <w:bottom w:val="none" w:sz="0" w:space="0" w:color="auto"/>
        <w:right w:val="none" w:sz="0" w:space="0" w:color="auto"/>
      </w:divBdr>
    </w:div>
    <w:div w:id="1215504663">
      <w:bodyDiv w:val="1"/>
      <w:marLeft w:val="0"/>
      <w:marRight w:val="0"/>
      <w:marTop w:val="0"/>
      <w:marBottom w:val="0"/>
      <w:divBdr>
        <w:top w:val="none" w:sz="0" w:space="0" w:color="auto"/>
        <w:left w:val="none" w:sz="0" w:space="0" w:color="auto"/>
        <w:bottom w:val="none" w:sz="0" w:space="0" w:color="auto"/>
        <w:right w:val="none" w:sz="0" w:space="0" w:color="auto"/>
      </w:divBdr>
    </w:div>
    <w:div w:id="1250121974">
      <w:bodyDiv w:val="1"/>
      <w:marLeft w:val="0"/>
      <w:marRight w:val="0"/>
      <w:marTop w:val="0"/>
      <w:marBottom w:val="0"/>
      <w:divBdr>
        <w:top w:val="none" w:sz="0" w:space="0" w:color="auto"/>
        <w:left w:val="none" w:sz="0" w:space="0" w:color="auto"/>
        <w:bottom w:val="none" w:sz="0" w:space="0" w:color="auto"/>
        <w:right w:val="none" w:sz="0" w:space="0" w:color="auto"/>
      </w:divBdr>
    </w:div>
    <w:div w:id="1280335704">
      <w:bodyDiv w:val="1"/>
      <w:marLeft w:val="0"/>
      <w:marRight w:val="0"/>
      <w:marTop w:val="0"/>
      <w:marBottom w:val="0"/>
      <w:divBdr>
        <w:top w:val="none" w:sz="0" w:space="0" w:color="auto"/>
        <w:left w:val="none" w:sz="0" w:space="0" w:color="auto"/>
        <w:bottom w:val="none" w:sz="0" w:space="0" w:color="auto"/>
        <w:right w:val="none" w:sz="0" w:space="0" w:color="auto"/>
      </w:divBdr>
    </w:div>
    <w:div w:id="1280915385">
      <w:bodyDiv w:val="1"/>
      <w:marLeft w:val="0"/>
      <w:marRight w:val="0"/>
      <w:marTop w:val="0"/>
      <w:marBottom w:val="0"/>
      <w:divBdr>
        <w:top w:val="none" w:sz="0" w:space="0" w:color="auto"/>
        <w:left w:val="none" w:sz="0" w:space="0" w:color="auto"/>
        <w:bottom w:val="none" w:sz="0" w:space="0" w:color="auto"/>
        <w:right w:val="none" w:sz="0" w:space="0" w:color="auto"/>
      </w:divBdr>
    </w:div>
    <w:div w:id="1284263146">
      <w:bodyDiv w:val="1"/>
      <w:marLeft w:val="0"/>
      <w:marRight w:val="0"/>
      <w:marTop w:val="0"/>
      <w:marBottom w:val="0"/>
      <w:divBdr>
        <w:top w:val="none" w:sz="0" w:space="0" w:color="auto"/>
        <w:left w:val="none" w:sz="0" w:space="0" w:color="auto"/>
        <w:bottom w:val="none" w:sz="0" w:space="0" w:color="auto"/>
        <w:right w:val="none" w:sz="0" w:space="0" w:color="auto"/>
      </w:divBdr>
    </w:div>
    <w:div w:id="1305542919">
      <w:bodyDiv w:val="1"/>
      <w:marLeft w:val="0"/>
      <w:marRight w:val="0"/>
      <w:marTop w:val="0"/>
      <w:marBottom w:val="0"/>
      <w:divBdr>
        <w:top w:val="none" w:sz="0" w:space="0" w:color="auto"/>
        <w:left w:val="none" w:sz="0" w:space="0" w:color="auto"/>
        <w:bottom w:val="none" w:sz="0" w:space="0" w:color="auto"/>
        <w:right w:val="none" w:sz="0" w:space="0" w:color="auto"/>
      </w:divBdr>
    </w:div>
    <w:div w:id="1306198346">
      <w:bodyDiv w:val="1"/>
      <w:marLeft w:val="0"/>
      <w:marRight w:val="0"/>
      <w:marTop w:val="0"/>
      <w:marBottom w:val="0"/>
      <w:divBdr>
        <w:top w:val="none" w:sz="0" w:space="0" w:color="auto"/>
        <w:left w:val="none" w:sz="0" w:space="0" w:color="auto"/>
        <w:bottom w:val="none" w:sz="0" w:space="0" w:color="auto"/>
        <w:right w:val="none" w:sz="0" w:space="0" w:color="auto"/>
      </w:divBdr>
    </w:div>
    <w:div w:id="1310011207">
      <w:bodyDiv w:val="1"/>
      <w:marLeft w:val="0"/>
      <w:marRight w:val="0"/>
      <w:marTop w:val="0"/>
      <w:marBottom w:val="0"/>
      <w:divBdr>
        <w:top w:val="none" w:sz="0" w:space="0" w:color="auto"/>
        <w:left w:val="none" w:sz="0" w:space="0" w:color="auto"/>
        <w:bottom w:val="none" w:sz="0" w:space="0" w:color="auto"/>
        <w:right w:val="none" w:sz="0" w:space="0" w:color="auto"/>
      </w:divBdr>
    </w:div>
    <w:div w:id="1324700922">
      <w:bodyDiv w:val="1"/>
      <w:marLeft w:val="0"/>
      <w:marRight w:val="0"/>
      <w:marTop w:val="0"/>
      <w:marBottom w:val="0"/>
      <w:divBdr>
        <w:top w:val="none" w:sz="0" w:space="0" w:color="auto"/>
        <w:left w:val="none" w:sz="0" w:space="0" w:color="auto"/>
        <w:bottom w:val="none" w:sz="0" w:space="0" w:color="auto"/>
        <w:right w:val="none" w:sz="0" w:space="0" w:color="auto"/>
      </w:divBdr>
    </w:div>
    <w:div w:id="1330669556">
      <w:bodyDiv w:val="1"/>
      <w:marLeft w:val="0"/>
      <w:marRight w:val="0"/>
      <w:marTop w:val="0"/>
      <w:marBottom w:val="0"/>
      <w:divBdr>
        <w:top w:val="none" w:sz="0" w:space="0" w:color="auto"/>
        <w:left w:val="none" w:sz="0" w:space="0" w:color="auto"/>
        <w:bottom w:val="none" w:sz="0" w:space="0" w:color="auto"/>
        <w:right w:val="none" w:sz="0" w:space="0" w:color="auto"/>
      </w:divBdr>
    </w:div>
    <w:div w:id="1340351742">
      <w:bodyDiv w:val="1"/>
      <w:marLeft w:val="0"/>
      <w:marRight w:val="0"/>
      <w:marTop w:val="0"/>
      <w:marBottom w:val="0"/>
      <w:divBdr>
        <w:top w:val="none" w:sz="0" w:space="0" w:color="auto"/>
        <w:left w:val="none" w:sz="0" w:space="0" w:color="auto"/>
        <w:bottom w:val="none" w:sz="0" w:space="0" w:color="auto"/>
        <w:right w:val="none" w:sz="0" w:space="0" w:color="auto"/>
      </w:divBdr>
    </w:div>
    <w:div w:id="1365671502">
      <w:bodyDiv w:val="1"/>
      <w:marLeft w:val="0"/>
      <w:marRight w:val="0"/>
      <w:marTop w:val="0"/>
      <w:marBottom w:val="0"/>
      <w:divBdr>
        <w:top w:val="none" w:sz="0" w:space="0" w:color="auto"/>
        <w:left w:val="none" w:sz="0" w:space="0" w:color="auto"/>
        <w:bottom w:val="none" w:sz="0" w:space="0" w:color="auto"/>
        <w:right w:val="none" w:sz="0" w:space="0" w:color="auto"/>
      </w:divBdr>
    </w:div>
    <w:div w:id="1411854634">
      <w:bodyDiv w:val="1"/>
      <w:marLeft w:val="0"/>
      <w:marRight w:val="0"/>
      <w:marTop w:val="0"/>
      <w:marBottom w:val="0"/>
      <w:divBdr>
        <w:top w:val="none" w:sz="0" w:space="0" w:color="auto"/>
        <w:left w:val="none" w:sz="0" w:space="0" w:color="auto"/>
        <w:bottom w:val="none" w:sz="0" w:space="0" w:color="auto"/>
        <w:right w:val="none" w:sz="0" w:space="0" w:color="auto"/>
      </w:divBdr>
    </w:div>
    <w:div w:id="1422678237">
      <w:bodyDiv w:val="1"/>
      <w:marLeft w:val="0"/>
      <w:marRight w:val="0"/>
      <w:marTop w:val="0"/>
      <w:marBottom w:val="0"/>
      <w:divBdr>
        <w:top w:val="none" w:sz="0" w:space="0" w:color="auto"/>
        <w:left w:val="none" w:sz="0" w:space="0" w:color="auto"/>
        <w:bottom w:val="none" w:sz="0" w:space="0" w:color="auto"/>
        <w:right w:val="none" w:sz="0" w:space="0" w:color="auto"/>
      </w:divBdr>
    </w:div>
    <w:div w:id="1427964352">
      <w:bodyDiv w:val="1"/>
      <w:marLeft w:val="0"/>
      <w:marRight w:val="0"/>
      <w:marTop w:val="0"/>
      <w:marBottom w:val="0"/>
      <w:divBdr>
        <w:top w:val="none" w:sz="0" w:space="0" w:color="auto"/>
        <w:left w:val="none" w:sz="0" w:space="0" w:color="auto"/>
        <w:bottom w:val="none" w:sz="0" w:space="0" w:color="auto"/>
        <w:right w:val="none" w:sz="0" w:space="0" w:color="auto"/>
      </w:divBdr>
    </w:div>
    <w:div w:id="1447039129">
      <w:bodyDiv w:val="1"/>
      <w:marLeft w:val="0"/>
      <w:marRight w:val="0"/>
      <w:marTop w:val="0"/>
      <w:marBottom w:val="0"/>
      <w:divBdr>
        <w:top w:val="none" w:sz="0" w:space="0" w:color="auto"/>
        <w:left w:val="none" w:sz="0" w:space="0" w:color="auto"/>
        <w:bottom w:val="none" w:sz="0" w:space="0" w:color="auto"/>
        <w:right w:val="none" w:sz="0" w:space="0" w:color="auto"/>
      </w:divBdr>
    </w:div>
    <w:div w:id="1449935668">
      <w:bodyDiv w:val="1"/>
      <w:marLeft w:val="0"/>
      <w:marRight w:val="0"/>
      <w:marTop w:val="0"/>
      <w:marBottom w:val="0"/>
      <w:divBdr>
        <w:top w:val="none" w:sz="0" w:space="0" w:color="auto"/>
        <w:left w:val="none" w:sz="0" w:space="0" w:color="auto"/>
        <w:bottom w:val="none" w:sz="0" w:space="0" w:color="auto"/>
        <w:right w:val="none" w:sz="0" w:space="0" w:color="auto"/>
      </w:divBdr>
    </w:div>
    <w:div w:id="1457287508">
      <w:bodyDiv w:val="1"/>
      <w:marLeft w:val="0"/>
      <w:marRight w:val="0"/>
      <w:marTop w:val="0"/>
      <w:marBottom w:val="0"/>
      <w:divBdr>
        <w:top w:val="none" w:sz="0" w:space="0" w:color="auto"/>
        <w:left w:val="none" w:sz="0" w:space="0" w:color="auto"/>
        <w:bottom w:val="none" w:sz="0" w:space="0" w:color="auto"/>
        <w:right w:val="none" w:sz="0" w:space="0" w:color="auto"/>
      </w:divBdr>
    </w:div>
    <w:div w:id="1467815382">
      <w:bodyDiv w:val="1"/>
      <w:marLeft w:val="0"/>
      <w:marRight w:val="0"/>
      <w:marTop w:val="0"/>
      <w:marBottom w:val="0"/>
      <w:divBdr>
        <w:top w:val="none" w:sz="0" w:space="0" w:color="auto"/>
        <w:left w:val="none" w:sz="0" w:space="0" w:color="auto"/>
        <w:bottom w:val="none" w:sz="0" w:space="0" w:color="auto"/>
        <w:right w:val="none" w:sz="0" w:space="0" w:color="auto"/>
      </w:divBdr>
    </w:div>
    <w:div w:id="1483155764">
      <w:bodyDiv w:val="1"/>
      <w:marLeft w:val="0"/>
      <w:marRight w:val="0"/>
      <w:marTop w:val="0"/>
      <w:marBottom w:val="0"/>
      <w:divBdr>
        <w:top w:val="none" w:sz="0" w:space="0" w:color="auto"/>
        <w:left w:val="none" w:sz="0" w:space="0" w:color="auto"/>
        <w:bottom w:val="none" w:sz="0" w:space="0" w:color="auto"/>
        <w:right w:val="none" w:sz="0" w:space="0" w:color="auto"/>
      </w:divBdr>
    </w:div>
    <w:div w:id="1488283493">
      <w:bodyDiv w:val="1"/>
      <w:marLeft w:val="0"/>
      <w:marRight w:val="0"/>
      <w:marTop w:val="0"/>
      <w:marBottom w:val="0"/>
      <w:divBdr>
        <w:top w:val="none" w:sz="0" w:space="0" w:color="auto"/>
        <w:left w:val="none" w:sz="0" w:space="0" w:color="auto"/>
        <w:bottom w:val="none" w:sz="0" w:space="0" w:color="auto"/>
        <w:right w:val="none" w:sz="0" w:space="0" w:color="auto"/>
      </w:divBdr>
    </w:div>
    <w:div w:id="1512330428">
      <w:bodyDiv w:val="1"/>
      <w:marLeft w:val="0"/>
      <w:marRight w:val="0"/>
      <w:marTop w:val="0"/>
      <w:marBottom w:val="0"/>
      <w:divBdr>
        <w:top w:val="none" w:sz="0" w:space="0" w:color="auto"/>
        <w:left w:val="none" w:sz="0" w:space="0" w:color="auto"/>
        <w:bottom w:val="none" w:sz="0" w:space="0" w:color="auto"/>
        <w:right w:val="none" w:sz="0" w:space="0" w:color="auto"/>
      </w:divBdr>
    </w:div>
    <w:div w:id="1518276657">
      <w:bodyDiv w:val="1"/>
      <w:marLeft w:val="0"/>
      <w:marRight w:val="0"/>
      <w:marTop w:val="0"/>
      <w:marBottom w:val="0"/>
      <w:divBdr>
        <w:top w:val="none" w:sz="0" w:space="0" w:color="auto"/>
        <w:left w:val="none" w:sz="0" w:space="0" w:color="auto"/>
        <w:bottom w:val="none" w:sz="0" w:space="0" w:color="auto"/>
        <w:right w:val="none" w:sz="0" w:space="0" w:color="auto"/>
      </w:divBdr>
    </w:div>
    <w:div w:id="1519349083">
      <w:bodyDiv w:val="1"/>
      <w:marLeft w:val="0"/>
      <w:marRight w:val="0"/>
      <w:marTop w:val="0"/>
      <w:marBottom w:val="0"/>
      <w:divBdr>
        <w:top w:val="none" w:sz="0" w:space="0" w:color="auto"/>
        <w:left w:val="none" w:sz="0" w:space="0" w:color="auto"/>
        <w:bottom w:val="none" w:sz="0" w:space="0" w:color="auto"/>
        <w:right w:val="none" w:sz="0" w:space="0" w:color="auto"/>
      </w:divBdr>
    </w:div>
    <w:div w:id="1537736981">
      <w:bodyDiv w:val="1"/>
      <w:marLeft w:val="0"/>
      <w:marRight w:val="0"/>
      <w:marTop w:val="0"/>
      <w:marBottom w:val="0"/>
      <w:divBdr>
        <w:top w:val="none" w:sz="0" w:space="0" w:color="auto"/>
        <w:left w:val="none" w:sz="0" w:space="0" w:color="auto"/>
        <w:bottom w:val="none" w:sz="0" w:space="0" w:color="auto"/>
        <w:right w:val="none" w:sz="0" w:space="0" w:color="auto"/>
      </w:divBdr>
    </w:div>
    <w:div w:id="1546869571">
      <w:bodyDiv w:val="1"/>
      <w:marLeft w:val="0"/>
      <w:marRight w:val="0"/>
      <w:marTop w:val="0"/>
      <w:marBottom w:val="0"/>
      <w:divBdr>
        <w:top w:val="none" w:sz="0" w:space="0" w:color="auto"/>
        <w:left w:val="none" w:sz="0" w:space="0" w:color="auto"/>
        <w:bottom w:val="none" w:sz="0" w:space="0" w:color="auto"/>
        <w:right w:val="none" w:sz="0" w:space="0" w:color="auto"/>
      </w:divBdr>
    </w:div>
    <w:div w:id="1551764447">
      <w:bodyDiv w:val="1"/>
      <w:marLeft w:val="0"/>
      <w:marRight w:val="0"/>
      <w:marTop w:val="0"/>
      <w:marBottom w:val="0"/>
      <w:divBdr>
        <w:top w:val="none" w:sz="0" w:space="0" w:color="auto"/>
        <w:left w:val="none" w:sz="0" w:space="0" w:color="auto"/>
        <w:bottom w:val="none" w:sz="0" w:space="0" w:color="auto"/>
        <w:right w:val="none" w:sz="0" w:space="0" w:color="auto"/>
      </w:divBdr>
    </w:div>
    <w:div w:id="1565603683">
      <w:bodyDiv w:val="1"/>
      <w:marLeft w:val="0"/>
      <w:marRight w:val="0"/>
      <w:marTop w:val="0"/>
      <w:marBottom w:val="0"/>
      <w:divBdr>
        <w:top w:val="none" w:sz="0" w:space="0" w:color="auto"/>
        <w:left w:val="none" w:sz="0" w:space="0" w:color="auto"/>
        <w:bottom w:val="none" w:sz="0" w:space="0" w:color="auto"/>
        <w:right w:val="none" w:sz="0" w:space="0" w:color="auto"/>
      </w:divBdr>
    </w:div>
    <w:div w:id="1591961493">
      <w:bodyDiv w:val="1"/>
      <w:marLeft w:val="0"/>
      <w:marRight w:val="0"/>
      <w:marTop w:val="0"/>
      <w:marBottom w:val="0"/>
      <w:divBdr>
        <w:top w:val="none" w:sz="0" w:space="0" w:color="auto"/>
        <w:left w:val="none" w:sz="0" w:space="0" w:color="auto"/>
        <w:bottom w:val="none" w:sz="0" w:space="0" w:color="auto"/>
        <w:right w:val="none" w:sz="0" w:space="0" w:color="auto"/>
      </w:divBdr>
    </w:div>
    <w:div w:id="1614940282">
      <w:bodyDiv w:val="1"/>
      <w:marLeft w:val="0"/>
      <w:marRight w:val="0"/>
      <w:marTop w:val="0"/>
      <w:marBottom w:val="0"/>
      <w:divBdr>
        <w:top w:val="none" w:sz="0" w:space="0" w:color="auto"/>
        <w:left w:val="none" w:sz="0" w:space="0" w:color="auto"/>
        <w:bottom w:val="none" w:sz="0" w:space="0" w:color="auto"/>
        <w:right w:val="none" w:sz="0" w:space="0" w:color="auto"/>
      </w:divBdr>
    </w:div>
    <w:div w:id="1616450708">
      <w:bodyDiv w:val="1"/>
      <w:marLeft w:val="0"/>
      <w:marRight w:val="0"/>
      <w:marTop w:val="0"/>
      <w:marBottom w:val="0"/>
      <w:divBdr>
        <w:top w:val="none" w:sz="0" w:space="0" w:color="auto"/>
        <w:left w:val="none" w:sz="0" w:space="0" w:color="auto"/>
        <w:bottom w:val="none" w:sz="0" w:space="0" w:color="auto"/>
        <w:right w:val="none" w:sz="0" w:space="0" w:color="auto"/>
      </w:divBdr>
    </w:div>
    <w:div w:id="1625770761">
      <w:bodyDiv w:val="1"/>
      <w:marLeft w:val="0"/>
      <w:marRight w:val="0"/>
      <w:marTop w:val="0"/>
      <w:marBottom w:val="0"/>
      <w:divBdr>
        <w:top w:val="none" w:sz="0" w:space="0" w:color="auto"/>
        <w:left w:val="none" w:sz="0" w:space="0" w:color="auto"/>
        <w:bottom w:val="none" w:sz="0" w:space="0" w:color="auto"/>
        <w:right w:val="none" w:sz="0" w:space="0" w:color="auto"/>
      </w:divBdr>
    </w:div>
    <w:div w:id="1632714281">
      <w:bodyDiv w:val="1"/>
      <w:marLeft w:val="0"/>
      <w:marRight w:val="0"/>
      <w:marTop w:val="0"/>
      <w:marBottom w:val="0"/>
      <w:divBdr>
        <w:top w:val="none" w:sz="0" w:space="0" w:color="auto"/>
        <w:left w:val="none" w:sz="0" w:space="0" w:color="auto"/>
        <w:bottom w:val="none" w:sz="0" w:space="0" w:color="auto"/>
        <w:right w:val="none" w:sz="0" w:space="0" w:color="auto"/>
      </w:divBdr>
    </w:div>
    <w:div w:id="1642535680">
      <w:bodyDiv w:val="1"/>
      <w:marLeft w:val="0"/>
      <w:marRight w:val="0"/>
      <w:marTop w:val="0"/>
      <w:marBottom w:val="0"/>
      <w:divBdr>
        <w:top w:val="none" w:sz="0" w:space="0" w:color="auto"/>
        <w:left w:val="none" w:sz="0" w:space="0" w:color="auto"/>
        <w:bottom w:val="none" w:sz="0" w:space="0" w:color="auto"/>
        <w:right w:val="none" w:sz="0" w:space="0" w:color="auto"/>
      </w:divBdr>
    </w:div>
    <w:div w:id="1647277983">
      <w:bodyDiv w:val="1"/>
      <w:marLeft w:val="0"/>
      <w:marRight w:val="0"/>
      <w:marTop w:val="0"/>
      <w:marBottom w:val="0"/>
      <w:divBdr>
        <w:top w:val="none" w:sz="0" w:space="0" w:color="auto"/>
        <w:left w:val="none" w:sz="0" w:space="0" w:color="auto"/>
        <w:bottom w:val="none" w:sz="0" w:space="0" w:color="auto"/>
        <w:right w:val="none" w:sz="0" w:space="0" w:color="auto"/>
      </w:divBdr>
    </w:div>
    <w:div w:id="1676298165">
      <w:bodyDiv w:val="1"/>
      <w:marLeft w:val="0"/>
      <w:marRight w:val="0"/>
      <w:marTop w:val="0"/>
      <w:marBottom w:val="0"/>
      <w:divBdr>
        <w:top w:val="none" w:sz="0" w:space="0" w:color="auto"/>
        <w:left w:val="none" w:sz="0" w:space="0" w:color="auto"/>
        <w:bottom w:val="none" w:sz="0" w:space="0" w:color="auto"/>
        <w:right w:val="none" w:sz="0" w:space="0" w:color="auto"/>
      </w:divBdr>
    </w:div>
    <w:div w:id="1678725304">
      <w:bodyDiv w:val="1"/>
      <w:marLeft w:val="0"/>
      <w:marRight w:val="0"/>
      <w:marTop w:val="0"/>
      <w:marBottom w:val="0"/>
      <w:divBdr>
        <w:top w:val="none" w:sz="0" w:space="0" w:color="auto"/>
        <w:left w:val="none" w:sz="0" w:space="0" w:color="auto"/>
        <w:bottom w:val="none" w:sz="0" w:space="0" w:color="auto"/>
        <w:right w:val="none" w:sz="0" w:space="0" w:color="auto"/>
      </w:divBdr>
    </w:div>
    <w:div w:id="1683048902">
      <w:bodyDiv w:val="1"/>
      <w:marLeft w:val="0"/>
      <w:marRight w:val="0"/>
      <w:marTop w:val="0"/>
      <w:marBottom w:val="0"/>
      <w:divBdr>
        <w:top w:val="none" w:sz="0" w:space="0" w:color="auto"/>
        <w:left w:val="none" w:sz="0" w:space="0" w:color="auto"/>
        <w:bottom w:val="none" w:sz="0" w:space="0" w:color="auto"/>
        <w:right w:val="none" w:sz="0" w:space="0" w:color="auto"/>
      </w:divBdr>
    </w:div>
    <w:div w:id="1696035000">
      <w:bodyDiv w:val="1"/>
      <w:marLeft w:val="0"/>
      <w:marRight w:val="0"/>
      <w:marTop w:val="0"/>
      <w:marBottom w:val="0"/>
      <w:divBdr>
        <w:top w:val="none" w:sz="0" w:space="0" w:color="auto"/>
        <w:left w:val="none" w:sz="0" w:space="0" w:color="auto"/>
        <w:bottom w:val="none" w:sz="0" w:space="0" w:color="auto"/>
        <w:right w:val="none" w:sz="0" w:space="0" w:color="auto"/>
      </w:divBdr>
    </w:div>
    <w:div w:id="1696350470">
      <w:bodyDiv w:val="1"/>
      <w:marLeft w:val="0"/>
      <w:marRight w:val="0"/>
      <w:marTop w:val="0"/>
      <w:marBottom w:val="0"/>
      <w:divBdr>
        <w:top w:val="none" w:sz="0" w:space="0" w:color="auto"/>
        <w:left w:val="none" w:sz="0" w:space="0" w:color="auto"/>
        <w:bottom w:val="none" w:sz="0" w:space="0" w:color="auto"/>
        <w:right w:val="none" w:sz="0" w:space="0" w:color="auto"/>
      </w:divBdr>
    </w:div>
    <w:div w:id="1704793432">
      <w:bodyDiv w:val="1"/>
      <w:marLeft w:val="0"/>
      <w:marRight w:val="0"/>
      <w:marTop w:val="0"/>
      <w:marBottom w:val="0"/>
      <w:divBdr>
        <w:top w:val="none" w:sz="0" w:space="0" w:color="auto"/>
        <w:left w:val="none" w:sz="0" w:space="0" w:color="auto"/>
        <w:bottom w:val="none" w:sz="0" w:space="0" w:color="auto"/>
        <w:right w:val="none" w:sz="0" w:space="0" w:color="auto"/>
      </w:divBdr>
    </w:div>
    <w:div w:id="1705709246">
      <w:bodyDiv w:val="1"/>
      <w:marLeft w:val="0"/>
      <w:marRight w:val="0"/>
      <w:marTop w:val="0"/>
      <w:marBottom w:val="0"/>
      <w:divBdr>
        <w:top w:val="none" w:sz="0" w:space="0" w:color="auto"/>
        <w:left w:val="none" w:sz="0" w:space="0" w:color="auto"/>
        <w:bottom w:val="none" w:sz="0" w:space="0" w:color="auto"/>
        <w:right w:val="none" w:sz="0" w:space="0" w:color="auto"/>
      </w:divBdr>
    </w:div>
    <w:div w:id="1721400763">
      <w:bodyDiv w:val="1"/>
      <w:marLeft w:val="0"/>
      <w:marRight w:val="0"/>
      <w:marTop w:val="0"/>
      <w:marBottom w:val="0"/>
      <w:divBdr>
        <w:top w:val="none" w:sz="0" w:space="0" w:color="auto"/>
        <w:left w:val="none" w:sz="0" w:space="0" w:color="auto"/>
        <w:bottom w:val="none" w:sz="0" w:space="0" w:color="auto"/>
        <w:right w:val="none" w:sz="0" w:space="0" w:color="auto"/>
      </w:divBdr>
    </w:div>
    <w:div w:id="1746759725">
      <w:bodyDiv w:val="1"/>
      <w:marLeft w:val="0"/>
      <w:marRight w:val="0"/>
      <w:marTop w:val="0"/>
      <w:marBottom w:val="0"/>
      <w:divBdr>
        <w:top w:val="none" w:sz="0" w:space="0" w:color="auto"/>
        <w:left w:val="none" w:sz="0" w:space="0" w:color="auto"/>
        <w:bottom w:val="none" w:sz="0" w:space="0" w:color="auto"/>
        <w:right w:val="none" w:sz="0" w:space="0" w:color="auto"/>
      </w:divBdr>
    </w:div>
    <w:div w:id="1762944512">
      <w:bodyDiv w:val="1"/>
      <w:marLeft w:val="0"/>
      <w:marRight w:val="0"/>
      <w:marTop w:val="0"/>
      <w:marBottom w:val="0"/>
      <w:divBdr>
        <w:top w:val="none" w:sz="0" w:space="0" w:color="auto"/>
        <w:left w:val="none" w:sz="0" w:space="0" w:color="auto"/>
        <w:bottom w:val="none" w:sz="0" w:space="0" w:color="auto"/>
        <w:right w:val="none" w:sz="0" w:space="0" w:color="auto"/>
      </w:divBdr>
    </w:div>
    <w:div w:id="1763838663">
      <w:bodyDiv w:val="1"/>
      <w:marLeft w:val="0"/>
      <w:marRight w:val="0"/>
      <w:marTop w:val="0"/>
      <w:marBottom w:val="0"/>
      <w:divBdr>
        <w:top w:val="none" w:sz="0" w:space="0" w:color="auto"/>
        <w:left w:val="none" w:sz="0" w:space="0" w:color="auto"/>
        <w:bottom w:val="none" w:sz="0" w:space="0" w:color="auto"/>
        <w:right w:val="none" w:sz="0" w:space="0" w:color="auto"/>
      </w:divBdr>
    </w:div>
    <w:div w:id="1785884137">
      <w:bodyDiv w:val="1"/>
      <w:marLeft w:val="0"/>
      <w:marRight w:val="0"/>
      <w:marTop w:val="0"/>
      <w:marBottom w:val="0"/>
      <w:divBdr>
        <w:top w:val="none" w:sz="0" w:space="0" w:color="auto"/>
        <w:left w:val="none" w:sz="0" w:space="0" w:color="auto"/>
        <w:bottom w:val="none" w:sz="0" w:space="0" w:color="auto"/>
        <w:right w:val="none" w:sz="0" w:space="0" w:color="auto"/>
      </w:divBdr>
    </w:div>
    <w:div w:id="1792165992">
      <w:bodyDiv w:val="1"/>
      <w:marLeft w:val="0"/>
      <w:marRight w:val="0"/>
      <w:marTop w:val="0"/>
      <w:marBottom w:val="0"/>
      <w:divBdr>
        <w:top w:val="none" w:sz="0" w:space="0" w:color="auto"/>
        <w:left w:val="none" w:sz="0" w:space="0" w:color="auto"/>
        <w:bottom w:val="none" w:sz="0" w:space="0" w:color="auto"/>
        <w:right w:val="none" w:sz="0" w:space="0" w:color="auto"/>
      </w:divBdr>
    </w:div>
    <w:div w:id="1840997832">
      <w:bodyDiv w:val="1"/>
      <w:marLeft w:val="0"/>
      <w:marRight w:val="0"/>
      <w:marTop w:val="0"/>
      <w:marBottom w:val="0"/>
      <w:divBdr>
        <w:top w:val="none" w:sz="0" w:space="0" w:color="auto"/>
        <w:left w:val="none" w:sz="0" w:space="0" w:color="auto"/>
        <w:bottom w:val="none" w:sz="0" w:space="0" w:color="auto"/>
        <w:right w:val="none" w:sz="0" w:space="0" w:color="auto"/>
      </w:divBdr>
    </w:div>
    <w:div w:id="1879121434">
      <w:bodyDiv w:val="1"/>
      <w:marLeft w:val="0"/>
      <w:marRight w:val="0"/>
      <w:marTop w:val="0"/>
      <w:marBottom w:val="0"/>
      <w:divBdr>
        <w:top w:val="none" w:sz="0" w:space="0" w:color="auto"/>
        <w:left w:val="none" w:sz="0" w:space="0" w:color="auto"/>
        <w:bottom w:val="none" w:sz="0" w:space="0" w:color="auto"/>
        <w:right w:val="none" w:sz="0" w:space="0" w:color="auto"/>
      </w:divBdr>
    </w:div>
    <w:div w:id="1884712590">
      <w:bodyDiv w:val="1"/>
      <w:marLeft w:val="0"/>
      <w:marRight w:val="0"/>
      <w:marTop w:val="0"/>
      <w:marBottom w:val="0"/>
      <w:divBdr>
        <w:top w:val="none" w:sz="0" w:space="0" w:color="auto"/>
        <w:left w:val="none" w:sz="0" w:space="0" w:color="auto"/>
        <w:bottom w:val="none" w:sz="0" w:space="0" w:color="auto"/>
        <w:right w:val="none" w:sz="0" w:space="0" w:color="auto"/>
      </w:divBdr>
    </w:div>
    <w:div w:id="1890267732">
      <w:bodyDiv w:val="1"/>
      <w:marLeft w:val="0"/>
      <w:marRight w:val="0"/>
      <w:marTop w:val="0"/>
      <w:marBottom w:val="0"/>
      <w:divBdr>
        <w:top w:val="none" w:sz="0" w:space="0" w:color="auto"/>
        <w:left w:val="none" w:sz="0" w:space="0" w:color="auto"/>
        <w:bottom w:val="none" w:sz="0" w:space="0" w:color="auto"/>
        <w:right w:val="none" w:sz="0" w:space="0" w:color="auto"/>
      </w:divBdr>
    </w:div>
    <w:div w:id="1941988133">
      <w:bodyDiv w:val="1"/>
      <w:marLeft w:val="0"/>
      <w:marRight w:val="0"/>
      <w:marTop w:val="0"/>
      <w:marBottom w:val="0"/>
      <w:divBdr>
        <w:top w:val="none" w:sz="0" w:space="0" w:color="auto"/>
        <w:left w:val="none" w:sz="0" w:space="0" w:color="auto"/>
        <w:bottom w:val="none" w:sz="0" w:space="0" w:color="auto"/>
        <w:right w:val="none" w:sz="0" w:space="0" w:color="auto"/>
      </w:divBdr>
    </w:div>
    <w:div w:id="1943682131">
      <w:bodyDiv w:val="1"/>
      <w:marLeft w:val="0"/>
      <w:marRight w:val="0"/>
      <w:marTop w:val="0"/>
      <w:marBottom w:val="0"/>
      <w:divBdr>
        <w:top w:val="none" w:sz="0" w:space="0" w:color="auto"/>
        <w:left w:val="none" w:sz="0" w:space="0" w:color="auto"/>
        <w:bottom w:val="none" w:sz="0" w:space="0" w:color="auto"/>
        <w:right w:val="none" w:sz="0" w:space="0" w:color="auto"/>
      </w:divBdr>
    </w:div>
    <w:div w:id="1945073301">
      <w:bodyDiv w:val="1"/>
      <w:marLeft w:val="0"/>
      <w:marRight w:val="0"/>
      <w:marTop w:val="0"/>
      <w:marBottom w:val="0"/>
      <w:divBdr>
        <w:top w:val="none" w:sz="0" w:space="0" w:color="auto"/>
        <w:left w:val="none" w:sz="0" w:space="0" w:color="auto"/>
        <w:bottom w:val="none" w:sz="0" w:space="0" w:color="auto"/>
        <w:right w:val="none" w:sz="0" w:space="0" w:color="auto"/>
      </w:divBdr>
    </w:div>
    <w:div w:id="1961184511">
      <w:bodyDiv w:val="1"/>
      <w:marLeft w:val="0"/>
      <w:marRight w:val="0"/>
      <w:marTop w:val="0"/>
      <w:marBottom w:val="0"/>
      <w:divBdr>
        <w:top w:val="none" w:sz="0" w:space="0" w:color="auto"/>
        <w:left w:val="none" w:sz="0" w:space="0" w:color="auto"/>
        <w:bottom w:val="none" w:sz="0" w:space="0" w:color="auto"/>
        <w:right w:val="none" w:sz="0" w:space="0" w:color="auto"/>
      </w:divBdr>
    </w:div>
    <w:div w:id="1970936788">
      <w:bodyDiv w:val="1"/>
      <w:marLeft w:val="0"/>
      <w:marRight w:val="0"/>
      <w:marTop w:val="0"/>
      <w:marBottom w:val="0"/>
      <w:divBdr>
        <w:top w:val="none" w:sz="0" w:space="0" w:color="auto"/>
        <w:left w:val="none" w:sz="0" w:space="0" w:color="auto"/>
        <w:bottom w:val="none" w:sz="0" w:space="0" w:color="auto"/>
        <w:right w:val="none" w:sz="0" w:space="0" w:color="auto"/>
      </w:divBdr>
    </w:div>
    <w:div w:id="1974405120">
      <w:bodyDiv w:val="1"/>
      <w:marLeft w:val="0"/>
      <w:marRight w:val="0"/>
      <w:marTop w:val="0"/>
      <w:marBottom w:val="0"/>
      <w:divBdr>
        <w:top w:val="none" w:sz="0" w:space="0" w:color="auto"/>
        <w:left w:val="none" w:sz="0" w:space="0" w:color="auto"/>
        <w:bottom w:val="none" w:sz="0" w:space="0" w:color="auto"/>
        <w:right w:val="none" w:sz="0" w:space="0" w:color="auto"/>
      </w:divBdr>
    </w:div>
    <w:div w:id="1993102314">
      <w:bodyDiv w:val="1"/>
      <w:marLeft w:val="0"/>
      <w:marRight w:val="0"/>
      <w:marTop w:val="0"/>
      <w:marBottom w:val="0"/>
      <w:divBdr>
        <w:top w:val="none" w:sz="0" w:space="0" w:color="auto"/>
        <w:left w:val="none" w:sz="0" w:space="0" w:color="auto"/>
        <w:bottom w:val="none" w:sz="0" w:space="0" w:color="auto"/>
        <w:right w:val="none" w:sz="0" w:space="0" w:color="auto"/>
      </w:divBdr>
    </w:div>
    <w:div w:id="1995795778">
      <w:bodyDiv w:val="1"/>
      <w:marLeft w:val="0"/>
      <w:marRight w:val="0"/>
      <w:marTop w:val="0"/>
      <w:marBottom w:val="0"/>
      <w:divBdr>
        <w:top w:val="none" w:sz="0" w:space="0" w:color="auto"/>
        <w:left w:val="none" w:sz="0" w:space="0" w:color="auto"/>
        <w:bottom w:val="none" w:sz="0" w:space="0" w:color="auto"/>
        <w:right w:val="none" w:sz="0" w:space="0" w:color="auto"/>
      </w:divBdr>
    </w:div>
    <w:div w:id="2014255269">
      <w:bodyDiv w:val="1"/>
      <w:marLeft w:val="0"/>
      <w:marRight w:val="0"/>
      <w:marTop w:val="0"/>
      <w:marBottom w:val="0"/>
      <w:divBdr>
        <w:top w:val="none" w:sz="0" w:space="0" w:color="auto"/>
        <w:left w:val="none" w:sz="0" w:space="0" w:color="auto"/>
        <w:bottom w:val="none" w:sz="0" w:space="0" w:color="auto"/>
        <w:right w:val="none" w:sz="0" w:space="0" w:color="auto"/>
      </w:divBdr>
    </w:div>
    <w:div w:id="2016225328">
      <w:bodyDiv w:val="1"/>
      <w:marLeft w:val="0"/>
      <w:marRight w:val="0"/>
      <w:marTop w:val="0"/>
      <w:marBottom w:val="0"/>
      <w:divBdr>
        <w:top w:val="none" w:sz="0" w:space="0" w:color="auto"/>
        <w:left w:val="none" w:sz="0" w:space="0" w:color="auto"/>
        <w:bottom w:val="none" w:sz="0" w:space="0" w:color="auto"/>
        <w:right w:val="none" w:sz="0" w:space="0" w:color="auto"/>
      </w:divBdr>
    </w:div>
    <w:div w:id="2018388715">
      <w:bodyDiv w:val="1"/>
      <w:marLeft w:val="0"/>
      <w:marRight w:val="0"/>
      <w:marTop w:val="0"/>
      <w:marBottom w:val="0"/>
      <w:divBdr>
        <w:top w:val="none" w:sz="0" w:space="0" w:color="auto"/>
        <w:left w:val="none" w:sz="0" w:space="0" w:color="auto"/>
        <w:bottom w:val="none" w:sz="0" w:space="0" w:color="auto"/>
        <w:right w:val="none" w:sz="0" w:space="0" w:color="auto"/>
      </w:divBdr>
    </w:div>
    <w:div w:id="2020623686">
      <w:bodyDiv w:val="1"/>
      <w:marLeft w:val="0"/>
      <w:marRight w:val="0"/>
      <w:marTop w:val="0"/>
      <w:marBottom w:val="0"/>
      <w:divBdr>
        <w:top w:val="none" w:sz="0" w:space="0" w:color="auto"/>
        <w:left w:val="none" w:sz="0" w:space="0" w:color="auto"/>
        <w:bottom w:val="none" w:sz="0" w:space="0" w:color="auto"/>
        <w:right w:val="none" w:sz="0" w:space="0" w:color="auto"/>
      </w:divBdr>
    </w:div>
    <w:div w:id="2026594510">
      <w:bodyDiv w:val="1"/>
      <w:marLeft w:val="0"/>
      <w:marRight w:val="0"/>
      <w:marTop w:val="0"/>
      <w:marBottom w:val="0"/>
      <w:divBdr>
        <w:top w:val="none" w:sz="0" w:space="0" w:color="auto"/>
        <w:left w:val="none" w:sz="0" w:space="0" w:color="auto"/>
        <w:bottom w:val="none" w:sz="0" w:space="0" w:color="auto"/>
        <w:right w:val="none" w:sz="0" w:space="0" w:color="auto"/>
      </w:divBdr>
    </w:div>
    <w:div w:id="2046708445">
      <w:bodyDiv w:val="1"/>
      <w:marLeft w:val="0"/>
      <w:marRight w:val="0"/>
      <w:marTop w:val="0"/>
      <w:marBottom w:val="0"/>
      <w:divBdr>
        <w:top w:val="none" w:sz="0" w:space="0" w:color="auto"/>
        <w:left w:val="none" w:sz="0" w:space="0" w:color="auto"/>
        <w:bottom w:val="none" w:sz="0" w:space="0" w:color="auto"/>
        <w:right w:val="none" w:sz="0" w:space="0" w:color="auto"/>
      </w:divBdr>
    </w:div>
    <w:div w:id="2048944948">
      <w:bodyDiv w:val="1"/>
      <w:marLeft w:val="0"/>
      <w:marRight w:val="0"/>
      <w:marTop w:val="0"/>
      <w:marBottom w:val="0"/>
      <w:divBdr>
        <w:top w:val="none" w:sz="0" w:space="0" w:color="auto"/>
        <w:left w:val="none" w:sz="0" w:space="0" w:color="auto"/>
        <w:bottom w:val="none" w:sz="0" w:space="0" w:color="auto"/>
        <w:right w:val="none" w:sz="0" w:space="0" w:color="auto"/>
      </w:divBdr>
    </w:div>
    <w:div w:id="2050639601">
      <w:bodyDiv w:val="1"/>
      <w:marLeft w:val="0"/>
      <w:marRight w:val="0"/>
      <w:marTop w:val="0"/>
      <w:marBottom w:val="0"/>
      <w:divBdr>
        <w:top w:val="none" w:sz="0" w:space="0" w:color="auto"/>
        <w:left w:val="none" w:sz="0" w:space="0" w:color="auto"/>
        <w:bottom w:val="none" w:sz="0" w:space="0" w:color="auto"/>
        <w:right w:val="none" w:sz="0" w:space="0" w:color="auto"/>
      </w:divBdr>
    </w:div>
    <w:div w:id="2051034346">
      <w:bodyDiv w:val="1"/>
      <w:marLeft w:val="0"/>
      <w:marRight w:val="0"/>
      <w:marTop w:val="0"/>
      <w:marBottom w:val="0"/>
      <w:divBdr>
        <w:top w:val="none" w:sz="0" w:space="0" w:color="auto"/>
        <w:left w:val="none" w:sz="0" w:space="0" w:color="auto"/>
        <w:bottom w:val="none" w:sz="0" w:space="0" w:color="auto"/>
        <w:right w:val="none" w:sz="0" w:space="0" w:color="auto"/>
      </w:divBdr>
    </w:div>
    <w:div w:id="2054230513">
      <w:bodyDiv w:val="1"/>
      <w:marLeft w:val="0"/>
      <w:marRight w:val="0"/>
      <w:marTop w:val="0"/>
      <w:marBottom w:val="0"/>
      <w:divBdr>
        <w:top w:val="none" w:sz="0" w:space="0" w:color="auto"/>
        <w:left w:val="none" w:sz="0" w:space="0" w:color="auto"/>
        <w:bottom w:val="none" w:sz="0" w:space="0" w:color="auto"/>
        <w:right w:val="none" w:sz="0" w:space="0" w:color="auto"/>
      </w:divBdr>
    </w:div>
    <w:div w:id="2064597883">
      <w:bodyDiv w:val="1"/>
      <w:marLeft w:val="0"/>
      <w:marRight w:val="0"/>
      <w:marTop w:val="0"/>
      <w:marBottom w:val="0"/>
      <w:divBdr>
        <w:top w:val="none" w:sz="0" w:space="0" w:color="auto"/>
        <w:left w:val="none" w:sz="0" w:space="0" w:color="auto"/>
        <w:bottom w:val="none" w:sz="0" w:space="0" w:color="auto"/>
        <w:right w:val="none" w:sz="0" w:space="0" w:color="auto"/>
      </w:divBdr>
    </w:div>
    <w:div w:id="2072458163">
      <w:bodyDiv w:val="1"/>
      <w:marLeft w:val="0"/>
      <w:marRight w:val="0"/>
      <w:marTop w:val="0"/>
      <w:marBottom w:val="0"/>
      <w:divBdr>
        <w:top w:val="none" w:sz="0" w:space="0" w:color="auto"/>
        <w:left w:val="none" w:sz="0" w:space="0" w:color="auto"/>
        <w:bottom w:val="none" w:sz="0" w:space="0" w:color="auto"/>
        <w:right w:val="none" w:sz="0" w:space="0" w:color="auto"/>
      </w:divBdr>
    </w:div>
    <w:div w:id="2081632329">
      <w:bodyDiv w:val="1"/>
      <w:marLeft w:val="0"/>
      <w:marRight w:val="0"/>
      <w:marTop w:val="0"/>
      <w:marBottom w:val="0"/>
      <w:divBdr>
        <w:top w:val="none" w:sz="0" w:space="0" w:color="auto"/>
        <w:left w:val="none" w:sz="0" w:space="0" w:color="auto"/>
        <w:bottom w:val="none" w:sz="0" w:space="0" w:color="auto"/>
        <w:right w:val="none" w:sz="0" w:space="0" w:color="auto"/>
      </w:divBdr>
    </w:div>
    <w:div w:id="2081826731">
      <w:bodyDiv w:val="1"/>
      <w:marLeft w:val="0"/>
      <w:marRight w:val="0"/>
      <w:marTop w:val="0"/>
      <w:marBottom w:val="0"/>
      <w:divBdr>
        <w:top w:val="none" w:sz="0" w:space="0" w:color="auto"/>
        <w:left w:val="none" w:sz="0" w:space="0" w:color="auto"/>
        <w:bottom w:val="none" w:sz="0" w:space="0" w:color="auto"/>
        <w:right w:val="none" w:sz="0" w:space="0" w:color="auto"/>
      </w:divBdr>
    </w:div>
    <w:div w:id="2082828310">
      <w:bodyDiv w:val="1"/>
      <w:marLeft w:val="0"/>
      <w:marRight w:val="0"/>
      <w:marTop w:val="0"/>
      <w:marBottom w:val="0"/>
      <w:divBdr>
        <w:top w:val="none" w:sz="0" w:space="0" w:color="auto"/>
        <w:left w:val="none" w:sz="0" w:space="0" w:color="auto"/>
        <w:bottom w:val="none" w:sz="0" w:space="0" w:color="auto"/>
        <w:right w:val="none" w:sz="0" w:space="0" w:color="auto"/>
      </w:divBdr>
    </w:div>
    <w:div w:id="2085949337">
      <w:bodyDiv w:val="1"/>
      <w:marLeft w:val="0"/>
      <w:marRight w:val="0"/>
      <w:marTop w:val="0"/>
      <w:marBottom w:val="0"/>
      <w:divBdr>
        <w:top w:val="none" w:sz="0" w:space="0" w:color="auto"/>
        <w:left w:val="none" w:sz="0" w:space="0" w:color="auto"/>
        <w:bottom w:val="none" w:sz="0" w:space="0" w:color="auto"/>
        <w:right w:val="none" w:sz="0" w:space="0" w:color="auto"/>
      </w:divBdr>
    </w:div>
    <w:div w:id="2096584235">
      <w:bodyDiv w:val="1"/>
      <w:marLeft w:val="0"/>
      <w:marRight w:val="0"/>
      <w:marTop w:val="0"/>
      <w:marBottom w:val="0"/>
      <w:divBdr>
        <w:top w:val="none" w:sz="0" w:space="0" w:color="auto"/>
        <w:left w:val="none" w:sz="0" w:space="0" w:color="auto"/>
        <w:bottom w:val="none" w:sz="0" w:space="0" w:color="auto"/>
        <w:right w:val="none" w:sz="0" w:space="0" w:color="auto"/>
      </w:divBdr>
    </w:div>
    <w:div w:id="2106804889">
      <w:bodyDiv w:val="1"/>
      <w:marLeft w:val="0"/>
      <w:marRight w:val="0"/>
      <w:marTop w:val="0"/>
      <w:marBottom w:val="0"/>
      <w:divBdr>
        <w:top w:val="none" w:sz="0" w:space="0" w:color="auto"/>
        <w:left w:val="none" w:sz="0" w:space="0" w:color="auto"/>
        <w:bottom w:val="none" w:sz="0" w:space="0" w:color="auto"/>
        <w:right w:val="none" w:sz="0" w:space="0" w:color="auto"/>
      </w:divBdr>
    </w:div>
    <w:div w:id="2108696151">
      <w:bodyDiv w:val="1"/>
      <w:marLeft w:val="0"/>
      <w:marRight w:val="0"/>
      <w:marTop w:val="0"/>
      <w:marBottom w:val="0"/>
      <w:divBdr>
        <w:top w:val="none" w:sz="0" w:space="0" w:color="auto"/>
        <w:left w:val="none" w:sz="0" w:space="0" w:color="auto"/>
        <w:bottom w:val="none" w:sz="0" w:space="0" w:color="auto"/>
        <w:right w:val="none" w:sz="0" w:space="0" w:color="auto"/>
      </w:divBdr>
    </w:div>
    <w:div w:id="2133131470">
      <w:bodyDiv w:val="1"/>
      <w:marLeft w:val="0"/>
      <w:marRight w:val="0"/>
      <w:marTop w:val="0"/>
      <w:marBottom w:val="0"/>
      <w:divBdr>
        <w:top w:val="none" w:sz="0" w:space="0" w:color="auto"/>
        <w:left w:val="none" w:sz="0" w:space="0" w:color="auto"/>
        <w:bottom w:val="none" w:sz="0" w:space="0" w:color="auto"/>
        <w:right w:val="none" w:sz="0" w:space="0" w:color="auto"/>
      </w:divBdr>
    </w:div>
    <w:div w:id="214546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2.emf"/><Relationship Id="rId27" Type="http://schemas.openxmlformats.org/officeDocument/2006/relationships/chart" Target="charts/chart12.xml"/><Relationship Id="rId30" Type="http://schemas.openxmlformats.org/officeDocument/2006/relationships/chart" Target="charts/chart1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oleObject" Target="file:///\\whack\Limbo\PGE\SmartAC\SmartAC%202018\Models\5_Report_Tables_Figures\Ex%20Ante%20Tables%20and%20Figur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3.1'!$B$15</c:f>
              <c:strCache>
                <c:ptCount val="1"/>
                <c:pt idx="0">
                  <c:v>Load Impact</c:v>
                </c:pt>
              </c:strCache>
            </c:strRef>
          </c:tx>
          <c:spPr>
            <a:solidFill>
              <a:srgbClr val="0C2577"/>
            </a:solidFill>
            <a:ln>
              <a:solidFill>
                <a:srgbClr val="0C2577"/>
              </a:solidFill>
            </a:ln>
            <a:effectLst/>
          </c:spPr>
          <c:invertIfNegative val="0"/>
          <c:dLbls>
            <c:dLbl>
              <c:idx val="0"/>
              <c:tx>
                <c:rich>
                  <a:bodyPr/>
                  <a:lstStyle/>
                  <a:p>
                    <a:fld id="{37F9FBB4-EE29-4965-9B22-479BE261C3D5}"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122-481F-8D31-E276AD53A982}"/>
                </c:ext>
              </c:extLst>
            </c:dLbl>
            <c:dLbl>
              <c:idx val="1"/>
              <c:tx>
                <c:rich>
                  <a:bodyPr/>
                  <a:lstStyle/>
                  <a:p>
                    <a:fld id="{D7676DFF-BD11-4AF5-8067-F402B4884F85}"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122-481F-8D31-E276AD53A982}"/>
                </c:ext>
              </c:extLst>
            </c:dLbl>
            <c:dLbl>
              <c:idx val="2"/>
              <c:tx>
                <c:rich>
                  <a:bodyPr/>
                  <a:lstStyle/>
                  <a:p>
                    <a:fld id="{4902C1EE-10D3-4C02-A506-4CF9298A9D28}"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122-481F-8D31-E276AD53A982}"/>
                </c:ext>
              </c:extLst>
            </c:dLbl>
            <c:dLbl>
              <c:idx val="3"/>
              <c:tx>
                <c:rich>
                  <a:bodyPr/>
                  <a:lstStyle/>
                  <a:p>
                    <a:fld id="{AB52D03E-F3ED-41FD-AC85-CCFF179CA60E}"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122-481F-8D31-E276AD53A982}"/>
                </c:ext>
              </c:extLst>
            </c:dLbl>
            <c:dLbl>
              <c:idx val="4"/>
              <c:tx>
                <c:rich>
                  <a:bodyPr/>
                  <a:lstStyle/>
                  <a:p>
                    <a:fld id="{AD3E1894-29E7-4548-99BE-8D57D6037A7C}"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122-481F-8D31-E276AD53A982}"/>
                </c:ext>
              </c:extLst>
            </c:dLbl>
            <c:dLbl>
              <c:idx val="5"/>
              <c:tx>
                <c:rich>
                  <a:bodyPr/>
                  <a:lstStyle/>
                  <a:p>
                    <a:fld id="{FCB1F1B2-B164-42A4-9485-745F52DD895A}"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122-481F-8D31-E276AD53A982}"/>
                </c:ext>
              </c:extLst>
            </c:dLbl>
            <c:dLbl>
              <c:idx val="6"/>
              <c:tx>
                <c:rich>
                  <a:bodyPr/>
                  <a:lstStyle/>
                  <a:p>
                    <a:fld id="{4B31B8C6-07E2-42AF-A5CF-C8F84FD2DF63}"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122-481F-8D31-E276AD53A982}"/>
                </c:ext>
              </c:extLst>
            </c:dLbl>
            <c:dLbl>
              <c:idx val="7"/>
              <c:tx>
                <c:rich>
                  <a:bodyPr/>
                  <a:lstStyle/>
                  <a:p>
                    <a:fld id="{473E3814-5E24-48DB-83E6-7A1699AFEE89}"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122-481F-8D31-E276AD53A982}"/>
                </c:ext>
              </c:extLst>
            </c:dLbl>
            <c:dLbl>
              <c:idx val="8"/>
              <c:tx>
                <c:rich>
                  <a:bodyPr/>
                  <a:lstStyle/>
                  <a:p>
                    <a:fld id="{C13D8CAD-8C6C-4291-B770-F8A16A910281}"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122-481F-8D31-E276AD53A9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errBars>
            <c:errBarType val="both"/>
            <c:errValType val="cust"/>
            <c:noEndCap val="0"/>
            <c:plus>
              <c:numRef>
                <c:f>'data 3.1'!$E$16:$E$24</c:f>
                <c:numCache>
                  <c:formatCode>General</c:formatCode>
                  <c:ptCount val="9"/>
                  <c:pt idx="0">
                    <c:v>4.3015278297504518E-3</c:v>
                  </c:pt>
                  <c:pt idx="1">
                    <c:v>4.2711550576470447E-3</c:v>
                  </c:pt>
                  <c:pt idx="2">
                    <c:v>1.1648150334391429E-2</c:v>
                  </c:pt>
                  <c:pt idx="3">
                    <c:v>6.8655280469355345E-3</c:v>
                  </c:pt>
                  <c:pt idx="4">
                    <c:v>2.8416996259229419E-2</c:v>
                  </c:pt>
                  <c:pt idx="5">
                    <c:v>4.8300396953810448E-3</c:v>
                  </c:pt>
                  <c:pt idx="6">
                    <c:v>4.5174692685447174E-3</c:v>
                  </c:pt>
                  <c:pt idx="7">
                    <c:v>7.3807117762844637E-3</c:v>
                  </c:pt>
                  <c:pt idx="8">
                    <c:v>5.1310889736431275E-2</c:v>
                  </c:pt>
                </c:numCache>
              </c:numRef>
            </c:plus>
            <c:minus>
              <c:numRef>
                <c:f>'data 3.1'!$E$16:$E$24</c:f>
                <c:numCache>
                  <c:formatCode>General</c:formatCode>
                  <c:ptCount val="9"/>
                  <c:pt idx="0">
                    <c:v>4.3015278297504518E-3</c:v>
                  </c:pt>
                  <c:pt idx="1">
                    <c:v>4.2711550576470447E-3</c:v>
                  </c:pt>
                  <c:pt idx="2">
                    <c:v>1.1648150334391429E-2</c:v>
                  </c:pt>
                  <c:pt idx="3">
                    <c:v>6.8655280469355345E-3</c:v>
                  </c:pt>
                  <c:pt idx="4">
                    <c:v>2.8416996259229419E-2</c:v>
                  </c:pt>
                  <c:pt idx="5">
                    <c:v>4.8300396953810448E-3</c:v>
                  </c:pt>
                  <c:pt idx="6">
                    <c:v>4.5174692685447174E-3</c:v>
                  </c:pt>
                  <c:pt idx="7">
                    <c:v>7.3807117762844637E-3</c:v>
                  </c:pt>
                  <c:pt idx="8">
                    <c:v>5.1310889736431275E-2</c:v>
                  </c:pt>
                </c:numCache>
              </c:numRef>
            </c:minus>
            <c:spPr>
              <a:noFill/>
              <a:ln w="25400" cap="flat" cmpd="sng" algn="ctr">
                <a:solidFill>
                  <a:srgbClr val="92D050"/>
                </a:solidFill>
                <a:round/>
              </a:ln>
              <a:effectLst/>
            </c:spPr>
          </c:errBars>
          <c:cat>
            <c:numRef>
              <c:f>'data 3.1'!$A$16:$A$24</c:f>
              <c:numCache>
                <c:formatCode>[$-409]d\-mmm;@</c:formatCode>
                <c:ptCount val="9"/>
                <c:pt idx="0">
                  <c:v>43304</c:v>
                </c:pt>
                <c:pt idx="1">
                  <c:v>43305</c:v>
                </c:pt>
                <c:pt idx="2">
                  <c:v>43306</c:v>
                </c:pt>
                <c:pt idx="3">
                  <c:v>43307</c:v>
                </c:pt>
                <c:pt idx="4">
                  <c:v>43308</c:v>
                </c:pt>
                <c:pt idx="5">
                  <c:v>43320</c:v>
                </c:pt>
                <c:pt idx="6">
                  <c:v>43321</c:v>
                </c:pt>
                <c:pt idx="7">
                  <c:v>43322</c:v>
                </c:pt>
                <c:pt idx="8">
                  <c:v>43369</c:v>
                </c:pt>
              </c:numCache>
            </c:numRef>
          </c:cat>
          <c:val>
            <c:numRef>
              <c:f>'data 3.1'!$B$16:$B$24</c:f>
              <c:numCache>
                <c:formatCode>0.00</c:formatCode>
                <c:ptCount val="9"/>
                <c:pt idx="0">
                  <c:v>0.2772753</c:v>
                </c:pt>
                <c:pt idx="1">
                  <c:v>0.29347790000000001</c:v>
                </c:pt>
                <c:pt idx="2">
                  <c:v>0.43304029999999999</c:v>
                </c:pt>
                <c:pt idx="3">
                  <c:v>0.31712590000000002</c:v>
                </c:pt>
                <c:pt idx="4">
                  <c:v>5.4475999999999997E-2</c:v>
                </c:pt>
                <c:pt idx="5">
                  <c:v>0.26126670000000002</c:v>
                </c:pt>
                <c:pt idx="6">
                  <c:v>0.34885899999999997</c:v>
                </c:pt>
                <c:pt idx="7">
                  <c:v>0.2138564</c:v>
                </c:pt>
                <c:pt idx="8">
                  <c:v>0.11484750000000001</c:v>
                </c:pt>
              </c:numCache>
            </c:numRef>
          </c:val>
          <c:extLst>
            <c:ext xmlns:c15="http://schemas.microsoft.com/office/drawing/2012/chart" uri="{02D57815-91ED-43cb-92C2-25804820EDAC}">
              <c15:datalabelsRange>
                <c15:f>'data 3.1'!$D$16:$D$24</c15:f>
                <c15:dlblRangeCache>
                  <c:ptCount val="9"/>
                  <c:pt idx="0">
                    <c:v>4-8 p.m.</c:v>
                  </c:pt>
                  <c:pt idx="1">
                    <c:v>3-8 p.m.</c:v>
                  </c:pt>
                  <c:pt idx="2">
                    <c:v>4-7 p.m.</c:v>
                  </c:pt>
                  <c:pt idx="3">
                    <c:v>3-7 p.m.</c:v>
                  </c:pt>
                  <c:pt idx="4">
                    <c:v>7-11:59 p.m.</c:v>
                  </c:pt>
                  <c:pt idx="5">
                    <c:v>4-7 p.m.</c:v>
                  </c:pt>
                  <c:pt idx="6">
                    <c:v>4-7 p.m.</c:v>
                  </c:pt>
                  <c:pt idx="7">
                    <c:v>4-7 p.m.</c:v>
                  </c:pt>
                  <c:pt idx="8">
                    <c:v>4-7 p.m.</c:v>
                  </c:pt>
                </c15:dlblRangeCache>
              </c15:datalabelsRange>
            </c:ext>
            <c:ext xmlns:c16="http://schemas.microsoft.com/office/drawing/2014/chart" uri="{C3380CC4-5D6E-409C-BE32-E72D297353CC}">
              <c16:uniqueId val="{00000009-7122-481F-8D31-E276AD53A982}"/>
            </c:ext>
          </c:extLst>
        </c:ser>
        <c:dLbls>
          <c:showLegendKey val="0"/>
          <c:showVal val="0"/>
          <c:showCatName val="0"/>
          <c:showSerName val="0"/>
          <c:showPercent val="0"/>
          <c:showBubbleSize val="0"/>
        </c:dLbls>
        <c:gapWidth val="219"/>
        <c:axId val="328513344"/>
        <c:axId val="331324896"/>
      </c:barChart>
      <c:lineChart>
        <c:grouping val="standard"/>
        <c:varyColors val="0"/>
        <c:ser>
          <c:idx val="1"/>
          <c:order val="1"/>
          <c:tx>
            <c:strRef>
              <c:f>'data 3.1'!$C$15</c:f>
              <c:strCache>
                <c:ptCount val="1"/>
                <c:pt idx="0">
                  <c:v>Event Temp.</c:v>
                </c:pt>
              </c:strCache>
            </c:strRef>
          </c:tx>
          <c:spPr>
            <a:ln w="28575" cap="rnd">
              <a:solidFill>
                <a:schemeClr val="accent2"/>
              </a:solidFill>
              <a:round/>
            </a:ln>
            <a:effectLst/>
          </c:spPr>
          <c:marker>
            <c:symbol val="none"/>
          </c:marker>
          <c:cat>
            <c:numRef>
              <c:f>'data 3.1'!$A$16:$A$24</c:f>
              <c:numCache>
                <c:formatCode>[$-409]d\-mmm;@</c:formatCode>
                <c:ptCount val="9"/>
                <c:pt idx="0">
                  <c:v>43304</c:v>
                </c:pt>
                <c:pt idx="1">
                  <c:v>43305</c:v>
                </c:pt>
                <c:pt idx="2">
                  <c:v>43306</c:v>
                </c:pt>
                <c:pt idx="3">
                  <c:v>43307</c:v>
                </c:pt>
                <c:pt idx="4">
                  <c:v>43308</c:v>
                </c:pt>
                <c:pt idx="5">
                  <c:v>43320</c:v>
                </c:pt>
                <c:pt idx="6">
                  <c:v>43321</c:v>
                </c:pt>
                <c:pt idx="7">
                  <c:v>43322</c:v>
                </c:pt>
                <c:pt idx="8">
                  <c:v>43369</c:v>
                </c:pt>
              </c:numCache>
            </c:numRef>
          </c:cat>
          <c:val>
            <c:numRef>
              <c:f>'data 3.1'!$C$16:$C$24</c:f>
              <c:numCache>
                <c:formatCode>0.0</c:formatCode>
                <c:ptCount val="9"/>
                <c:pt idx="0">
                  <c:v>98.208150000000003</c:v>
                </c:pt>
                <c:pt idx="1">
                  <c:v>100.8154</c:v>
                </c:pt>
                <c:pt idx="2">
                  <c:v>100.8758</c:v>
                </c:pt>
                <c:pt idx="3">
                  <c:v>90.693920000000006</c:v>
                </c:pt>
                <c:pt idx="4">
                  <c:v>79.099999999999994</c:v>
                </c:pt>
                <c:pt idx="5">
                  <c:v>96.05847</c:v>
                </c:pt>
                <c:pt idx="6">
                  <c:v>99.780540000000002</c:v>
                </c:pt>
                <c:pt idx="7">
                  <c:v>102.16249999999999</c:v>
                </c:pt>
                <c:pt idx="8">
                  <c:v>94.067229999999995</c:v>
                </c:pt>
              </c:numCache>
            </c:numRef>
          </c:val>
          <c:smooth val="0"/>
          <c:extLst>
            <c:ext xmlns:c16="http://schemas.microsoft.com/office/drawing/2014/chart" uri="{C3380CC4-5D6E-409C-BE32-E72D297353CC}">
              <c16:uniqueId val="{0000000A-7122-481F-8D31-E276AD53A982}"/>
            </c:ext>
          </c:extLst>
        </c:ser>
        <c:dLbls>
          <c:showLegendKey val="0"/>
          <c:showVal val="0"/>
          <c:showCatName val="0"/>
          <c:showSerName val="0"/>
          <c:showPercent val="0"/>
          <c:showBubbleSize val="0"/>
        </c:dLbls>
        <c:marker val="1"/>
        <c:smooth val="0"/>
        <c:axId val="960529471"/>
        <c:axId val="961733599"/>
      </c:lineChart>
      <c:catAx>
        <c:axId val="3285133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Event Date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409]d\-mmm;@"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31324896"/>
        <c:crosses val="autoZero"/>
        <c:auto val="0"/>
        <c:lblAlgn val="ctr"/>
        <c:lblOffset val="100"/>
        <c:noMultiLvlLbl val="1"/>
      </c:catAx>
      <c:valAx>
        <c:axId val="33132489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Average Event-hour Load Impact (kWh/customer/hr)</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28513344"/>
        <c:crosses val="autoZero"/>
        <c:crossBetween val="between"/>
      </c:valAx>
      <c:valAx>
        <c:axId val="961733599"/>
        <c:scaling>
          <c:orientation val="minMax"/>
          <c:max val="120"/>
          <c:min val="0"/>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Average Event-hour Temperature (°F)</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60529471"/>
        <c:crosses val="max"/>
        <c:crossBetween val="between"/>
        <c:majorUnit val="20"/>
      </c:valAx>
      <c:dateAx>
        <c:axId val="960529471"/>
        <c:scaling>
          <c:orientation val="minMax"/>
        </c:scaling>
        <c:delete val="1"/>
        <c:axPos val="b"/>
        <c:numFmt formatCode="[$-409]d\-mmm;@" sourceLinked="1"/>
        <c:majorTickMark val="out"/>
        <c:minorTickMark val="none"/>
        <c:tickLblPos val="nextTo"/>
        <c:crossAx val="961733599"/>
        <c:crosses val="autoZero"/>
        <c:auto val="1"/>
        <c:lblOffset val="100"/>
        <c:baseTimeUnit val="days"/>
      </c:dateAx>
      <c:spPr>
        <a:noFill/>
        <a:ln>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3"/>
          <c:tx>
            <c:strRef>
              <c:f>Data!$L$54</c:f>
              <c:strCache>
                <c:ptCount val="1"/>
                <c:pt idx="0">
                  <c:v>RA Window</c:v>
                </c:pt>
              </c:strCache>
            </c:strRef>
          </c:tx>
          <c:spPr>
            <a:solidFill>
              <a:schemeClr val="accent5">
                <a:lumMod val="40000"/>
                <a:lumOff val="60000"/>
                <a:alpha val="50000"/>
              </a:schemeClr>
            </a:solidFill>
            <a:ln w="25400">
              <a:noFill/>
            </a:ln>
            <a:effectLst/>
          </c:spPr>
          <c:invertIfNegative val="0"/>
          <c:val>
            <c:numRef>
              <c:f>Data!$L$55:$L$78</c:f>
              <c:numCache>
                <c:formatCode>General</c:formatCode>
                <c:ptCount val="24"/>
                <c:pt idx="16" formatCode="#,##0">
                  <c:v>250</c:v>
                </c:pt>
                <c:pt idx="17" formatCode="#,##0">
                  <c:v>250</c:v>
                </c:pt>
                <c:pt idx="18" formatCode="#,##0">
                  <c:v>250</c:v>
                </c:pt>
                <c:pt idx="19" formatCode="#,##0">
                  <c:v>250</c:v>
                </c:pt>
                <c:pt idx="20" formatCode="#,##0">
                  <c:v>250</c:v>
                </c:pt>
              </c:numCache>
            </c:numRef>
          </c:val>
          <c:extLst>
            <c:ext xmlns:c16="http://schemas.microsoft.com/office/drawing/2014/chart" uri="{C3380CC4-5D6E-409C-BE32-E72D297353CC}">
              <c16:uniqueId val="{00000000-B836-49F3-BC14-5C00E7FA0F48}"/>
            </c:ext>
          </c:extLst>
        </c:ser>
        <c:dLbls>
          <c:showLegendKey val="0"/>
          <c:showVal val="0"/>
          <c:showCatName val="0"/>
          <c:showSerName val="0"/>
          <c:showPercent val="0"/>
          <c:showBubbleSize val="0"/>
        </c:dLbls>
        <c:gapWidth val="0"/>
        <c:axId val="961637680"/>
        <c:axId val="929931504"/>
      </c:barChart>
      <c:lineChart>
        <c:grouping val="standard"/>
        <c:varyColors val="0"/>
        <c:ser>
          <c:idx val="3"/>
          <c:order val="0"/>
          <c:tx>
            <c:strRef>
              <c:f>Data!$I$54</c:f>
              <c:strCache>
                <c:ptCount val="1"/>
                <c:pt idx="0">
                  <c:v>Reference</c:v>
                </c:pt>
              </c:strCache>
            </c:strRef>
          </c:tx>
          <c:spPr>
            <a:ln w="28575" cap="rnd">
              <a:solidFill>
                <a:schemeClr val="accent5"/>
              </a:solidFill>
              <a:round/>
            </a:ln>
            <a:effectLst/>
          </c:spPr>
          <c:marker>
            <c:symbol val="none"/>
          </c:marker>
          <c:cat>
            <c:numRef>
              <c:f>Data!$H$3:$H$26</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Data!$I$55:$I$78</c:f>
              <c:numCache>
                <c:formatCode>#,##0.0</c:formatCode>
                <c:ptCount val="24"/>
                <c:pt idx="0">
                  <c:v>79.190309999999997</c:v>
                </c:pt>
                <c:pt idx="1">
                  <c:v>67.322959999999995</c:v>
                </c:pt>
                <c:pt idx="2">
                  <c:v>59.423299999999998</c:v>
                </c:pt>
                <c:pt idx="3">
                  <c:v>54.414409999999997</c:v>
                </c:pt>
                <c:pt idx="4">
                  <c:v>52.128990000000002</c:v>
                </c:pt>
                <c:pt idx="5">
                  <c:v>52.26728</c:v>
                </c:pt>
                <c:pt idx="6">
                  <c:v>54.859769999999997</c:v>
                </c:pt>
                <c:pt idx="7">
                  <c:v>54.804369999999999</c:v>
                </c:pt>
                <c:pt idx="8">
                  <c:v>51.20429</c:v>
                </c:pt>
                <c:pt idx="9">
                  <c:v>47.668750000000003</c:v>
                </c:pt>
                <c:pt idx="10">
                  <c:v>48.091920000000002</c:v>
                </c:pt>
                <c:pt idx="11">
                  <c:v>54.636740000000003</c:v>
                </c:pt>
                <c:pt idx="12">
                  <c:v>68.764189999999999</c:v>
                </c:pt>
                <c:pt idx="13">
                  <c:v>89.393069999999994</c:v>
                </c:pt>
                <c:pt idx="14">
                  <c:v>115.992</c:v>
                </c:pt>
                <c:pt idx="15">
                  <c:v>147.49449999999999</c:v>
                </c:pt>
                <c:pt idx="16">
                  <c:v>178.60419999999999</c:v>
                </c:pt>
                <c:pt idx="17">
                  <c:v>201.9248</c:v>
                </c:pt>
                <c:pt idx="18">
                  <c:v>206.7482</c:v>
                </c:pt>
                <c:pt idx="19">
                  <c:v>192.36340000000001</c:v>
                </c:pt>
                <c:pt idx="20">
                  <c:v>171.35820000000001</c:v>
                </c:pt>
                <c:pt idx="21">
                  <c:v>151.1807</c:v>
                </c:pt>
                <c:pt idx="22">
                  <c:v>123.0463</c:v>
                </c:pt>
                <c:pt idx="23">
                  <c:v>97.940780000000004</c:v>
                </c:pt>
              </c:numCache>
            </c:numRef>
          </c:val>
          <c:smooth val="0"/>
          <c:extLst>
            <c:ext xmlns:c16="http://schemas.microsoft.com/office/drawing/2014/chart" uri="{C3380CC4-5D6E-409C-BE32-E72D297353CC}">
              <c16:uniqueId val="{00000001-B836-49F3-BC14-5C00E7FA0F48}"/>
            </c:ext>
          </c:extLst>
        </c:ser>
        <c:ser>
          <c:idx val="0"/>
          <c:order val="1"/>
          <c:tx>
            <c:strRef>
              <c:f>Data!$J$54</c:f>
              <c:strCache>
                <c:ptCount val="1"/>
                <c:pt idx="0">
                  <c:v>Observed</c:v>
                </c:pt>
              </c:strCache>
            </c:strRef>
          </c:tx>
          <c:spPr>
            <a:ln w="28575" cap="rnd">
              <a:solidFill>
                <a:schemeClr val="accent2"/>
              </a:solidFill>
              <a:prstDash val="dash"/>
              <a:round/>
            </a:ln>
            <a:effectLst/>
          </c:spPr>
          <c:marker>
            <c:symbol val="none"/>
          </c:marker>
          <c:cat>
            <c:numRef>
              <c:f>Data!$H$3:$H$26</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Data!$J$55:$J$78</c:f>
              <c:numCache>
                <c:formatCode>#,##0.0</c:formatCode>
                <c:ptCount val="24"/>
                <c:pt idx="0">
                  <c:v>79.190309999999997</c:v>
                </c:pt>
                <c:pt idx="1">
                  <c:v>67.322969999999998</c:v>
                </c:pt>
                <c:pt idx="2">
                  <c:v>59.423299999999998</c:v>
                </c:pt>
                <c:pt idx="3">
                  <c:v>54.414409999999997</c:v>
                </c:pt>
                <c:pt idx="4">
                  <c:v>52.128990000000002</c:v>
                </c:pt>
                <c:pt idx="5">
                  <c:v>52.26728</c:v>
                </c:pt>
                <c:pt idx="6">
                  <c:v>54.859769999999997</c:v>
                </c:pt>
                <c:pt idx="7">
                  <c:v>54.804369999999999</c:v>
                </c:pt>
                <c:pt idx="8">
                  <c:v>51.20429</c:v>
                </c:pt>
                <c:pt idx="9">
                  <c:v>47.668750000000003</c:v>
                </c:pt>
                <c:pt idx="10">
                  <c:v>48.091920000000002</c:v>
                </c:pt>
                <c:pt idx="11">
                  <c:v>54.636740000000003</c:v>
                </c:pt>
                <c:pt idx="12">
                  <c:v>68.764189999999999</c:v>
                </c:pt>
                <c:pt idx="13">
                  <c:v>89.393069999999994</c:v>
                </c:pt>
                <c:pt idx="14">
                  <c:v>115.992</c:v>
                </c:pt>
                <c:pt idx="15">
                  <c:v>147.49449999999999</c:v>
                </c:pt>
                <c:pt idx="16">
                  <c:v>126.3357</c:v>
                </c:pt>
                <c:pt idx="17">
                  <c:v>149.5787</c:v>
                </c:pt>
                <c:pt idx="18">
                  <c:v>156.0521</c:v>
                </c:pt>
                <c:pt idx="19">
                  <c:v>152.71969999999999</c:v>
                </c:pt>
                <c:pt idx="20">
                  <c:v>146.45089999999999</c:v>
                </c:pt>
                <c:pt idx="21">
                  <c:v>171.6994</c:v>
                </c:pt>
                <c:pt idx="22">
                  <c:v>145.77930000000001</c:v>
                </c:pt>
                <c:pt idx="23">
                  <c:v>111.9628</c:v>
                </c:pt>
              </c:numCache>
            </c:numRef>
          </c:val>
          <c:smooth val="0"/>
          <c:extLst>
            <c:ext xmlns:c16="http://schemas.microsoft.com/office/drawing/2014/chart" uri="{C3380CC4-5D6E-409C-BE32-E72D297353CC}">
              <c16:uniqueId val="{00000002-B836-49F3-BC14-5C00E7FA0F48}"/>
            </c:ext>
          </c:extLst>
        </c:ser>
        <c:ser>
          <c:idx val="1"/>
          <c:order val="2"/>
          <c:tx>
            <c:strRef>
              <c:f>Data!$K$54</c:f>
              <c:strCache>
                <c:ptCount val="1"/>
                <c:pt idx="0">
                  <c:v>Load_Impact</c:v>
                </c:pt>
              </c:strCache>
            </c:strRef>
          </c:tx>
          <c:spPr>
            <a:ln w="28575" cap="rnd">
              <a:solidFill>
                <a:srgbClr val="92D050"/>
              </a:solidFill>
              <a:round/>
            </a:ln>
            <a:effectLst/>
          </c:spPr>
          <c:marker>
            <c:symbol val="square"/>
            <c:size val="5"/>
            <c:spPr>
              <a:solidFill>
                <a:srgbClr val="92D050"/>
              </a:solidFill>
              <a:ln w="9525">
                <a:noFill/>
              </a:ln>
              <a:effectLst/>
            </c:spPr>
          </c:marker>
          <c:val>
            <c:numRef>
              <c:f>Data!$K$55:$K$78</c:f>
              <c:numCache>
                <c:formatCode>#,##0.0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52.268504</c:v>
                </c:pt>
                <c:pt idx="17">
                  <c:v>52.346074999999999</c:v>
                </c:pt>
                <c:pt idx="18">
                  <c:v>50.696108000000002</c:v>
                </c:pt>
                <c:pt idx="19">
                  <c:v>39.643684</c:v>
                </c:pt>
                <c:pt idx="20">
                  <c:v>24.907271999999999</c:v>
                </c:pt>
                <c:pt idx="21">
                  <c:v>-20.518695000000001</c:v>
                </c:pt>
                <c:pt idx="22">
                  <c:v>-22.733069</c:v>
                </c:pt>
                <c:pt idx="23">
                  <c:v>-14.02205</c:v>
                </c:pt>
              </c:numCache>
            </c:numRef>
          </c:val>
          <c:smooth val="0"/>
          <c:extLst>
            <c:ext xmlns:c16="http://schemas.microsoft.com/office/drawing/2014/chart" uri="{C3380CC4-5D6E-409C-BE32-E72D297353CC}">
              <c16:uniqueId val="{00000003-B836-49F3-BC14-5C00E7FA0F48}"/>
            </c:ext>
          </c:extLst>
        </c:ser>
        <c:dLbls>
          <c:showLegendKey val="0"/>
          <c:showVal val="0"/>
          <c:showCatName val="0"/>
          <c:showSerName val="0"/>
          <c:showPercent val="0"/>
          <c:showBubbleSize val="0"/>
        </c:dLbls>
        <c:marker val="1"/>
        <c:smooth val="0"/>
        <c:axId val="961637680"/>
        <c:axId val="929931504"/>
      </c:lineChart>
      <c:catAx>
        <c:axId val="9616376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Hour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29931504"/>
        <c:crosses val="autoZero"/>
        <c:auto val="1"/>
        <c:lblAlgn val="ctr"/>
        <c:lblOffset val="100"/>
        <c:noMultiLvlLbl val="0"/>
      </c:catAx>
      <c:valAx>
        <c:axId val="929931504"/>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Load (MWh/hr)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61637680"/>
        <c:crosses val="autoZero"/>
        <c:crossBetween val="between"/>
      </c:valAx>
      <c:spPr>
        <a:noFill/>
        <a:ln w="0">
          <a:solidFill>
            <a:schemeClr val="tx1"/>
          </a:solidFill>
        </a:ln>
        <a:effectLst/>
      </c:spPr>
    </c:plotArea>
    <c:legend>
      <c:legendPos val="b"/>
      <c:overlay val="0"/>
      <c:spPr>
        <a:noFill/>
        <a:ln w="0">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2"/>
          <c:tx>
            <c:strRef>
              <c:f>Data!$L$28</c:f>
              <c:strCache>
                <c:ptCount val="1"/>
                <c:pt idx="0">
                  <c:v>RA Window</c:v>
                </c:pt>
              </c:strCache>
            </c:strRef>
          </c:tx>
          <c:spPr>
            <a:solidFill>
              <a:schemeClr val="accent5">
                <a:lumMod val="40000"/>
                <a:lumOff val="60000"/>
                <a:alpha val="50000"/>
              </a:schemeClr>
            </a:solidFill>
            <a:ln w="28575">
              <a:noFill/>
            </a:ln>
            <a:effectLst/>
          </c:spPr>
          <c:invertIfNegative val="0"/>
          <c:val>
            <c:numRef>
              <c:f>Data!$L$29:$L$52</c:f>
              <c:numCache>
                <c:formatCode>General</c:formatCode>
                <c:ptCount val="24"/>
                <c:pt idx="16" formatCode="#,##0">
                  <c:v>35</c:v>
                </c:pt>
                <c:pt idx="17" formatCode="#,##0">
                  <c:v>35</c:v>
                </c:pt>
                <c:pt idx="18" formatCode="#,##0">
                  <c:v>35</c:v>
                </c:pt>
                <c:pt idx="19" formatCode="#,##0">
                  <c:v>35</c:v>
                </c:pt>
                <c:pt idx="20" formatCode="#,##0">
                  <c:v>35</c:v>
                </c:pt>
              </c:numCache>
            </c:numRef>
          </c:val>
          <c:extLst>
            <c:ext xmlns:c16="http://schemas.microsoft.com/office/drawing/2014/chart" uri="{C3380CC4-5D6E-409C-BE32-E72D297353CC}">
              <c16:uniqueId val="{00000000-2BD7-4EC6-ADC2-18A9E8A8F559}"/>
            </c:ext>
          </c:extLst>
        </c:ser>
        <c:dLbls>
          <c:showLegendKey val="0"/>
          <c:showVal val="0"/>
          <c:showCatName val="0"/>
          <c:showSerName val="0"/>
          <c:showPercent val="0"/>
          <c:showBubbleSize val="0"/>
        </c:dLbls>
        <c:gapWidth val="0"/>
        <c:axId val="961637680"/>
        <c:axId val="929931504"/>
      </c:barChart>
      <c:lineChart>
        <c:grouping val="standard"/>
        <c:varyColors val="0"/>
        <c:ser>
          <c:idx val="3"/>
          <c:order val="0"/>
          <c:tx>
            <c:strRef>
              <c:f>Data!$I$28</c:f>
              <c:strCache>
                <c:ptCount val="1"/>
                <c:pt idx="0">
                  <c:v>Reference</c:v>
                </c:pt>
              </c:strCache>
            </c:strRef>
          </c:tx>
          <c:spPr>
            <a:ln w="28575" cap="rnd">
              <a:solidFill>
                <a:schemeClr val="accent5"/>
              </a:solidFill>
              <a:round/>
            </a:ln>
            <a:effectLst/>
          </c:spPr>
          <c:marker>
            <c:symbol val="none"/>
          </c:marker>
          <c:cat>
            <c:numRef>
              <c:f>Data!$H$29:$H$52</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Data!$I$29:$I$52</c:f>
              <c:numCache>
                <c:formatCode>#,##0.0</c:formatCode>
                <c:ptCount val="24"/>
                <c:pt idx="0">
                  <c:v>13.73216</c:v>
                </c:pt>
                <c:pt idx="1">
                  <c:v>11.73616</c:v>
                </c:pt>
                <c:pt idx="2">
                  <c:v>10.446820000000001</c:v>
                </c:pt>
                <c:pt idx="3">
                  <c:v>9.6270290000000003</c:v>
                </c:pt>
                <c:pt idx="4">
                  <c:v>9.2640670000000007</c:v>
                </c:pt>
                <c:pt idx="5">
                  <c:v>9.4572520000000004</c:v>
                </c:pt>
                <c:pt idx="6">
                  <c:v>10.212619999999999</c:v>
                </c:pt>
                <c:pt idx="7">
                  <c:v>10.895949999999999</c:v>
                </c:pt>
                <c:pt idx="8">
                  <c:v>11.458349999999999</c:v>
                </c:pt>
                <c:pt idx="9">
                  <c:v>12.32517</c:v>
                </c:pt>
                <c:pt idx="10">
                  <c:v>13.64095</c:v>
                </c:pt>
                <c:pt idx="11">
                  <c:v>15.51643</c:v>
                </c:pt>
                <c:pt idx="12">
                  <c:v>18.148520000000001</c:v>
                </c:pt>
                <c:pt idx="13">
                  <c:v>21.175850000000001</c:v>
                </c:pt>
                <c:pt idx="14">
                  <c:v>24.374739999999999</c:v>
                </c:pt>
                <c:pt idx="15">
                  <c:v>28.238810000000001</c:v>
                </c:pt>
                <c:pt idx="16">
                  <c:v>31.700040000000001</c:v>
                </c:pt>
                <c:pt idx="17">
                  <c:v>34.046390000000002</c:v>
                </c:pt>
                <c:pt idx="18">
                  <c:v>33.718739999999997</c:v>
                </c:pt>
                <c:pt idx="19">
                  <c:v>31.77122</c:v>
                </c:pt>
                <c:pt idx="20">
                  <c:v>29.02976</c:v>
                </c:pt>
                <c:pt idx="21">
                  <c:v>26.040489999999998</c:v>
                </c:pt>
                <c:pt idx="22">
                  <c:v>21.35754</c:v>
                </c:pt>
                <c:pt idx="23">
                  <c:v>16.90831</c:v>
                </c:pt>
              </c:numCache>
            </c:numRef>
          </c:val>
          <c:smooth val="0"/>
          <c:extLst>
            <c:ext xmlns:c16="http://schemas.microsoft.com/office/drawing/2014/chart" uri="{C3380CC4-5D6E-409C-BE32-E72D297353CC}">
              <c16:uniqueId val="{00000001-2BD7-4EC6-ADC2-18A9E8A8F559}"/>
            </c:ext>
          </c:extLst>
        </c:ser>
        <c:ser>
          <c:idx val="0"/>
          <c:order val="1"/>
          <c:tx>
            <c:strRef>
              <c:f>Data!$J$28</c:f>
              <c:strCache>
                <c:ptCount val="1"/>
                <c:pt idx="0">
                  <c:v>Observed</c:v>
                </c:pt>
              </c:strCache>
            </c:strRef>
          </c:tx>
          <c:spPr>
            <a:ln w="28575" cap="rnd">
              <a:solidFill>
                <a:schemeClr val="accent2"/>
              </a:solidFill>
              <a:prstDash val="dash"/>
              <a:round/>
            </a:ln>
            <a:effectLst/>
          </c:spPr>
          <c:marker>
            <c:symbol val="none"/>
          </c:marker>
          <c:cat>
            <c:numRef>
              <c:f>Data!$H$29:$H$52</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Data!$J$29:$J$52</c:f>
              <c:numCache>
                <c:formatCode>#,##0.0</c:formatCode>
                <c:ptCount val="24"/>
                <c:pt idx="0">
                  <c:v>13.73216</c:v>
                </c:pt>
                <c:pt idx="1">
                  <c:v>11.73616</c:v>
                </c:pt>
                <c:pt idx="2">
                  <c:v>10.446820000000001</c:v>
                </c:pt>
                <c:pt idx="3">
                  <c:v>9.6270279999999993</c:v>
                </c:pt>
                <c:pt idx="4">
                  <c:v>9.264068</c:v>
                </c:pt>
                <c:pt idx="5">
                  <c:v>9.4572520000000004</c:v>
                </c:pt>
                <c:pt idx="6">
                  <c:v>10.212619999999999</c:v>
                </c:pt>
                <c:pt idx="7">
                  <c:v>10.895960000000001</c:v>
                </c:pt>
                <c:pt idx="8">
                  <c:v>11.458349999999999</c:v>
                </c:pt>
                <c:pt idx="9">
                  <c:v>12.32517</c:v>
                </c:pt>
                <c:pt idx="10">
                  <c:v>13.64095</c:v>
                </c:pt>
                <c:pt idx="11">
                  <c:v>15.51643</c:v>
                </c:pt>
                <c:pt idx="12">
                  <c:v>18.148520000000001</c:v>
                </c:pt>
                <c:pt idx="13">
                  <c:v>21.175850000000001</c:v>
                </c:pt>
                <c:pt idx="14">
                  <c:v>24.374739999999999</c:v>
                </c:pt>
                <c:pt idx="15">
                  <c:v>28.238810000000001</c:v>
                </c:pt>
                <c:pt idx="16">
                  <c:v>24.489879999999999</c:v>
                </c:pt>
                <c:pt idx="17">
                  <c:v>26.77854</c:v>
                </c:pt>
                <c:pt idx="18">
                  <c:v>26.63702</c:v>
                </c:pt>
                <c:pt idx="19">
                  <c:v>26.19219</c:v>
                </c:pt>
                <c:pt idx="20">
                  <c:v>25.490290000000002</c:v>
                </c:pt>
                <c:pt idx="21">
                  <c:v>28.971820000000001</c:v>
                </c:pt>
                <c:pt idx="22">
                  <c:v>24.595389999999998</c:v>
                </c:pt>
                <c:pt idx="23">
                  <c:v>18.925370000000001</c:v>
                </c:pt>
              </c:numCache>
            </c:numRef>
          </c:val>
          <c:smooth val="0"/>
          <c:extLst>
            <c:ext xmlns:c16="http://schemas.microsoft.com/office/drawing/2014/chart" uri="{C3380CC4-5D6E-409C-BE32-E72D297353CC}">
              <c16:uniqueId val="{00000002-2BD7-4EC6-ADC2-18A9E8A8F559}"/>
            </c:ext>
          </c:extLst>
        </c:ser>
        <c:ser>
          <c:idx val="2"/>
          <c:order val="3"/>
          <c:tx>
            <c:strRef>
              <c:f>Data!$K$28</c:f>
              <c:strCache>
                <c:ptCount val="1"/>
                <c:pt idx="0">
                  <c:v>Load_Impact</c:v>
                </c:pt>
              </c:strCache>
            </c:strRef>
          </c:tx>
          <c:spPr>
            <a:ln w="28575" cap="rnd">
              <a:solidFill>
                <a:srgbClr val="92D050"/>
              </a:solidFill>
              <a:round/>
            </a:ln>
            <a:effectLst/>
          </c:spPr>
          <c:marker>
            <c:symbol val="square"/>
            <c:size val="5"/>
            <c:spPr>
              <a:solidFill>
                <a:srgbClr val="92D050"/>
              </a:solidFill>
              <a:ln w="9525">
                <a:noFill/>
              </a:ln>
              <a:effectLst/>
            </c:spPr>
          </c:marker>
          <c:val>
            <c:numRef>
              <c:f>Data!$K$29:$K$52</c:f>
              <c:numCache>
                <c:formatCode>#,##0.0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7.2101613999999996</c:v>
                </c:pt>
                <c:pt idx="17">
                  <c:v>7.2678484000000001</c:v>
                </c:pt>
                <c:pt idx="18">
                  <c:v>7.0817151000000003</c:v>
                </c:pt>
                <c:pt idx="19">
                  <c:v>5.5790255999999996</c:v>
                </c:pt>
                <c:pt idx="20">
                  <c:v>3.5394746000000001</c:v>
                </c:pt>
                <c:pt idx="21">
                  <c:v>-2.9313319</c:v>
                </c:pt>
                <c:pt idx="22">
                  <c:v>-3.2378504000000001</c:v>
                </c:pt>
                <c:pt idx="23">
                  <c:v>-2.0170599999999999</c:v>
                </c:pt>
              </c:numCache>
            </c:numRef>
          </c:val>
          <c:smooth val="0"/>
          <c:extLst>
            <c:ext xmlns:c16="http://schemas.microsoft.com/office/drawing/2014/chart" uri="{C3380CC4-5D6E-409C-BE32-E72D297353CC}">
              <c16:uniqueId val="{00000003-2BD7-4EC6-ADC2-18A9E8A8F559}"/>
            </c:ext>
          </c:extLst>
        </c:ser>
        <c:dLbls>
          <c:showLegendKey val="0"/>
          <c:showVal val="0"/>
          <c:showCatName val="0"/>
          <c:showSerName val="0"/>
          <c:showPercent val="0"/>
          <c:showBubbleSize val="0"/>
        </c:dLbls>
        <c:marker val="1"/>
        <c:smooth val="0"/>
        <c:axId val="961637680"/>
        <c:axId val="929931504"/>
      </c:lineChart>
      <c:catAx>
        <c:axId val="9616376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Hour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29931504"/>
        <c:crosses val="autoZero"/>
        <c:auto val="1"/>
        <c:lblAlgn val="ctr"/>
        <c:lblOffset val="100"/>
        <c:noMultiLvlLbl val="0"/>
      </c:catAx>
      <c:valAx>
        <c:axId val="929931504"/>
        <c:scaling>
          <c:orientation val="minMax"/>
          <c:max val="3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Load (MWh/hr)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61637680"/>
        <c:crosses val="autoZero"/>
        <c:crossBetween val="between"/>
      </c:valAx>
      <c:spPr>
        <a:noFill/>
        <a:ln w="0">
          <a:solidFill>
            <a:schemeClr val="tx1"/>
          </a:solidFill>
        </a:ln>
        <a:effectLst/>
      </c:spPr>
    </c:plotArea>
    <c:legend>
      <c:legendPos val="b"/>
      <c:overlay val="0"/>
      <c:spPr>
        <a:noFill/>
        <a:ln w="0">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0"/>
          <c:tx>
            <c:strRef>
              <c:f>Data!$Q$22</c:f>
              <c:strCache>
                <c:ptCount val="1"/>
                <c:pt idx="0">
                  <c:v>PG&amp;E  1-in-10</c:v>
                </c:pt>
              </c:strCache>
            </c:strRef>
          </c:tx>
          <c:spPr>
            <a:solidFill>
              <a:schemeClr val="accent3"/>
            </a:solidFill>
            <a:ln>
              <a:noFill/>
            </a:ln>
            <a:effectLst/>
          </c:spPr>
          <c:invertIfNegative val="0"/>
          <c:cat>
            <c:strRef>
              <c:f>Data!$P$23:$P$28</c:f>
              <c:strCache>
                <c:ptCount val="6"/>
                <c:pt idx="0">
                  <c:v>May</c:v>
                </c:pt>
                <c:pt idx="1">
                  <c:v>June</c:v>
                </c:pt>
                <c:pt idx="2">
                  <c:v>July</c:v>
                </c:pt>
                <c:pt idx="3">
                  <c:v>August</c:v>
                </c:pt>
                <c:pt idx="4">
                  <c:v>September</c:v>
                </c:pt>
                <c:pt idx="5">
                  <c:v>October</c:v>
                </c:pt>
              </c:strCache>
            </c:strRef>
          </c:cat>
          <c:val>
            <c:numRef>
              <c:f>Data!$Q$23:$Q$28</c:f>
              <c:numCache>
                <c:formatCode>0.00</c:formatCode>
                <c:ptCount val="6"/>
                <c:pt idx="0">
                  <c:v>50.696829999999999</c:v>
                </c:pt>
                <c:pt idx="1">
                  <c:v>60.317790000000002</c:v>
                </c:pt>
                <c:pt idx="2">
                  <c:v>65.392840000000007</c:v>
                </c:pt>
                <c:pt idx="3">
                  <c:v>60.24015</c:v>
                </c:pt>
                <c:pt idx="4">
                  <c:v>49.29815</c:v>
                </c:pt>
                <c:pt idx="5">
                  <c:v>37.291829999999997</c:v>
                </c:pt>
              </c:numCache>
            </c:numRef>
          </c:val>
          <c:extLst>
            <c:ext xmlns:c16="http://schemas.microsoft.com/office/drawing/2014/chart" uri="{C3380CC4-5D6E-409C-BE32-E72D297353CC}">
              <c16:uniqueId val="{00000000-BF82-4822-B661-D910F61D454D}"/>
            </c:ext>
          </c:extLst>
        </c:ser>
        <c:ser>
          <c:idx val="0"/>
          <c:order val="1"/>
          <c:tx>
            <c:strRef>
              <c:f>Data!$R$22</c:f>
              <c:strCache>
                <c:ptCount val="1"/>
                <c:pt idx="0">
                  <c:v>PG&amp;E  1-in-2</c:v>
                </c:pt>
              </c:strCache>
            </c:strRef>
          </c:tx>
          <c:spPr>
            <a:solidFill>
              <a:schemeClr val="accent4"/>
            </a:solidFill>
            <a:ln>
              <a:noFill/>
            </a:ln>
            <a:effectLst/>
          </c:spPr>
          <c:invertIfNegative val="0"/>
          <c:cat>
            <c:strRef>
              <c:f>Data!$P$23:$P$28</c:f>
              <c:strCache>
                <c:ptCount val="6"/>
                <c:pt idx="0">
                  <c:v>May</c:v>
                </c:pt>
                <c:pt idx="1">
                  <c:v>June</c:v>
                </c:pt>
                <c:pt idx="2">
                  <c:v>July</c:v>
                </c:pt>
                <c:pt idx="3">
                  <c:v>August</c:v>
                </c:pt>
                <c:pt idx="4">
                  <c:v>September</c:v>
                </c:pt>
                <c:pt idx="5">
                  <c:v>October</c:v>
                </c:pt>
              </c:strCache>
            </c:strRef>
          </c:cat>
          <c:val>
            <c:numRef>
              <c:f>Data!$R$23:$R$28</c:f>
              <c:numCache>
                <c:formatCode>0.00</c:formatCode>
                <c:ptCount val="6"/>
                <c:pt idx="0">
                  <c:v>31.292639999999999</c:v>
                </c:pt>
                <c:pt idx="1">
                  <c:v>51.36918</c:v>
                </c:pt>
                <c:pt idx="2">
                  <c:v>53.856819999999999</c:v>
                </c:pt>
                <c:pt idx="3">
                  <c:v>50.568890000000003</c:v>
                </c:pt>
                <c:pt idx="4">
                  <c:v>44.636960000000002</c:v>
                </c:pt>
                <c:pt idx="5">
                  <c:v>18.40523</c:v>
                </c:pt>
              </c:numCache>
            </c:numRef>
          </c:val>
          <c:extLst>
            <c:ext xmlns:c16="http://schemas.microsoft.com/office/drawing/2014/chart" uri="{C3380CC4-5D6E-409C-BE32-E72D297353CC}">
              <c16:uniqueId val="{00000001-BF82-4822-B661-D910F61D454D}"/>
            </c:ext>
          </c:extLst>
        </c:ser>
        <c:ser>
          <c:idx val="1"/>
          <c:order val="2"/>
          <c:tx>
            <c:strRef>
              <c:f>Data!$S$22</c:f>
              <c:strCache>
                <c:ptCount val="1"/>
                <c:pt idx="0">
                  <c:v>CAISO  1-in-10</c:v>
                </c:pt>
              </c:strCache>
            </c:strRef>
          </c:tx>
          <c:spPr>
            <a:solidFill>
              <a:schemeClr val="accent5"/>
            </a:solidFill>
            <a:ln>
              <a:noFill/>
            </a:ln>
            <a:effectLst/>
          </c:spPr>
          <c:invertIfNegative val="0"/>
          <c:cat>
            <c:strRef>
              <c:f>Data!$P$23:$P$28</c:f>
              <c:strCache>
                <c:ptCount val="6"/>
                <c:pt idx="0">
                  <c:v>May</c:v>
                </c:pt>
                <c:pt idx="1">
                  <c:v>June</c:v>
                </c:pt>
                <c:pt idx="2">
                  <c:v>July</c:v>
                </c:pt>
                <c:pt idx="3">
                  <c:v>August</c:v>
                </c:pt>
                <c:pt idx="4">
                  <c:v>September</c:v>
                </c:pt>
                <c:pt idx="5">
                  <c:v>October</c:v>
                </c:pt>
              </c:strCache>
            </c:strRef>
          </c:cat>
          <c:val>
            <c:numRef>
              <c:f>Data!$S$23:$S$28</c:f>
              <c:numCache>
                <c:formatCode>0.00</c:formatCode>
                <c:ptCount val="6"/>
                <c:pt idx="0">
                  <c:v>38.89087</c:v>
                </c:pt>
                <c:pt idx="1">
                  <c:v>47.523220000000002</c:v>
                </c:pt>
                <c:pt idx="2">
                  <c:v>61.166060000000002</c:v>
                </c:pt>
                <c:pt idx="3">
                  <c:v>54.580590000000001</c:v>
                </c:pt>
                <c:pt idx="4">
                  <c:v>40.489620000000002</c:v>
                </c:pt>
                <c:pt idx="5">
                  <c:v>30.203289999999999</c:v>
                </c:pt>
              </c:numCache>
            </c:numRef>
          </c:val>
          <c:extLst>
            <c:ext xmlns:c16="http://schemas.microsoft.com/office/drawing/2014/chart" uri="{C3380CC4-5D6E-409C-BE32-E72D297353CC}">
              <c16:uniqueId val="{00000002-BF82-4822-B661-D910F61D454D}"/>
            </c:ext>
          </c:extLst>
        </c:ser>
        <c:ser>
          <c:idx val="2"/>
          <c:order val="3"/>
          <c:tx>
            <c:strRef>
              <c:f>Data!$T$22</c:f>
              <c:strCache>
                <c:ptCount val="1"/>
                <c:pt idx="0">
                  <c:v>CAISO  1-in-2</c:v>
                </c:pt>
              </c:strCache>
            </c:strRef>
          </c:tx>
          <c:spPr>
            <a:solidFill>
              <a:schemeClr val="accent2"/>
            </a:solidFill>
            <a:ln>
              <a:noFill/>
            </a:ln>
            <a:effectLst/>
          </c:spPr>
          <c:invertIfNegative val="0"/>
          <c:cat>
            <c:strRef>
              <c:f>Data!$P$23:$P$28</c:f>
              <c:strCache>
                <c:ptCount val="6"/>
                <c:pt idx="0">
                  <c:v>May</c:v>
                </c:pt>
                <c:pt idx="1">
                  <c:v>June</c:v>
                </c:pt>
                <c:pt idx="2">
                  <c:v>July</c:v>
                </c:pt>
                <c:pt idx="3">
                  <c:v>August</c:v>
                </c:pt>
                <c:pt idx="4">
                  <c:v>September</c:v>
                </c:pt>
                <c:pt idx="5">
                  <c:v>October</c:v>
                </c:pt>
              </c:strCache>
            </c:strRef>
          </c:cat>
          <c:val>
            <c:numRef>
              <c:f>Data!$T$23:$T$28</c:f>
              <c:numCache>
                <c:formatCode>0.00</c:formatCode>
                <c:ptCount val="6"/>
                <c:pt idx="0">
                  <c:v>27.74813</c:v>
                </c:pt>
                <c:pt idx="1">
                  <c:v>50.509720000000002</c:v>
                </c:pt>
                <c:pt idx="2">
                  <c:v>45.376379999999997</c:v>
                </c:pt>
                <c:pt idx="3">
                  <c:v>37.987299999999998</c:v>
                </c:pt>
                <c:pt idx="4">
                  <c:v>33.249949999999998</c:v>
                </c:pt>
                <c:pt idx="5">
                  <c:v>20.645520000000001</c:v>
                </c:pt>
              </c:numCache>
            </c:numRef>
          </c:val>
          <c:extLst>
            <c:ext xmlns:c16="http://schemas.microsoft.com/office/drawing/2014/chart" uri="{C3380CC4-5D6E-409C-BE32-E72D297353CC}">
              <c16:uniqueId val="{00000003-BF82-4822-B661-D910F61D454D}"/>
            </c:ext>
          </c:extLst>
        </c:ser>
        <c:dLbls>
          <c:showLegendKey val="0"/>
          <c:showVal val="0"/>
          <c:showCatName val="0"/>
          <c:showSerName val="0"/>
          <c:showPercent val="0"/>
          <c:showBubbleSize val="0"/>
        </c:dLbls>
        <c:gapWidth val="219"/>
        <c:overlap val="-27"/>
        <c:axId val="957762816"/>
        <c:axId val="1052070752"/>
      </c:barChart>
      <c:catAx>
        <c:axId val="9577628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Month</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52070752"/>
        <c:crosses val="autoZero"/>
        <c:auto val="1"/>
        <c:lblAlgn val="ctr"/>
        <c:lblOffset val="100"/>
        <c:noMultiLvlLbl val="0"/>
      </c:catAx>
      <c:valAx>
        <c:axId val="105207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Average RA Window Load Impact (MWh/hr)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57762816"/>
        <c:crosses val="autoZero"/>
        <c:crossBetween val="between"/>
      </c:valAx>
      <c:spPr>
        <a:noFill/>
        <a:ln w="0">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3"/>
          <c:order val="0"/>
          <c:tx>
            <c:strRef>
              <c:f>Data!$AE$2</c:f>
              <c:strCache>
                <c:ptCount val="1"/>
                <c:pt idx="0">
                  <c:v>Share of Enrollment</c:v>
                </c:pt>
              </c:strCache>
            </c:strRef>
          </c:tx>
          <c:spPr>
            <a:solidFill>
              <a:srgbClr val="0C2577"/>
            </a:solidFill>
            <a:ln>
              <a:noFill/>
            </a:ln>
            <a:effectLst/>
          </c:spPr>
          <c:invertIfNegative val="0"/>
          <c:cat>
            <c:strRef>
              <c:f>Data!$W$3:$W$10</c:f>
              <c:strCache>
                <c:ptCount val="8"/>
                <c:pt idx="0">
                  <c:v>Greater Bay Area</c:v>
                </c:pt>
                <c:pt idx="1">
                  <c:v>Greater Fresno</c:v>
                </c:pt>
                <c:pt idx="2">
                  <c:v>Humboldt</c:v>
                </c:pt>
                <c:pt idx="3">
                  <c:v>Kern</c:v>
                </c:pt>
                <c:pt idx="4">
                  <c:v>Northern Coast</c:v>
                </c:pt>
                <c:pt idx="5">
                  <c:v>Other</c:v>
                </c:pt>
                <c:pt idx="6">
                  <c:v>Sierra</c:v>
                </c:pt>
                <c:pt idx="7">
                  <c:v>Stockton</c:v>
                </c:pt>
              </c:strCache>
            </c:strRef>
          </c:cat>
          <c:val>
            <c:numRef>
              <c:f>Data!$AE$3:$AE$10</c:f>
              <c:numCache>
                <c:formatCode>0.0%</c:formatCode>
                <c:ptCount val="8"/>
                <c:pt idx="0">
                  <c:v>0.30819580000730179</c:v>
                </c:pt>
                <c:pt idx="1">
                  <c:v>0.18126230891892287</c:v>
                </c:pt>
                <c:pt idx="2">
                  <c:v>1.8447488062006999E-5</c:v>
                </c:pt>
                <c:pt idx="3">
                  <c:v>5.3780896179967438E-2</c:v>
                </c:pt>
                <c:pt idx="4">
                  <c:v>4.0000821300670328E-2</c:v>
                </c:pt>
                <c:pt idx="5">
                  <c:v>0.17607985189745246</c:v>
                </c:pt>
                <c:pt idx="6">
                  <c:v>0.16189921163452958</c:v>
                </c:pt>
                <c:pt idx="7">
                  <c:v>7.8762662573093722E-2</c:v>
                </c:pt>
              </c:numCache>
            </c:numRef>
          </c:val>
          <c:extLst>
            <c:ext xmlns:c16="http://schemas.microsoft.com/office/drawing/2014/chart" uri="{C3380CC4-5D6E-409C-BE32-E72D297353CC}">
              <c16:uniqueId val="{00000000-60E6-4DF7-AE5F-2CD9A9E2FF0F}"/>
            </c:ext>
          </c:extLst>
        </c:ser>
        <c:ser>
          <c:idx val="4"/>
          <c:order val="1"/>
          <c:tx>
            <c:strRef>
              <c:f>Data!$AF$2</c:f>
              <c:strCache>
                <c:ptCount val="1"/>
                <c:pt idx="0">
                  <c:v>Share of Reference Load</c:v>
                </c:pt>
              </c:strCache>
            </c:strRef>
          </c:tx>
          <c:spPr>
            <a:solidFill>
              <a:srgbClr val="ED7D31"/>
            </a:solidFill>
            <a:ln>
              <a:noFill/>
            </a:ln>
            <a:effectLst/>
          </c:spPr>
          <c:invertIfNegative val="0"/>
          <c:cat>
            <c:strRef>
              <c:f>Data!$W$3:$W$10</c:f>
              <c:strCache>
                <c:ptCount val="8"/>
                <c:pt idx="0">
                  <c:v>Greater Bay Area</c:v>
                </c:pt>
                <c:pt idx="1">
                  <c:v>Greater Fresno</c:v>
                </c:pt>
                <c:pt idx="2">
                  <c:v>Humboldt</c:v>
                </c:pt>
                <c:pt idx="3">
                  <c:v>Kern</c:v>
                </c:pt>
                <c:pt idx="4">
                  <c:v>Northern Coast</c:v>
                </c:pt>
                <c:pt idx="5">
                  <c:v>Other</c:v>
                </c:pt>
                <c:pt idx="6">
                  <c:v>Sierra</c:v>
                </c:pt>
                <c:pt idx="7">
                  <c:v>Stockton</c:v>
                </c:pt>
              </c:strCache>
            </c:strRef>
          </c:cat>
          <c:val>
            <c:numRef>
              <c:f>Data!$AF$3:$AF$10</c:f>
              <c:numCache>
                <c:formatCode>0.0%</c:formatCode>
                <c:ptCount val="8"/>
                <c:pt idx="0">
                  <c:v>0.23966166885980417</c:v>
                </c:pt>
                <c:pt idx="1">
                  <c:v>0.22623611206695385</c:v>
                </c:pt>
                <c:pt idx="2">
                  <c:v>1.3815787781681557E-5</c:v>
                </c:pt>
                <c:pt idx="3">
                  <c:v>6.9434389711101996E-2</c:v>
                </c:pt>
                <c:pt idx="4">
                  <c:v>2.7587207204307827E-2</c:v>
                </c:pt>
                <c:pt idx="5">
                  <c:v>0.1795183581871764</c:v>
                </c:pt>
                <c:pt idx="6">
                  <c:v>0.16550270806808121</c:v>
                </c:pt>
                <c:pt idx="7">
                  <c:v>9.2045740114793051E-2</c:v>
                </c:pt>
              </c:numCache>
            </c:numRef>
          </c:val>
          <c:extLst>
            <c:ext xmlns:c16="http://schemas.microsoft.com/office/drawing/2014/chart" uri="{C3380CC4-5D6E-409C-BE32-E72D297353CC}">
              <c16:uniqueId val="{00000001-60E6-4DF7-AE5F-2CD9A9E2FF0F}"/>
            </c:ext>
          </c:extLst>
        </c:ser>
        <c:ser>
          <c:idx val="5"/>
          <c:order val="2"/>
          <c:tx>
            <c:strRef>
              <c:f>Data!$AG$2</c:f>
              <c:strCache>
                <c:ptCount val="1"/>
                <c:pt idx="0">
                  <c:v>Share of Load Impact</c:v>
                </c:pt>
              </c:strCache>
            </c:strRef>
          </c:tx>
          <c:spPr>
            <a:solidFill>
              <a:srgbClr val="A5A5A5"/>
            </a:solidFill>
            <a:ln>
              <a:noFill/>
            </a:ln>
            <a:effectLst/>
          </c:spPr>
          <c:invertIfNegative val="0"/>
          <c:cat>
            <c:strRef>
              <c:f>Data!$W$3:$W$10</c:f>
              <c:strCache>
                <c:ptCount val="8"/>
                <c:pt idx="0">
                  <c:v>Greater Bay Area</c:v>
                </c:pt>
                <c:pt idx="1">
                  <c:v>Greater Fresno</c:v>
                </c:pt>
                <c:pt idx="2">
                  <c:v>Humboldt</c:v>
                </c:pt>
                <c:pt idx="3">
                  <c:v>Kern</c:v>
                </c:pt>
                <c:pt idx="4">
                  <c:v>Northern Coast</c:v>
                </c:pt>
                <c:pt idx="5">
                  <c:v>Other</c:v>
                </c:pt>
                <c:pt idx="6">
                  <c:v>Sierra</c:v>
                </c:pt>
                <c:pt idx="7">
                  <c:v>Stockton</c:v>
                </c:pt>
              </c:strCache>
            </c:strRef>
          </c:cat>
          <c:val>
            <c:numRef>
              <c:f>Data!$AG$3:$AG$10</c:f>
              <c:numCache>
                <c:formatCode>0.0%</c:formatCode>
                <c:ptCount val="8"/>
                <c:pt idx="0">
                  <c:v>0.31971220323753841</c:v>
                </c:pt>
                <c:pt idx="1">
                  <c:v>0.18531055445876402</c:v>
                </c:pt>
                <c:pt idx="2">
                  <c:v>1.8957063510429546E-5</c:v>
                </c:pt>
                <c:pt idx="3">
                  <c:v>3.9354356942279418E-3</c:v>
                </c:pt>
                <c:pt idx="4">
                  <c:v>3.3020175177077012E-2</c:v>
                </c:pt>
                <c:pt idx="5">
                  <c:v>0.19739980853665209</c:v>
                </c:pt>
                <c:pt idx="6">
                  <c:v>0.17125514615722343</c:v>
                </c:pt>
                <c:pt idx="7">
                  <c:v>8.9347719675006751E-2</c:v>
                </c:pt>
              </c:numCache>
            </c:numRef>
          </c:val>
          <c:extLst>
            <c:ext xmlns:c16="http://schemas.microsoft.com/office/drawing/2014/chart" uri="{C3380CC4-5D6E-409C-BE32-E72D297353CC}">
              <c16:uniqueId val="{00000002-60E6-4DF7-AE5F-2CD9A9E2FF0F}"/>
            </c:ext>
          </c:extLst>
        </c:ser>
        <c:dLbls>
          <c:showLegendKey val="0"/>
          <c:showVal val="0"/>
          <c:showCatName val="0"/>
          <c:showSerName val="0"/>
          <c:showPercent val="0"/>
          <c:showBubbleSize val="0"/>
        </c:dLbls>
        <c:gapWidth val="182"/>
        <c:axId val="1705660735"/>
        <c:axId val="1943404335"/>
      </c:barChart>
      <c:catAx>
        <c:axId val="1705660735"/>
        <c:scaling>
          <c:orientation val="maxMin"/>
        </c:scaling>
        <c:delete val="0"/>
        <c:axPos val="l"/>
        <c:numFmt formatCode="General" sourceLinked="1"/>
        <c:majorTickMark val="none"/>
        <c:minorTickMark val="none"/>
        <c:tickLblPos val="nextTo"/>
        <c:spPr>
          <a:noFill/>
          <a:ln w="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43404335"/>
        <c:crosses val="autoZero"/>
        <c:auto val="1"/>
        <c:lblAlgn val="ctr"/>
        <c:lblOffset val="100"/>
        <c:noMultiLvlLbl val="0"/>
      </c:catAx>
      <c:valAx>
        <c:axId val="1943404335"/>
        <c:scaling>
          <c:orientation val="minMax"/>
          <c:max val="0.35000000000000003"/>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05660735"/>
        <c:crosses val="autoZero"/>
        <c:crossBetween val="between"/>
      </c:valAx>
      <c:spPr>
        <a:noFill/>
        <a:ln w="0">
          <a:solidFill>
            <a:schemeClr val="tx1"/>
          </a:solidFill>
        </a:ln>
        <a:effectLst/>
      </c:spPr>
    </c:plotArea>
    <c:legend>
      <c:legendPos val="b"/>
      <c:overlay val="0"/>
      <c:spPr>
        <a:noFill/>
        <a:ln w="0">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'new data'!$L$1</c:f>
              <c:strCache>
                <c:ptCount val="1"/>
                <c:pt idx="0">
                  <c:v>Previous Ex-Ante Load Impacts</c:v>
                </c:pt>
              </c:strCache>
            </c:strRef>
          </c:tx>
          <c:spPr>
            <a:ln w="28575" cap="rnd">
              <a:solidFill>
                <a:schemeClr val="accent2"/>
              </a:solidFill>
              <a:round/>
            </a:ln>
            <a:effectLst/>
          </c:spPr>
          <c:marker>
            <c:symbol val="none"/>
          </c:marker>
          <c:val>
            <c:numRef>
              <c:f>'new data'!$L$2:$L$25</c:f>
              <c:numCache>
                <c:formatCode>0.00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0.30260520000000002</c:v>
                </c:pt>
                <c:pt idx="14">
                  <c:v>0.42524919999999999</c:v>
                </c:pt>
                <c:pt idx="15">
                  <c:v>0.52128540000000001</c:v>
                </c:pt>
                <c:pt idx="16">
                  <c:v>0.57464400000000004</c:v>
                </c:pt>
                <c:pt idx="17">
                  <c:v>0.60967329999999997</c:v>
                </c:pt>
                <c:pt idx="18">
                  <c:v>-0.2123844</c:v>
                </c:pt>
                <c:pt idx="19">
                  <c:v>-0.26808280000000001</c:v>
                </c:pt>
                <c:pt idx="20">
                  <c:v>-0.1590047</c:v>
                </c:pt>
                <c:pt idx="21">
                  <c:v>-9.4015799999999997E-2</c:v>
                </c:pt>
                <c:pt idx="22">
                  <c:v>-5.8284700000000002E-2</c:v>
                </c:pt>
                <c:pt idx="23">
                  <c:v>0</c:v>
                </c:pt>
              </c:numCache>
            </c:numRef>
          </c:val>
          <c:smooth val="0"/>
          <c:extLst>
            <c:ext xmlns:c16="http://schemas.microsoft.com/office/drawing/2014/chart" uri="{C3380CC4-5D6E-409C-BE32-E72D297353CC}">
              <c16:uniqueId val="{00000000-C319-431D-8E5F-50FFF87AC29A}"/>
            </c:ext>
          </c:extLst>
        </c:ser>
        <c:ser>
          <c:idx val="3"/>
          <c:order val="1"/>
          <c:tx>
            <c:strRef>
              <c:f>'new data'!$M$1</c:f>
              <c:strCache>
                <c:ptCount val="1"/>
                <c:pt idx="0">
                  <c:v>Current Ex-Ante Load Impacts</c:v>
                </c:pt>
              </c:strCache>
            </c:strRef>
          </c:tx>
          <c:spPr>
            <a:ln w="28575" cap="rnd">
              <a:solidFill>
                <a:srgbClr val="0C2577"/>
              </a:solidFill>
              <a:prstDash val="dash"/>
              <a:round/>
            </a:ln>
            <a:effectLst/>
          </c:spPr>
          <c:marker>
            <c:symbol val="none"/>
          </c:marker>
          <c:val>
            <c:numRef>
              <c:f>'new data'!$M$2:$M$25</c:f>
              <c:numCache>
                <c:formatCode>0.00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0.61241809999999997</c:v>
                </c:pt>
                <c:pt idx="17">
                  <c:v>0.61118669999999997</c:v>
                </c:pt>
                <c:pt idx="18">
                  <c:v>0.59188750000000001</c:v>
                </c:pt>
                <c:pt idx="19">
                  <c:v>0.46174179999999998</c:v>
                </c:pt>
                <c:pt idx="20">
                  <c:v>0.2953402</c:v>
                </c:pt>
                <c:pt idx="21">
                  <c:v>-0.2406402</c:v>
                </c:pt>
                <c:pt idx="22">
                  <c:v>-0.26659129999999998</c:v>
                </c:pt>
                <c:pt idx="23">
                  <c:v>-0.164657</c:v>
                </c:pt>
              </c:numCache>
            </c:numRef>
          </c:val>
          <c:smooth val="0"/>
          <c:extLst>
            <c:ext xmlns:c16="http://schemas.microsoft.com/office/drawing/2014/chart" uri="{C3380CC4-5D6E-409C-BE32-E72D297353CC}">
              <c16:uniqueId val="{00000001-C319-431D-8E5F-50FFF87AC29A}"/>
            </c:ext>
          </c:extLst>
        </c:ser>
        <c:dLbls>
          <c:showLegendKey val="0"/>
          <c:showVal val="0"/>
          <c:showCatName val="0"/>
          <c:showSerName val="0"/>
          <c:showPercent val="0"/>
          <c:showBubbleSize val="0"/>
        </c:dLbls>
        <c:smooth val="0"/>
        <c:axId val="1027918271"/>
        <c:axId val="1032944367"/>
      </c:lineChart>
      <c:catAx>
        <c:axId val="1027918271"/>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Hour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32944367"/>
        <c:crosses val="autoZero"/>
        <c:auto val="1"/>
        <c:lblAlgn val="ctr"/>
        <c:lblOffset val="100"/>
        <c:noMultiLvlLbl val="0"/>
      </c:catAx>
      <c:valAx>
        <c:axId val="103294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rPr>
                  <a:t>Load (kWh/customer/hr)</a:t>
                </a:r>
                <a:endParaRPr lang="en-US"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27918271"/>
        <c:crosses val="autoZero"/>
        <c:crossBetween val="between"/>
      </c:valAx>
      <c:spPr>
        <a:noFill/>
        <a:ln>
          <a:solidFill>
            <a:schemeClr val="tx1"/>
          </a:solidFill>
        </a:ln>
        <a:effectLst/>
      </c:spPr>
    </c:plotArea>
    <c:legend>
      <c:legendPos val="b"/>
      <c:layout>
        <c:manualLayout>
          <c:xMode val="edge"/>
          <c:yMode val="edge"/>
          <c:x val="7.2493073782443851E-2"/>
          <c:y val="0.90538200024104132"/>
          <c:w val="0.89729531204432778"/>
          <c:h val="7.6455035754459263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'new data'!$Q$1</c:f>
              <c:strCache>
                <c:ptCount val="1"/>
                <c:pt idx="0">
                  <c:v>Previous Ex-Ante Load Impacts</c:v>
                </c:pt>
              </c:strCache>
            </c:strRef>
          </c:tx>
          <c:spPr>
            <a:ln w="28575" cap="rnd">
              <a:solidFill>
                <a:schemeClr val="accent2"/>
              </a:solidFill>
              <a:round/>
            </a:ln>
            <a:effectLst/>
          </c:spPr>
          <c:marker>
            <c:symbol val="none"/>
          </c:marker>
          <c:val>
            <c:numRef>
              <c:f>'new data'!$Q$2:$Q$25</c:f>
              <c:numCache>
                <c:formatCode>0.00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0.31226500000000001</c:v>
                </c:pt>
                <c:pt idx="14">
                  <c:v>0.43447330000000001</c:v>
                </c:pt>
                <c:pt idx="15">
                  <c:v>0.53046990000000005</c:v>
                </c:pt>
                <c:pt idx="16">
                  <c:v>0.58347280000000001</c:v>
                </c:pt>
                <c:pt idx="17">
                  <c:v>0.61465610000000004</c:v>
                </c:pt>
                <c:pt idx="18">
                  <c:v>-0.21466270000000001</c:v>
                </c:pt>
                <c:pt idx="19">
                  <c:v>-0.27106590000000003</c:v>
                </c:pt>
                <c:pt idx="20">
                  <c:v>-0.16094990000000001</c:v>
                </c:pt>
                <c:pt idx="21">
                  <c:v>-9.5395499999999994E-2</c:v>
                </c:pt>
                <c:pt idx="22">
                  <c:v>-5.93657E-2</c:v>
                </c:pt>
                <c:pt idx="23">
                  <c:v>0</c:v>
                </c:pt>
              </c:numCache>
            </c:numRef>
          </c:val>
          <c:smooth val="0"/>
          <c:extLst>
            <c:ext xmlns:c16="http://schemas.microsoft.com/office/drawing/2014/chart" uri="{C3380CC4-5D6E-409C-BE32-E72D297353CC}">
              <c16:uniqueId val="{00000000-4EF9-4571-903D-CB13B21CD55F}"/>
            </c:ext>
          </c:extLst>
        </c:ser>
        <c:ser>
          <c:idx val="3"/>
          <c:order val="1"/>
          <c:tx>
            <c:strRef>
              <c:f>'new data'!$R$1</c:f>
              <c:strCache>
                <c:ptCount val="1"/>
                <c:pt idx="0">
                  <c:v>Current Ex-Ante Load Impacts</c:v>
                </c:pt>
              </c:strCache>
            </c:strRef>
          </c:tx>
          <c:spPr>
            <a:ln w="28575" cap="rnd">
              <a:solidFill>
                <a:srgbClr val="0C2577"/>
              </a:solidFill>
              <a:prstDash val="dash"/>
              <a:round/>
            </a:ln>
            <a:effectLst/>
          </c:spPr>
          <c:marker>
            <c:symbol val="none"/>
          </c:marker>
          <c:val>
            <c:numRef>
              <c:f>'new data'!$R$2:$R$25</c:f>
              <c:numCache>
                <c:formatCode>0.00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0.58159450000000001</c:v>
                </c:pt>
                <c:pt idx="17">
                  <c:v>0.580399</c:v>
                </c:pt>
                <c:pt idx="18">
                  <c:v>0.56209050000000005</c:v>
                </c:pt>
                <c:pt idx="19">
                  <c:v>0.43871169999999998</c:v>
                </c:pt>
                <c:pt idx="20">
                  <c:v>0.28083049999999998</c:v>
                </c:pt>
                <c:pt idx="21">
                  <c:v>-0.22870840000000001</c:v>
                </c:pt>
                <c:pt idx="22">
                  <c:v>-0.25335340000000001</c:v>
                </c:pt>
                <c:pt idx="23">
                  <c:v>-0.1564757</c:v>
                </c:pt>
              </c:numCache>
            </c:numRef>
          </c:val>
          <c:smooth val="0"/>
          <c:extLst>
            <c:ext xmlns:c16="http://schemas.microsoft.com/office/drawing/2014/chart" uri="{C3380CC4-5D6E-409C-BE32-E72D297353CC}">
              <c16:uniqueId val="{00000001-4EF9-4571-903D-CB13B21CD55F}"/>
            </c:ext>
          </c:extLst>
        </c:ser>
        <c:dLbls>
          <c:showLegendKey val="0"/>
          <c:showVal val="0"/>
          <c:showCatName val="0"/>
          <c:showSerName val="0"/>
          <c:showPercent val="0"/>
          <c:showBubbleSize val="0"/>
        </c:dLbls>
        <c:smooth val="0"/>
        <c:axId val="1027918271"/>
        <c:axId val="1032944367"/>
      </c:lineChart>
      <c:catAx>
        <c:axId val="1027918271"/>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Hour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32944367"/>
        <c:crosses val="autoZero"/>
        <c:auto val="1"/>
        <c:lblAlgn val="ctr"/>
        <c:lblOffset val="100"/>
        <c:noMultiLvlLbl val="0"/>
      </c:catAx>
      <c:valAx>
        <c:axId val="103294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rPr>
                  <a:t>Load (kWh/customer/hr)</a:t>
                </a:r>
                <a:endParaRPr lang="en-US" sz="1200">
                  <a:effectLst/>
                </a:endParaRPr>
              </a:p>
            </c:rich>
          </c:tx>
          <c:layout>
            <c:manualLayout>
              <c:xMode val="edge"/>
              <c:yMode val="edge"/>
              <c:x val="1.4647887843775548E-2"/>
              <c:y val="0.3340606478963256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27918271"/>
        <c:crosses val="autoZero"/>
        <c:crossBetween val="between"/>
      </c:valAx>
      <c:spPr>
        <a:noFill/>
        <a:ln>
          <a:solidFill>
            <a:schemeClr val="tx1"/>
          </a:solidFill>
        </a:ln>
        <a:effectLst/>
      </c:spPr>
    </c:plotArea>
    <c:legend>
      <c:legendPos val="b"/>
      <c:layout>
        <c:manualLayout>
          <c:xMode val="edge"/>
          <c:yMode val="edge"/>
          <c:x val="6.8518518518518534E-2"/>
          <c:y val="0.90910859914832076"/>
          <c:w val="0.90138888888888891"/>
          <c:h val="7.1758747790454755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0"/>
          <c:tx>
            <c:strRef>
              <c:f>Data!$Q$22</c:f>
              <c:strCache>
                <c:ptCount val="1"/>
                <c:pt idx="0">
                  <c:v>PG&amp;E  1-in-10</c:v>
                </c:pt>
              </c:strCache>
            </c:strRef>
          </c:tx>
          <c:spPr>
            <a:solidFill>
              <a:schemeClr val="accent3"/>
            </a:solidFill>
            <a:ln>
              <a:noFill/>
            </a:ln>
            <a:effectLst/>
          </c:spPr>
          <c:invertIfNegative val="0"/>
          <c:cat>
            <c:strRef>
              <c:f>Data!$P$23:$P$28</c:f>
              <c:strCache>
                <c:ptCount val="6"/>
                <c:pt idx="0">
                  <c:v>May</c:v>
                </c:pt>
                <c:pt idx="1">
                  <c:v>June</c:v>
                </c:pt>
                <c:pt idx="2">
                  <c:v>July</c:v>
                </c:pt>
                <c:pt idx="3">
                  <c:v>August</c:v>
                </c:pt>
                <c:pt idx="4">
                  <c:v>September</c:v>
                </c:pt>
                <c:pt idx="5">
                  <c:v>October</c:v>
                </c:pt>
              </c:strCache>
            </c:strRef>
          </c:cat>
          <c:val>
            <c:numRef>
              <c:f>Data!$Q$23:$Q$28</c:f>
              <c:numCache>
                <c:formatCode>0.00</c:formatCode>
                <c:ptCount val="6"/>
                <c:pt idx="0">
                  <c:v>50.696829999999999</c:v>
                </c:pt>
                <c:pt idx="1">
                  <c:v>60.317790000000002</c:v>
                </c:pt>
                <c:pt idx="2">
                  <c:v>65.392840000000007</c:v>
                </c:pt>
                <c:pt idx="3">
                  <c:v>60.24015</c:v>
                </c:pt>
                <c:pt idx="4">
                  <c:v>49.29815</c:v>
                </c:pt>
                <c:pt idx="5">
                  <c:v>37.291829999999997</c:v>
                </c:pt>
              </c:numCache>
            </c:numRef>
          </c:val>
          <c:extLst>
            <c:ext xmlns:c16="http://schemas.microsoft.com/office/drawing/2014/chart" uri="{C3380CC4-5D6E-409C-BE32-E72D297353CC}">
              <c16:uniqueId val="{00000000-000C-4FE5-A052-9E1E264B11E0}"/>
            </c:ext>
          </c:extLst>
        </c:ser>
        <c:ser>
          <c:idx val="0"/>
          <c:order val="1"/>
          <c:tx>
            <c:strRef>
              <c:f>Data!$R$22</c:f>
              <c:strCache>
                <c:ptCount val="1"/>
                <c:pt idx="0">
                  <c:v>PG&amp;E  1-in-2</c:v>
                </c:pt>
              </c:strCache>
            </c:strRef>
          </c:tx>
          <c:spPr>
            <a:solidFill>
              <a:schemeClr val="accent4"/>
            </a:solidFill>
            <a:ln>
              <a:noFill/>
            </a:ln>
            <a:effectLst/>
          </c:spPr>
          <c:invertIfNegative val="0"/>
          <c:cat>
            <c:strRef>
              <c:f>Data!$P$23:$P$28</c:f>
              <c:strCache>
                <c:ptCount val="6"/>
                <c:pt idx="0">
                  <c:v>May</c:v>
                </c:pt>
                <c:pt idx="1">
                  <c:v>June</c:v>
                </c:pt>
                <c:pt idx="2">
                  <c:v>July</c:v>
                </c:pt>
                <c:pt idx="3">
                  <c:v>August</c:v>
                </c:pt>
                <c:pt idx="4">
                  <c:v>September</c:v>
                </c:pt>
                <c:pt idx="5">
                  <c:v>October</c:v>
                </c:pt>
              </c:strCache>
            </c:strRef>
          </c:cat>
          <c:val>
            <c:numRef>
              <c:f>Data!$R$23:$R$28</c:f>
              <c:numCache>
                <c:formatCode>0.00</c:formatCode>
                <c:ptCount val="6"/>
                <c:pt idx="0">
                  <c:v>31.292639999999999</c:v>
                </c:pt>
                <c:pt idx="1">
                  <c:v>51.36918</c:v>
                </c:pt>
                <c:pt idx="2">
                  <c:v>53.856819999999999</c:v>
                </c:pt>
                <c:pt idx="3">
                  <c:v>50.568890000000003</c:v>
                </c:pt>
                <c:pt idx="4">
                  <c:v>44.636960000000002</c:v>
                </c:pt>
                <c:pt idx="5">
                  <c:v>18.40523</c:v>
                </c:pt>
              </c:numCache>
            </c:numRef>
          </c:val>
          <c:extLst>
            <c:ext xmlns:c16="http://schemas.microsoft.com/office/drawing/2014/chart" uri="{C3380CC4-5D6E-409C-BE32-E72D297353CC}">
              <c16:uniqueId val="{00000001-000C-4FE5-A052-9E1E264B11E0}"/>
            </c:ext>
          </c:extLst>
        </c:ser>
        <c:ser>
          <c:idx val="1"/>
          <c:order val="2"/>
          <c:tx>
            <c:strRef>
              <c:f>Data!$S$22</c:f>
              <c:strCache>
                <c:ptCount val="1"/>
                <c:pt idx="0">
                  <c:v>CAISO  1-in-10</c:v>
                </c:pt>
              </c:strCache>
            </c:strRef>
          </c:tx>
          <c:spPr>
            <a:solidFill>
              <a:schemeClr val="accent5"/>
            </a:solidFill>
            <a:ln>
              <a:noFill/>
            </a:ln>
            <a:effectLst/>
          </c:spPr>
          <c:invertIfNegative val="0"/>
          <c:cat>
            <c:strRef>
              <c:f>Data!$P$23:$P$28</c:f>
              <c:strCache>
                <c:ptCount val="6"/>
                <c:pt idx="0">
                  <c:v>May</c:v>
                </c:pt>
                <c:pt idx="1">
                  <c:v>June</c:v>
                </c:pt>
                <c:pt idx="2">
                  <c:v>July</c:v>
                </c:pt>
                <c:pt idx="3">
                  <c:v>August</c:v>
                </c:pt>
                <c:pt idx="4">
                  <c:v>September</c:v>
                </c:pt>
                <c:pt idx="5">
                  <c:v>October</c:v>
                </c:pt>
              </c:strCache>
            </c:strRef>
          </c:cat>
          <c:val>
            <c:numRef>
              <c:f>Data!$S$23:$S$28</c:f>
              <c:numCache>
                <c:formatCode>0.00</c:formatCode>
                <c:ptCount val="6"/>
                <c:pt idx="0">
                  <c:v>38.89087</c:v>
                </c:pt>
                <c:pt idx="1">
                  <c:v>47.523220000000002</c:v>
                </c:pt>
                <c:pt idx="2">
                  <c:v>61.166060000000002</c:v>
                </c:pt>
                <c:pt idx="3">
                  <c:v>54.580590000000001</c:v>
                </c:pt>
                <c:pt idx="4">
                  <c:v>40.489620000000002</c:v>
                </c:pt>
                <c:pt idx="5">
                  <c:v>30.203289999999999</c:v>
                </c:pt>
              </c:numCache>
            </c:numRef>
          </c:val>
          <c:extLst>
            <c:ext xmlns:c16="http://schemas.microsoft.com/office/drawing/2014/chart" uri="{C3380CC4-5D6E-409C-BE32-E72D297353CC}">
              <c16:uniqueId val="{00000002-000C-4FE5-A052-9E1E264B11E0}"/>
            </c:ext>
          </c:extLst>
        </c:ser>
        <c:ser>
          <c:idx val="2"/>
          <c:order val="3"/>
          <c:tx>
            <c:strRef>
              <c:f>Data!$T$22</c:f>
              <c:strCache>
                <c:ptCount val="1"/>
                <c:pt idx="0">
                  <c:v>CAISO  1-in-2</c:v>
                </c:pt>
              </c:strCache>
            </c:strRef>
          </c:tx>
          <c:spPr>
            <a:solidFill>
              <a:schemeClr val="accent2"/>
            </a:solidFill>
            <a:ln>
              <a:noFill/>
            </a:ln>
            <a:effectLst/>
          </c:spPr>
          <c:invertIfNegative val="0"/>
          <c:cat>
            <c:strRef>
              <c:f>Data!$P$23:$P$28</c:f>
              <c:strCache>
                <c:ptCount val="6"/>
                <c:pt idx="0">
                  <c:v>May</c:v>
                </c:pt>
                <c:pt idx="1">
                  <c:v>June</c:v>
                </c:pt>
                <c:pt idx="2">
                  <c:v>July</c:v>
                </c:pt>
                <c:pt idx="3">
                  <c:v>August</c:v>
                </c:pt>
                <c:pt idx="4">
                  <c:v>September</c:v>
                </c:pt>
                <c:pt idx="5">
                  <c:v>October</c:v>
                </c:pt>
              </c:strCache>
            </c:strRef>
          </c:cat>
          <c:val>
            <c:numRef>
              <c:f>Data!$T$23:$T$28</c:f>
              <c:numCache>
                <c:formatCode>0.00</c:formatCode>
                <c:ptCount val="6"/>
                <c:pt idx="0">
                  <c:v>27.74813</c:v>
                </c:pt>
                <c:pt idx="1">
                  <c:v>50.509720000000002</c:v>
                </c:pt>
                <c:pt idx="2">
                  <c:v>45.376379999999997</c:v>
                </c:pt>
                <c:pt idx="3">
                  <c:v>37.987299999999998</c:v>
                </c:pt>
                <c:pt idx="4">
                  <c:v>33.249949999999998</c:v>
                </c:pt>
                <c:pt idx="5">
                  <c:v>20.645520000000001</c:v>
                </c:pt>
              </c:numCache>
            </c:numRef>
          </c:val>
          <c:extLst>
            <c:ext xmlns:c16="http://schemas.microsoft.com/office/drawing/2014/chart" uri="{C3380CC4-5D6E-409C-BE32-E72D297353CC}">
              <c16:uniqueId val="{00000003-000C-4FE5-A052-9E1E264B11E0}"/>
            </c:ext>
          </c:extLst>
        </c:ser>
        <c:dLbls>
          <c:showLegendKey val="0"/>
          <c:showVal val="0"/>
          <c:showCatName val="0"/>
          <c:showSerName val="0"/>
          <c:showPercent val="0"/>
          <c:showBubbleSize val="0"/>
        </c:dLbls>
        <c:gapWidth val="219"/>
        <c:overlap val="-27"/>
        <c:axId val="957762816"/>
        <c:axId val="1052070752"/>
      </c:barChart>
      <c:catAx>
        <c:axId val="9577628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Month</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52070752"/>
        <c:crosses val="autoZero"/>
        <c:auto val="1"/>
        <c:lblAlgn val="ctr"/>
        <c:lblOffset val="100"/>
        <c:noMultiLvlLbl val="0"/>
      </c:catAx>
      <c:valAx>
        <c:axId val="105207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Average RA Window Load Impact (MWh/hr)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57762816"/>
        <c:crosses val="autoZero"/>
        <c:crossBetween val="between"/>
      </c:valAx>
      <c:spPr>
        <a:noFill/>
        <a:ln w="0">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5207057451151"/>
          <c:y val="2.0181111972913453E-2"/>
          <c:w val="0.86997831000291626"/>
          <c:h val="0.74241648923348869"/>
        </c:manualLayout>
      </c:layout>
      <c:lineChart>
        <c:grouping val="standard"/>
        <c:varyColors val="0"/>
        <c:ser>
          <c:idx val="1"/>
          <c:order val="0"/>
          <c:tx>
            <c:strRef>
              <c:f>'Graph Data'!$G$1</c:f>
              <c:strCache>
                <c:ptCount val="1"/>
                <c:pt idx="0">
                  <c:v>Hot Treatment</c:v>
                </c:pt>
              </c:strCache>
            </c:strRef>
          </c:tx>
          <c:spPr>
            <a:ln w="12700" cap="rnd">
              <a:solidFill>
                <a:schemeClr val="accent2"/>
              </a:solidFill>
              <a:round/>
            </a:ln>
            <a:effectLst/>
          </c:spPr>
          <c:marker>
            <c:symbol val="none"/>
          </c:marker>
          <c:val>
            <c:numRef>
              <c:f>'Graph Data'!$G$2:$G$25</c:f>
              <c:numCache>
                <c:formatCode>0.00</c:formatCode>
                <c:ptCount val="24"/>
                <c:pt idx="0">
                  <c:v>0.92061230000000005</c:v>
                </c:pt>
                <c:pt idx="1">
                  <c:v>0.78856380000000004</c:v>
                </c:pt>
                <c:pt idx="2">
                  <c:v>0.70043339999999998</c:v>
                </c:pt>
                <c:pt idx="3">
                  <c:v>0.64373590000000003</c:v>
                </c:pt>
                <c:pt idx="4">
                  <c:v>0.61877890000000002</c:v>
                </c:pt>
                <c:pt idx="5">
                  <c:v>0.62453449999999999</c:v>
                </c:pt>
                <c:pt idx="6">
                  <c:v>0.66277560000000002</c:v>
                </c:pt>
                <c:pt idx="7">
                  <c:v>0.68082710000000002</c:v>
                </c:pt>
                <c:pt idx="8">
                  <c:v>0.66405110000000001</c:v>
                </c:pt>
                <c:pt idx="9">
                  <c:v>0.65636329999999998</c:v>
                </c:pt>
                <c:pt idx="10">
                  <c:v>0.69373090000000004</c:v>
                </c:pt>
                <c:pt idx="11">
                  <c:v>0.78799520000000001</c:v>
                </c:pt>
                <c:pt idx="12">
                  <c:v>0.95482420000000001</c:v>
                </c:pt>
                <c:pt idx="13">
                  <c:v>1.1761079999999999</c:v>
                </c:pt>
                <c:pt idx="14">
                  <c:v>1.435983</c:v>
                </c:pt>
                <c:pt idx="15">
                  <c:v>1.7307889999999999</c:v>
                </c:pt>
                <c:pt idx="16">
                  <c:v>2.015612</c:v>
                </c:pt>
                <c:pt idx="17">
                  <c:v>2.2366730000000001</c:v>
                </c:pt>
                <c:pt idx="18">
                  <c:v>2.301463</c:v>
                </c:pt>
                <c:pt idx="19">
                  <c:v>2.18459</c:v>
                </c:pt>
                <c:pt idx="20">
                  <c:v>1.9686459999999999</c:v>
                </c:pt>
                <c:pt idx="21">
                  <c:v>1.7559689999999999</c:v>
                </c:pt>
                <c:pt idx="22">
                  <c:v>1.4489810000000001</c:v>
                </c:pt>
                <c:pt idx="23">
                  <c:v>1.1665639999999999</c:v>
                </c:pt>
              </c:numCache>
            </c:numRef>
          </c:val>
          <c:smooth val="0"/>
          <c:extLst>
            <c:ext xmlns:c16="http://schemas.microsoft.com/office/drawing/2014/chart" uri="{C3380CC4-5D6E-409C-BE32-E72D297353CC}">
              <c16:uniqueId val="{00000000-EA03-4C2A-8C46-27ABDFFA8409}"/>
            </c:ext>
          </c:extLst>
        </c:ser>
        <c:ser>
          <c:idx val="2"/>
          <c:order val="1"/>
          <c:tx>
            <c:strRef>
              <c:f>'Graph Data'!$H$1</c:f>
              <c:strCache>
                <c:ptCount val="1"/>
                <c:pt idx="0">
                  <c:v>Hot Control</c:v>
                </c:pt>
              </c:strCache>
            </c:strRef>
          </c:tx>
          <c:spPr>
            <a:ln w="12700" cap="rnd">
              <a:solidFill>
                <a:schemeClr val="accent4"/>
              </a:solidFill>
              <a:prstDash val="dash"/>
              <a:round/>
            </a:ln>
            <a:effectLst/>
          </c:spPr>
          <c:marker>
            <c:symbol val="none"/>
          </c:marker>
          <c:val>
            <c:numRef>
              <c:f>'Graph Data'!$H$2:$H$25</c:f>
              <c:numCache>
                <c:formatCode>0.00</c:formatCode>
                <c:ptCount val="24"/>
                <c:pt idx="0">
                  <c:v>0.9279887</c:v>
                </c:pt>
                <c:pt idx="1">
                  <c:v>0.79423310000000003</c:v>
                </c:pt>
                <c:pt idx="2">
                  <c:v>0.70451090000000005</c:v>
                </c:pt>
                <c:pt idx="3">
                  <c:v>0.64755660000000004</c:v>
                </c:pt>
                <c:pt idx="4">
                  <c:v>0.62312299999999998</c:v>
                </c:pt>
                <c:pt idx="5">
                  <c:v>0.62760260000000001</c:v>
                </c:pt>
                <c:pt idx="6">
                  <c:v>0.66713500000000003</c:v>
                </c:pt>
                <c:pt idx="7">
                  <c:v>0.68305729999999998</c:v>
                </c:pt>
                <c:pt idx="8">
                  <c:v>0.66496129999999998</c:v>
                </c:pt>
                <c:pt idx="9">
                  <c:v>0.6588657</c:v>
                </c:pt>
                <c:pt idx="10">
                  <c:v>0.69699299999999997</c:v>
                </c:pt>
                <c:pt idx="11">
                  <c:v>0.79105930000000002</c:v>
                </c:pt>
                <c:pt idx="12">
                  <c:v>0.95888030000000002</c:v>
                </c:pt>
                <c:pt idx="13">
                  <c:v>1.1835960000000001</c:v>
                </c:pt>
                <c:pt idx="14">
                  <c:v>1.4444159999999999</c:v>
                </c:pt>
                <c:pt idx="15">
                  <c:v>1.7407539999999999</c:v>
                </c:pt>
                <c:pt idx="16">
                  <c:v>2.0278749999999999</c:v>
                </c:pt>
                <c:pt idx="17">
                  <c:v>2.250035</c:v>
                </c:pt>
                <c:pt idx="18">
                  <c:v>2.3147129999999998</c:v>
                </c:pt>
                <c:pt idx="19">
                  <c:v>2.197155</c:v>
                </c:pt>
                <c:pt idx="20">
                  <c:v>1.9813339999999999</c:v>
                </c:pt>
                <c:pt idx="21">
                  <c:v>1.7701370000000001</c:v>
                </c:pt>
                <c:pt idx="22">
                  <c:v>1.4646520000000001</c:v>
                </c:pt>
                <c:pt idx="23">
                  <c:v>1.179198</c:v>
                </c:pt>
              </c:numCache>
            </c:numRef>
          </c:val>
          <c:smooth val="0"/>
          <c:extLst>
            <c:ext xmlns:c16="http://schemas.microsoft.com/office/drawing/2014/chart" uri="{C3380CC4-5D6E-409C-BE32-E72D297353CC}">
              <c16:uniqueId val="{00000001-EA03-4C2A-8C46-27ABDFFA8409}"/>
            </c:ext>
          </c:extLst>
        </c:ser>
        <c:ser>
          <c:idx val="3"/>
          <c:order val="2"/>
          <c:tx>
            <c:strRef>
              <c:f>'Graph Data'!$I$1</c:f>
              <c:strCache>
                <c:ptCount val="1"/>
                <c:pt idx="0">
                  <c:v>Cool Treatment</c:v>
                </c:pt>
              </c:strCache>
            </c:strRef>
          </c:tx>
          <c:spPr>
            <a:ln w="12700" cap="rnd">
              <a:solidFill>
                <a:schemeClr val="accent1"/>
              </a:solidFill>
              <a:round/>
            </a:ln>
            <a:effectLst/>
          </c:spPr>
          <c:marker>
            <c:symbol val="none"/>
          </c:marker>
          <c:val>
            <c:numRef>
              <c:f>'Graph Data'!$I$2:$I$25</c:f>
              <c:numCache>
                <c:formatCode>0.00</c:formatCode>
                <c:ptCount val="24"/>
                <c:pt idx="0">
                  <c:v>0.60425510000000004</c:v>
                </c:pt>
                <c:pt idx="1">
                  <c:v>0.53746700000000003</c:v>
                </c:pt>
                <c:pt idx="2">
                  <c:v>0.49724610000000002</c:v>
                </c:pt>
                <c:pt idx="3">
                  <c:v>0.47614800000000002</c:v>
                </c:pt>
                <c:pt idx="4">
                  <c:v>0.4781784</c:v>
                </c:pt>
                <c:pt idx="5">
                  <c:v>0.50978809999999997</c:v>
                </c:pt>
                <c:pt idx="6">
                  <c:v>0.57961370000000001</c:v>
                </c:pt>
                <c:pt idx="7">
                  <c:v>0.59793569999999996</c:v>
                </c:pt>
                <c:pt idx="8">
                  <c:v>0.52794359999999996</c:v>
                </c:pt>
                <c:pt idx="9">
                  <c:v>0.45137729999999998</c:v>
                </c:pt>
                <c:pt idx="10">
                  <c:v>0.38779089999999999</c:v>
                </c:pt>
                <c:pt idx="11">
                  <c:v>0.3559194</c:v>
                </c:pt>
                <c:pt idx="12">
                  <c:v>0.36918990000000002</c:v>
                </c:pt>
                <c:pt idx="13">
                  <c:v>0.42209079999999999</c:v>
                </c:pt>
                <c:pt idx="14">
                  <c:v>0.52545030000000004</c:v>
                </c:pt>
                <c:pt idx="15">
                  <c:v>0.691666</c:v>
                </c:pt>
                <c:pt idx="16">
                  <c:v>0.88795299999999999</c:v>
                </c:pt>
                <c:pt idx="17">
                  <c:v>1.069137</c:v>
                </c:pt>
                <c:pt idx="18">
                  <c:v>1.1546160000000001</c:v>
                </c:pt>
                <c:pt idx="19">
                  <c:v>1.148109</c:v>
                </c:pt>
                <c:pt idx="20">
                  <c:v>1.1158669999999999</c:v>
                </c:pt>
                <c:pt idx="21">
                  <c:v>1.0286660000000001</c:v>
                </c:pt>
                <c:pt idx="22">
                  <c:v>0.86436780000000002</c:v>
                </c:pt>
                <c:pt idx="23">
                  <c:v>0.70728489999999999</c:v>
                </c:pt>
              </c:numCache>
            </c:numRef>
          </c:val>
          <c:smooth val="0"/>
          <c:extLst>
            <c:ext xmlns:c16="http://schemas.microsoft.com/office/drawing/2014/chart" uri="{C3380CC4-5D6E-409C-BE32-E72D297353CC}">
              <c16:uniqueId val="{00000002-EA03-4C2A-8C46-27ABDFFA8409}"/>
            </c:ext>
          </c:extLst>
        </c:ser>
        <c:ser>
          <c:idx val="4"/>
          <c:order val="3"/>
          <c:tx>
            <c:strRef>
              <c:f>'Graph Data'!$J$1</c:f>
              <c:strCache>
                <c:ptCount val="1"/>
                <c:pt idx="0">
                  <c:v>Cool Control</c:v>
                </c:pt>
              </c:strCache>
            </c:strRef>
          </c:tx>
          <c:spPr>
            <a:ln w="12700" cap="rnd">
              <a:solidFill>
                <a:schemeClr val="accent3"/>
              </a:solidFill>
              <a:prstDash val="dash"/>
              <a:round/>
            </a:ln>
            <a:effectLst/>
          </c:spPr>
          <c:marker>
            <c:symbol val="none"/>
          </c:marker>
          <c:val>
            <c:numRef>
              <c:f>'Graph Data'!$J$2:$J$25</c:f>
              <c:numCache>
                <c:formatCode>0.00</c:formatCode>
                <c:ptCount val="24"/>
                <c:pt idx="0">
                  <c:v>0.60824500000000004</c:v>
                </c:pt>
                <c:pt idx="1">
                  <c:v>0.54106829999999995</c:v>
                </c:pt>
                <c:pt idx="2">
                  <c:v>0.49990190000000001</c:v>
                </c:pt>
                <c:pt idx="3">
                  <c:v>0.47907290000000002</c:v>
                </c:pt>
                <c:pt idx="4">
                  <c:v>0.4817129</c:v>
                </c:pt>
                <c:pt idx="5">
                  <c:v>0.51308699999999996</c:v>
                </c:pt>
                <c:pt idx="6">
                  <c:v>0.58356569999999997</c:v>
                </c:pt>
                <c:pt idx="7">
                  <c:v>0.59958219999999995</c:v>
                </c:pt>
                <c:pt idx="8">
                  <c:v>0.52765439999999997</c:v>
                </c:pt>
                <c:pt idx="9">
                  <c:v>0.45050669999999998</c:v>
                </c:pt>
                <c:pt idx="10">
                  <c:v>0.3860227</c:v>
                </c:pt>
                <c:pt idx="11">
                  <c:v>0.35325269999999998</c:v>
                </c:pt>
                <c:pt idx="12">
                  <c:v>0.36745709999999998</c:v>
                </c:pt>
                <c:pt idx="13">
                  <c:v>0.42157329999999998</c:v>
                </c:pt>
                <c:pt idx="14">
                  <c:v>0.52707939999999998</c:v>
                </c:pt>
                <c:pt idx="15">
                  <c:v>0.69605470000000003</c:v>
                </c:pt>
                <c:pt idx="16">
                  <c:v>0.89482720000000004</c:v>
                </c:pt>
                <c:pt idx="17">
                  <c:v>1.0768009999999999</c:v>
                </c:pt>
                <c:pt idx="18">
                  <c:v>1.1634310000000001</c:v>
                </c:pt>
                <c:pt idx="19">
                  <c:v>1.1567719999999999</c:v>
                </c:pt>
                <c:pt idx="20">
                  <c:v>1.1254519999999999</c:v>
                </c:pt>
                <c:pt idx="21">
                  <c:v>1.038891</c:v>
                </c:pt>
                <c:pt idx="22">
                  <c:v>0.87282199999999999</c:v>
                </c:pt>
                <c:pt idx="23">
                  <c:v>0.71373299999999995</c:v>
                </c:pt>
              </c:numCache>
            </c:numRef>
          </c:val>
          <c:smooth val="0"/>
          <c:extLst>
            <c:ext xmlns:c16="http://schemas.microsoft.com/office/drawing/2014/chart" uri="{C3380CC4-5D6E-409C-BE32-E72D297353CC}">
              <c16:uniqueId val="{00000003-EA03-4C2A-8C46-27ABDFFA8409}"/>
            </c:ext>
          </c:extLst>
        </c:ser>
        <c:ser>
          <c:idx val="5"/>
          <c:order val="4"/>
          <c:tx>
            <c:strRef>
              <c:f>'Graph Data'!$K$1</c:f>
              <c:strCache>
                <c:ptCount val="1"/>
                <c:pt idx="0">
                  <c:v>Non-Match Treatment</c:v>
                </c:pt>
              </c:strCache>
            </c:strRef>
          </c:tx>
          <c:spPr>
            <a:ln w="12700" cap="rnd">
              <a:solidFill>
                <a:schemeClr val="accent6"/>
              </a:solidFill>
              <a:round/>
            </a:ln>
            <a:effectLst/>
          </c:spPr>
          <c:marker>
            <c:symbol val="none"/>
          </c:marker>
          <c:val>
            <c:numRef>
              <c:f>'Graph Data'!$K$2:$K$25</c:f>
              <c:numCache>
                <c:formatCode>0.00</c:formatCode>
                <c:ptCount val="24"/>
                <c:pt idx="0">
                  <c:v>0.6001571</c:v>
                </c:pt>
                <c:pt idx="1">
                  <c:v>0.53358819999999996</c:v>
                </c:pt>
                <c:pt idx="2">
                  <c:v>0.49381619999999998</c:v>
                </c:pt>
                <c:pt idx="3">
                  <c:v>0.47340789999999999</c:v>
                </c:pt>
                <c:pt idx="4">
                  <c:v>0.47556569999999998</c:v>
                </c:pt>
                <c:pt idx="5">
                  <c:v>0.50708839999999999</c:v>
                </c:pt>
                <c:pt idx="6">
                  <c:v>0.57275880000000001</c:v>
                </c:pt>
                <c:pt idx="7">
                  <c:v>0.58915050000000002</c:v>
                </c:pt>
                <c:pt idx="8">
                  <c:v>0.52028540000000001</c:v>
                </c:pt>
                <c:pt idx="9">
                  <c:v>0.44400869999999998</c:v>
                </c:pt>
                <c:pt idx="10">
                  <c:v>0.37898549999999998</c:v>
                </c:pt>
                <c:pt idx="11">
                  <c:v>0.3469218</c:v>
                </c:pt>
                <c:pt idx="12">
                  <c:v>0.35903649999999998</c:v>
                </c:pt>
                <c:pt idx="13">
                  <c:v>0.41285810000000001</c:v>
                </c:pt>
                <c:pt idx="14">
                  <c:v>0.51466659999999997</c:v>
                </c:pt>
                <c:pt idx="15">
                  <c:v>0.6824789</c:v>
                </c:pt>
                <c:pt idx="16">
                  <c:v>0.87944160000000005</c:v>
                </c:pt>
                <c:pt idx="17">
                  <c:v>1.064149</c:v>
                </c:pt>
                <c:pt idx="18">
                  <c:v>1.1552690000000001</c:v>
                </c:pt>
                <c:pt idx="19">
                  <c:v>1.149211</c:v>
                </c:pt>
                <c:pt idx="20">
                  <c:v>1.1122840000000001</c:v>
                </c:pt>
                <c:pt idx="21">
                  <c:v>1.030305</c:v>
                </c:pt>
                <c:pt idx="22">
                  <c:v>0.86778370000000005</c:v>
                </c:pt>
                <c:pt idx="23">
                  <c:v>0.71053279999999996</c:v>
                </c:pt>
              </c:numCache>
            </c:numRef>
          </c:val>
          <c:smooth val="0"/>
          <c:extLst>
            <c:ext xmlns:c16="http://schemas.microsoft.com/office/drawing/2014/chart" uri="{C3380CC4-5D6E-409C-BE32-E72D297353CC}">
              <c16:uniqueId val="{00000004-EA03-4C2A-8C46-27ABDFFA8409}"/>
            </c:ext>
          </c:extLst>
        </c:ser>
        <c:ser>
          <c:idx val="6"/>
          <c:order val="5"/>
          <c:tx>
            <c:strRef>
              <c:f>'Graph Data'!$L$1</c:f>
              <c:strCache>
                <c:ptCount val="1"/>
                <c:pt idx="0">
                  <c:v>Non-Match Control</c:v>
                </c:pt>
              </c:strCache>
            </c:strRef>
          </c:tx>
          <c:spPr>
            <a:ln w="12700" cap="rnd">
              <a:solidFill>
                <a:schemeClr val="tx1"/>
              </a:solidFill>
              <a:prstDash val="dash"/>
              <a:round/>
            </a:ln>
            <a:effectLst/>
          </c:spPr>
          <c:marker>
            <c:symbol val="none"/>
          </c:marker>
          <c:val>
            <c:numRef>
              <c:f>'Graph Data'!$L$2:$L$25</c:f>
              <c:numCache>
                <c:formatCode>0.00</c:formatCode>
                <c:ptCount val="24"/>
                <c:pt idx="0">
                  <c:v>0.60424710000000004</c:v>
                </c:pt>
                <c:pt idx="1">
                  <c:v>0.53634470000000001</c:v>
                </c:pt>
                <c:pt idx="2">
                  <c:v>0.49560379999999998</c:v>
                </c:pt>
                <c:pt idx="3">
                  <c:v>0.47502840000000002</c:v>
                </c:pt>
                <c:pt idx="4">
                  <c:v>0.4782785</c:v>
                </c:pt>
                <c:pt idx="5">
                  <c:v>0.50988330000000004</c:v>
                </c:pt>
                <c:pt idx="6">
                  <c:v>0.57661229999999997</c:v>
                </c:pt>
                <c:pt idx="7">
                  <c:v>0.58989429999999998</c:v>
                </c:pt>
                <c:pt idx="8">
                  <c:v>0.51864410000000005</c:v>
                </c:pt>
                <c:pt idx="9">
                  <c:v>0.44144620000000001</c:v>
                </c:pt>
                <c:pt idx="10">
                  <c:v>0.37613200000000002</c:v>
                </c:pt>
                <c:pt idx="11">
                  <c:v>0.34271020000000002</c:v>
                </c:pt>
                <c:pt idx="12">
                  <c:v>0.35623460000000001</c:v>
                </c:pt>
                <c:pt idx="13">
                  <c:v>0.41131849999999998</c:v>
                </c:pt>
                <c:pt idx="14">
                  <c:v>0.51594779999999996</c:v>
                </c:pt>
                <c:pt idx="15">
                  <c:v>0.68864619999999999</c:v>
                </c:pt>
                <c:pt idx="16">
                  <c:v>0.89045529999999995</c:v>
                </c:pt>
                <c:pt idx="17">
                  <c:v>1.0781970000000001</c:v>
                </c:pt>
                <c:pt idx="18">
                  <c:v>1.172919</c:v>
                </c:pt>
                <c:pt idx="19">
                  <c:v>1.165548</c:v>
                </c:pt>
                <c:pt idx="20">
                  <c:v>1.1264829999999999</c:v>
                </c:pt>
                <c:pt idx="21">
                  <c:v>1.0417730000000001</c:v>
                </c:pt>
                <c:pt idx="22">
                  <c:v>0.87806609999999996</c:v>
                </c:pt>
                <c:pt idx="23">
                  <c:v>0.71813749999999998</c:v>
                </c:pt>
              </c:numCache>
            </c:numRef>
          </c:val>
          <c:smooth val="0"/>
          <c:extLst>
            <c:ext xmlns:c16="http://schemas.microsoft.com/office/drawing/2014/chart" uri="{C3380CC4-5D6E-409C-BE32-E72D297353CC}">
              <c16:uniqueId val="{00000005-EA03-4C2A-8C46-27ABDFFA8409}"/>
            </c:ext>
          </c:extLst>
        </c:ser>
        <c:dLbls>
          <c:showLegendKey val="0"/>
          <c:showVal val="0"/>
          <c:showCatName val="0"/>
          <c:showSerName val="0"/>
          <c:showPercent val="0"/>
          <c:showBubbleSize val="0"/>
        </c:dLbls>
        <c:smooth val="0"/>
        <c:axId val="562343472"/>
        <c:axId val="747797520"/>
      </c:lineChart>
      <c:catAx>
        <c:axId val="5623434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Hour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47797520"/>
        <c:crosses val="autoZero"/>
        <c:auto val="1"/>
        <c:lblAlgn val="ctr"/>
        <c:lblOffset val="100"/>
        <c:noMultiLvlLbl val="0"/>
      </c:catAx>
      <c:valAx>
        <c:axId val="747797520"/>
        <c:scaling>
          <c:orientation val="minMax"/>
          <c:max val="2.4"/>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Average Load (kWh/hr)</a:t>
                </a:r>
              </a:p>
            </c:rich>
          </c:tx>
          <c:layout>
            <c:manualLayout>
              <c:xMode val="edge"/>
              <c:yMode val="edge"/>
              <c:x val="9.1451589384660258E-3"/>
              <c:y val="0.2560059456853607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62343472"/>
        <c:crosses val="autoZero"/>
        <c:crossBetween val="between"/>
      </c:valAx>
      <c:spPr>
        <a:noFill/>
        <a:ln>
          <a:solidFill>
            <a:schemeClr val="tx1"/>
          </a:solidFill>
        </a:ln>
        <a:effectLst/>
      </c:spPr>
    </c:plotArea>
    <c:legend>
      <c:legendPos val="b"/>
      <c:layout>
        <c:manualLayout>
          <c:xMode val="edge"/>
          <c:yMode val="edge"/>
          <c:x val="2.9295775687551095E-3"/>
          <c:y val="0.90271045918367332"/>
          <c:w val="0.99707039224263638"/>
          <c:h val="9.5271573196207618E-2"/>
        </c:manualLayout>
      </c:layout>
      <c:overlay val="0"/>
      <c:spPr>
        <a:noFill/>
        <a:ln>
          <a:solidFill>
            <a:schemeClr val="tx1"/>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3.1'!$B$15</c:f>
              <c:strCache>
                <c:ptCount val="1"/>
                <c:pt idx="0">
                  <c:v>Load Impact</c:v>
                </c:pt>
              </c:strCache>
            </c:strRef>
          </c:tx>
          <c:spPr>
            <a:solidFill>
              <a:srgbClr val="0C2577"/>
            </a:solidFill>
            <a:ln>
              <a:solidFill>
                <a:srgbClr val="0C2577"/>
              </a:solidFill>
            </a:ln>
            <a:effectLst/>
          </c:spPr>
          <c:invertIfNegative val="0"/>
          <c:dLbls>
            <c:dLbl>
              <c:idx val="0"/>
              <c:tx>
                <c:rich>
                  <a:bodyPr/>
                  <a:lstStyle/>
                  <a:p>
                    <a:fld id="{DAC9C815-A926-4488-ADFE-8D840C92E996}"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A68-450B-91FA-901D71511CD6}"/>
                </c:ext>
              </c:extLst>
            </c:dLbl>
            <c:dLbl>
              <c:idx val="1"/>
              <c:tx>
                <c:rich>
                  <a:bodyPr/>
                  <a:lstStyle/>
                  <a:p>
                    <a:fld id="{57471586-FD13-43F0-B26B-42811C6C5BD0}"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A68-450B-91FA-901D71511CD6}"/>
                </c:ext>
              </c:extLst>
            </c:dLbl>
            <c:dLbl>
              <c:idx val="2"/>
              <c:tx>
                <c:rich>
                  <a:bodyPr/>
                  <a:lstStyle/>
                  <a:p>
                    <a:fld id="{CEDEB0FF-B96A-4767-8428-09F9599E84A7}"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A68-450B-91FA-901D71511CD6}"/>
                </c:ext>
              </c:extLst>
            </c:dLbl>
            <c:dLbl>
              <c:idx val="3"/>
              <c:tx>
                <c:rich>
                  <a:bodyPr/>
                  <a:lstStyle/>
                  <a:p>
                    <a:fld id="{DEED7F3D-3A01-4EAD-8E2C-59CAAE37AE92}"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A68-450B-91FA-901D71511CD6}"/>
                </c:ext>
              </c:extLst>
            </c:dLbl>
            <c:dLbl>
              <c:idx val="4"/>
              <c:tx>
                <c:rich>
                  <a:bodyPr/>
                  <a:lstStyle/>
                  <a:p>
                    <a:fld id="{91D1A5AB-74BD-41F6-A60A-0BE0BBC78F63}"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A68-450B-91FA-901D71511CD6}"/>
                </c:ext>
              </c:extLst>
            </c:dLbl>
            <c:dLbl>
              <c:idx val="5"/>
              <c:tx>
                <c:rich>
                  <a:bodyPr/>
                  <a:lstStyle/>
                  <a:p>
                    <a:fld id="{04004AD4-A639-49D3-859D-1AB8472CCD4A}"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A68-450B-91FA-901D71511CD6}"/>
                </c:ext>
              </c:extLst>
            </c:dLbl>
            <c:dLbl>
              <c:idx val="6"/>
              <c:tx>
                <c:rich>
                  <a:bodyPr/>
                  <a:lstStyle/>
                  <a:p>
                    <a:fld id="{F829AFAA-92BD-4D9F-AFAF-F8ADA7FB5133}"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A68-450B-91FA-901D71511CD6}"/>
                </c:ext>
              </c:extLst>
            </c:dLbl>
            <c:dLbl>
              <c:idx val="7"/>
              <c:tx>
                <c:rich>
                  <a:bodyPr/>
                  <a:lstStyle/>
                  <a:p>
                    <a:fld id="{DCF85ED4-99AC-42E3-A33C-3CF9AA621D96}"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A68-450B-91FA-901D71511CD6}"/>
                </c:ext>
              </c:extLst>
            </c:dLbl>
            <c:dLbl>
              <c:idx val="8"/>
              <c:tx>
                <c:rich>
                  <a:bodyPr/>
                  <a:lstStyle/>
                  <a:p>
                    <a:fld id="{5DCDDB24-D3E1-4F8F-B06A-292CB8F252B1}" type="CELLRANGE">
                      <a:rPr lang="en-US"/>
                      <a:pPr/>
                      <a:t>[CELLRANGE]</a:t>
                    </a:fld>
                    <a:endParaRPr lang="en-US"/>
                  </a:p>
                </c:rich>
              </c:tx>
              <c:dLblPos val="outEnd"/>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A68-450B-91FA-901D71511CD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errBars>
            <c:errBarType val="both"/>
            <c:errValType val="cust"/>
            <c:noEndCap val="0"/>
            <c:plus>
              <c:numRef>
                <c:f>'data 3.1'!$E$16:$E$24</c:f>
                <c:numCache>
                  <c:formatCode>General</c:formatCode>
                  <c:ptCount val="9"/>
                  <c:pt idx="0">
                    <c:v>4.3015278297504518E-3</c:v>
                  </c:pt>
                  <c:pt idx="1">
                    <c:v>4.2711550576470447E-3</c:v>
                  </c:pt>
                  <c:pt idx="2">
                    <c:v>1.1648150334391429E-2</c:v>
                  </c:pt>
                  <c:pt idx="3">
                    <c:v>6.8655280469355345E-3</c:v>
                  </c:pt>
                  <c:pt idx="4">
                    <c:v>2.8416996259229419E-2</c:v>
                  </c:pt>
                  <c:pt idx="5">
                    <c:v>4.8300396953810448E-3</c:v>
                  </c:pt>
                  <c:pt idx="6">
                    <c:v>4.5174692685447174E-3</c:v>
                  </c:pt>
                  <c:pt idx="7">
                    <c:v>7.3807117762844637E-3</c:v>
                  </c:pt>
                  <c:pt idx="8">
                    <c:v>5.1310889736431275E-2</c:v>
                  </c:pt>
                </c:numCache>
              </c:numRef>
            </c:plus>
            <c:minus>
              <c:numRef>
                <c:f>'data 3.1'!$E$16:$E$24</c:f>
                <c:numCache>
                  <c:formatCode>General</c:formatCode>
                  <c:ptCount val="9"/>
                  <c:pt idx="0">
                    <c:v>4.3015278297504518E-3</c:v>
                  </c:pt>
                  <c:pt idx="1">
                    <c:v>4.2711550576470447E-3</c:v>
                  </c:pt>
                  <c:pt idx="2">
                    <c:v>1.1648150334391429E-2</c:v>
                  </c:pt>
                  <c:pt idx="3">
                    <c:v>6.8655280469355345E-3</c:v>
                  </c:pt>
                  <c:pt idx="4">
                    <c:v>2.8416996259229419E-2</c:v>
                  </c:pt>
                  <c:pt idx="5">
                    <c:v>4.8300396953810448E-3</c:v>
                  </c:pt>
                  <c:pt idx="6">
                    <c:v>4.5174692685447174E-3</c:v>
                  </c:pt>
                  <c:pt idx="7">
                    <c:v>7.3807117762844637E-3</c:v>
                  </c:pt>
                  <c:pt idx="8">
                    <c:v>5.1310889736431275E-2</c:v>
                  </c:pt>
                </c:numCache>
              </c:numRef>
            </c:minus>
            <c:spPr>
              <a:noFill/>
              <a:ln w="25400" cap="flat" cmpd="sng" algn="ctr">
                <a:solidFill>
                  <a:srgbClr val="92D050"/>
                </a:solidFill>
                <a:round/>
              </a:ln>
              <a:effectLst/>
            </c:spPr>
          </c:errBars>
          <c:cat>
            <c:numRef>
              <c:f>'data 3.1'!$A$16:$A$24</c:f>
              <c:numCache>
                <c:formatCode>[$-409]d\-mmm;@</c:formatCode>
                <c:ptCount val="9"/>
                <c:pt idx="0">
                  <c:v>43304</c:v>
                </c:pt>
                <c:pt idx="1">
                  <c:v>43305</c:v>
                </c:pt>
                <c:pt idx="2">
                  <c:v>43306</c:v>
                </c:pt>
                <c:pt idx="3">
                  <c:v>43307</c:v>
                </c:pt>
                <c:pt idx="4">
                  <c:v>43308</c:v>
                </c:pt>
                <c:pt idx="5">
                  <c:v>43320</c:v>
                </c:pt>
                <c:pt idx="6">
                  <c:v>43321</c:v>
                </c:pt>
                <c:pt idx="7">
                  <c:v>43322</c:v>
                </c:pt>
                <c:pt idx="8">
                  <c:v>43369</c:v>
                </c:pt>
              </c:numCache>
            </c:numRef>
          </c:cat>
          <c:val>
            <c:numRef>
              <c:f>'data 3.1'!$B$16:$B$24</c:f>
              <c:numCache>
                <c:formatCode>0.00</c:formatCode>
                <c:ptCount val="9"/>
                <c:pt idx="0">
                  <c:v>0.2772753</c:v>
                </c:pt>
                <c:pt idx="1">
                  <c:v>0.29347790000000001</c:v>
                </c:pt>
                <c:pt idx="2">
                  <c:v>0.43304029999999999</c:v>
                </c:pt>
                <c:pt idx="3">
                  <c:v>0.31712590000000002</c:v>
                </c:pt>
                <c:pt idx="4">
                  <c:v>5.4475999999999997E-2</c:v>
                </c:pt>
                <c:pt idx="5">
                  <c:v>0.26126670000000002</c:v>
                </c:pt>
                <c:pt idx="6">
                  <c:v>0.34885899999999997</c:v>
                </c:pt>
                <c:pt idx="7">
                  <c:v>0.2138564</c:v>
                </c:pt>
                <c:pt idx="8">
                  <c:v>0.11484750000000001</c:v>
                </c:pt>
              </c:numCache>
            </c:numRef>
          </c:val>
          <c:extLst>
            <c:ext xmlns:c15="http://schemas.microsoft.com/office/drawing/2012/chart" uri="{02D57815-91ED-43cb-92C2-25804820EDAC}">
              <c15:datalabelsRange>
                <c15:f>'data 3.1'!$D$16:$D$24</c15:f>
                <c15:dlblRangeCache>
                  <c:ptCount val="9"/>
                  <c:pt idx="0">
                    <c:v>4-8 p.m.</c:v>
                  </c:pt>
                  <c:pt idx="1">
                    <c:v>3-8 p.m.</c:v>
                  </c:pt>
                  <c:pt idx="2">
                    <c:v>4-7 p.m.</c:v>
                  </c:pt>
                  <c:pt idx="3">
                    <c:v>3-7 p.m.</c:v>
                  </c:pt>
                  <c:pt idx="4">
                    <c:v>7-11:59 p.m.</c:v>
                  </c:pt>
                  <c:pt idx="5">
                    <c:v>4-7 p.m.</c:v>
                  </c:pt>
                  <c:pt idx="6">
                    <c:v>4-7 p.m.</c:v>
                  </c:pt>
                  <c:pt idx="7">
                    <c:v>4-7 p.m.</c:v>
                  </c:pt>
                  <c:pt idx="8">
                    <c:v>4-7 p.m.</c:v>
                  </c:pt>
                </c15:dlblRangeCache>
              </c15:datalabelsRange>
            </c:ext>
            <c:ext xmlns:c16="http://schemas.microsoft.com/office/drawing/2014/chart" uri="{C3380CC4-5D6E-409C-BE32-E72D297353CC}">
              <c16:uniqueId val="{00000009-AA68-450B-91FA-901D71511CD6}"/>
            </c:ext>
          </c:extLst>
        </c:ser>
        <c:dLbls>
          <c:showLegendKey val="0"/>
          <c:showVal val="0"/>
          <c:showCatName val="0"/>
          <c:showSerName val="0"/>
          <c:showPercent val="0"/>
          <c:showBubbleSize val="0"/>
        </c:dLbls>
        <c:gapWidth val="219"/>
        <c:axId val="328513344"/>
        <c:axId val="331324896"/>
      </c:barChart>
      <c:lineChart>
        <c:grouping val="standard"/>
        <c:varyColors val="0"/>
        <c:ser>
          <c:idx val="1"/>
          <c:order val="1"/>
          <c:tx>
            <c:strRef>
              <c:f>'data 3.1'!$C$15</c:f>
              <c:strCache>
                <c:ptCount val="1"/>
                <c:pt idx="0">
                  <c:v>Event Temp.</c:v>
                </c:pt>
              </c:strCache>
            </c:strRef>
          </c:tx>
          <c:spPr>
            <a:ln w="28575" cap="rnd">
              <a:solidFill>
                <a:schemeClr val="accent2"/>
              </a:solidFill>
              <a:round/>
            </a:ln>
            <a:effectLst/>
          </c:spPr>
          <c:marker>
            <c:symbol val="none"/>
          </c:marker>
          <c:cat>
            <c:numRef>
              <c:f>'data 3.1'!$A$16:$A$24</c:f>
              <c:numCache>
                <c:formatCode>[$-409]d\-mmm;@</c:formatCode>
                <c:ptCount val="9"/>
                <c:pt idx="0">
                  <c:v>43304</c:v>
                </c:pt>
                <c:pt idx="1">
                  <c:v>43305</c:v>
                </c:pt>
                <c:pt idx="2">
                  <c:v>43306</c:v>
                </c:pt>
                <c:pt idx="3">
                  <c:v>43307</c:v>
                </c:pt>
                <c:pt idx="4">
                  <c:v>43308</c:v>
                </c:pt>
                <c:pt idx="5">
                  <c:v>43320</c:v>
                </c:pt>
                <c:pt idx="6">
                  <c:v>43321</c:v>
                </c:pt>
                <c:pt idx="7">
                  <c:v>43322</c:v>
                </c:pt>
                <c:pt idx="8">
                  <c:v>43369</c:v>
                </c:pt>
              </c:numCache>
            </c:numRef>
          </c:cat>
          <c:val>
            <c:numRef>
              <c:f>'data 3.1'!$C$16:$C$24</c:f>
              <c:numCache>
                <c:formatCode>0.0</c:formatCode>
                <c:ptCount val="9"/>
                <c:pt idx="0">
                  <c:v>98.208150000000003</c:v>
                </c:pt>
                <c:pt idx="1">
                  <c:v>100.8154</c:v>
                </c:pt>
                <c:pt idx="2">
                  <c:v>100.8758</c:v>
                </c:pt>
                <c:pt idx="3">
                  <c:v>90.693920000000006</c:v>
                </c:pt>
                <c:pt idx="4">
                  <c:v>79.099999999999994</c:v>
                </c:pt>
                <c:pt idx="5">
                  <c:v>96.05847</c:v>
                </c:pt>
                <c:pt idx="6">
                  <c:v>99.780540000000002</c:v>
                </c:pt>
                <c:pt idx="7">
                  <c:v>102.16249999999999</c:v>
                </c:pt>
                <c:pt idx="8">
                  <c:v>94.067229999999995</c:v>
                </c:pt>
              </c:numCache>
            </c:numRef>
          </c:val>
          <c:smooth val="0"/>
          <c:extLst>
            <c:ext xmlns:c16="http://schemas.microsoft.com/office/drawing/2014/chart" uri="{C3380CC4-5D6E-409C-BE32-E72D297353CC}">
              <c16:uniqueId val="{0000000A-AA68-450B-91FA-901D71511CD6}"/>
            </c:ext>
          </c:extLst>
        </c:ser>
        <c:dLbls>
          <c:showLegendKey val="0"/>
          <c:showVal val="0"/>
          <c:showCatName val="0"/>
          <c:showSerName val="0"/>
          <c:showPercent val="0"/>
          <c:showBubbleSize val="0"/>
        </c:dLbls>
        <c:marker val="1"/>
        <c:smooth val="0"/>
        <c:axId val="960529471"/>
        <c:axId val="961733599"/>
      </c:lineChart>
      <c:catAx>
        <c:axId val="3285133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Event Date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409]d\-mmm;@"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31324896"/>
        <c:crosses val="autoZero"/>
        <c:auto val="0"/>
        <c:lblAlgn val="ctr"/>
        <c:lblOffset val="100"/>
        <c:noMultiLvlLbl val="1"/>
      </c:catAx>
      <c:valAx>
        <c:axId val="33132489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Average Event-hour Load Impact (kWh/customer/hr)</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28513344"/>
        <c:crosses val="autoZero"/>
        <c:crossBetween val="between"/>
      </c:valAx>
      <c:valAx>
        <c:axId val="961733599"/>
        <c:scaling>
          <c:orientation val="minMax"/>
          <c:max val="120"/>
          <c:min val="0"/>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Average Event-hour Temperature (°F)</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60529471"/>
        <c:crosses val="max"/>
        <c:crossBetween val="between"/>
        <c:majorUnit val="20"/>
      </c:valAx>
      <c:dateAx>
        <c:axId val="960529471"/>
        <c:scaling>
          <c:orientation val="minMax"/>
        </c:scaling>
        <c:delete val="1"/>
        <c:axPos val="b"/>
        <c:numFmt formatCode="[$-409]d\-mmm;@" sourceLinked="1"/>
        <c:majorTickMark val="out"/>
        <c:minorTickMark val="none"/>
        <c:tickLblPos val="nextTo"/>
        <c:crossAx val="961733599"/>
        <c:crosses val="autoZero"/>
        <c:auto val="1"/>
        <c:lblOffset val="100"/>
        <c:baseTimeUnit val="days"/>
      </c:dateAx>
      <c:spPr>
        <a:noFill/>
        <a:ln>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7446777486146"/>
          <c:y val="2.4873299959812575E-2"/>
          <c:w val="0.7993367235345582"/>
          <c:h val="0.74848961149252546"/>
        </c:manualLayout>
      </c:layout>
      <c:barChart>
        <c:barDir val="col"/>
        <c:grouping val="clustered"/>
        <c:varyColors val="0"/>
        <c:ser>
          <c:idx val="0"/>
          <c:order val="0"/>
          <c:tx>
            <c:strRef>
              <c:f>'data 3.2'!$X$1</c:f>
              <c:strCache>
                <c:ptCount val="1"/>
                <c:pt idx="0">
                  <c:v>PGEB</c:v>
                </c:pt>
              </c:strCache>
            </c:strRef>
          </c:tx>
          <c:spPr>
            <a:solidFill>
              <a:srgbClr val="0C2577"/>
            </a:solidFill>
            <a:ln>
              <a:noFill/>
            </a:ln>
            <a:effectLst/>
          </c:spPr>
          <c:invertIfNegative val="0"/>
          <c:errBars>
            <c:errBarType val="both"/>
            <c:errValType val="cust"/>
            <c:noEndCap val="0"/>
            <c:pl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plus>
            <c:min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minus>
            <c:spPr>
              <a:noFill/>
              <a:ln w="25400" cap="flat" cmpd="sng" algn="ctr">
                <a:solidFill>
                  <a:srgbClr val="92D050"/>
                </a:solidFill>
                <a:round/>
              </a:ln>
              <a:effectLst/>
            </c:spPr>
          </c:errBars>
          <c:cat>
            <c:multiLvlStrRef>
              <c:f>'data 3.2'!$V$2:$W$43</c:f>
              <c:multiLvlStrCache>
                <c:ptCount val="42"/>
                <c:lvl>
                  <c:pt idx="1">
                    <c:v>PGF1</c:v>
                  </c:pt>
                  <c:pt idx="2">
                    <c:v>PGKN</c:v>
                  </c:pt>
                  <c:pt idx="3">
                    <c:v>PGNP</c:v>
                  </c:pt>
                  <c:pt idx="4">
                    <c:v>PGSI</c:v>
                  </c:pt>
                  <c:pt idx="6">
                    <c:v>PGF1</c:v>
                  </c:pt>
                  <c:pt idx="7">
                    <c:v>PGKN</c:v>
                  </c:pt>
                  <c:pt idx="8">
                    <c:v>PGNC</c:v>
                  </c:pt>
                  <c:pt idx="9">
                    <c:v>PGNP</c:v>
                  </c:pt>
                  <c:pt idx="10">
                    <c:v>PGSI</c:v>
                  </c:pt>
                  <c:pt idx="11">
                    <c:v>PGZP</c:v>
                  </c:pt>
                  <c:pt idx="13">
                    <c:v>PGSI</c:v>
                  </c:pt>
                  <c:pt idx="14">
                    <c:v>PGST</c:v>
                  </c:pt>
                  <c:pt idx="16">
                    <c:v>PGEB</c:v>
                  </c:pt>
                  <c:pt idx="17">
                    <c:v>PGFG</c:v>
                  </c:pt>
                  <c:pt idx="18">
                    <c:v>PGNC</c:v>
                  </c:pt>
                  <c:pt idx="19">
                    <c:v>PGST</c:v>
                  </c:pt>
                  <c:pt idx="20">
                    <c:v>PGZP</c:v>
                  </c:pt>
                  <c:pt idx="22">
                    <c:v>PGNC</c:v>
                  </c:pt>
                  <c:pt idx="24">
                    <c:v>PGEB</c:v>
                  </c:pt>
                  <c:pt idx="25">
                    <c:v>PGF1</c:v>
                  </c:pt>
                  <c:pt idx="26">
                    <c:v>PGKN</c:v>
                  </c:pt>
                  <c:pt idx="27">
                    <c:v>PGST</c:v>
                  </c:pt>
                  <c:pt idx="28">
                    <c:v>PGZP</c:v>
                  </c:pt>
                  <c:pt idx="30">
                    <c:v>PGEB</c:v>
                  </c:pt>
                  <c:pt idx="31">
                    <c:v>PGF1</c:v>
                  </c:pt>
                  <c:pt idx="32">
                    <c:v>PGKN</c:v>
                  </c:pt>
                  <c:pt idx="33">
                    <c:v>PGSI</c:v>
                  </c:pt>
                  <c:pt idx="34">
                    <c:v>PGST</c:v>
                  </c:pt>
                  <c:pt idx="35">
                    <c:v>PGZP</c:v>
                  </c:pt>
                  <c:pt idx="37">
                    <c:v>PGF1</c:v>
                  </c:pt>
                  <c:pt idx="38">
                    <c:v>PGKN</c:v>
                  </c:pt>
                  <c:pt idx="39">
                    <c:v>PGZP</c:v>
                  </c:pt>
                  <c:pt idx="41">
                    <c:v>PGNC</c:v>
                  </c:pt>
                </c:lvl>
                <c:lvl>
                  <c:pt idx="0">
                    <c:v>23-Jul</c:v>
                  </c:pt>
                  <c:pt idx="5">
                    <c:v>24-Jul</c:v>
                  </c:pt>
                  <c:pt idx="12">
                    <c:v>25-Jul</c:v>
                  </c:pt>
                  <c:pt idx="15">
                    <c:v>26-Jul</c:v>
                  </c:pt>
                  <c:pt idx="21">
                    <c:v>27-Jul</c:v>
                  </c:pt>
                  <c:pt idx="23">
                    <c:v>8-Aug</c:v>
                  </c:pt>
                  <c:pt idx="29">
                    <c:v>9-Aug</c:v>
                  </c:pt>
                  <c:pt idx="36">
                    <c:v>10-Aug</c:v>
                  </c:pt>
                  <c:pt idx="40">
                    <c:v>26-Sep</c:v>
                  </c:pt>
                </c:lvl>
              </c:multiLvlStrCache>
            </c:multiLvlStrRef>
          </c:cat>
          <c:val>
            <c:numRef>
              <c:f>'data 3.2'!$X$2:$X$43</c:f>
              <c:numCache>
                <c:formatCode>General</c:formatCode>
                <c:ptCount val="42"/>
                <c:pt idx="16" formatCode="0.0">
                  <c:v>0.30291040000000002</c:v>
                </c:pt>
                <c:pt idx="24" formatCode="0.0">
                  <c:v>0.2489365</c:v>
                </c:pt>
                <c:pt idx="30" formatCode="0.0">
                  <c:v>0.36986479999999999</c:v>
                </c:pt>
              </c:numCache>
            </c:numRef>
          </c:val>
          <c:extLst>
            <c:ext xmlns:c16="http://schemas.microsoft.com/office/drawing/2014/chart" uri="{C3380CC4-5D6E-409C-BE32-E72D297353CC}">
              <c16:uniqueId val="{00000000-7AE5-40AE-B87A-3422D728AC80}"/>
            </c:ext>
          </c:extLst>
        </c:ser>
        <c:ser>
          <c:idx val="1"/>
          <c:order val="1"/>
          <c:tx>
            <c:strRef>
              <c:f>'data 3.2'!$Y$1</c:f>
              <c:strCache>
                <c:ptCount val="1"/>
                <c:pt idx="0">
                  <c:v>PGF1</c:v>
                </c:pt>
              </c:strCache>
            </c:strRef>
          </c:tx>
          <c:spPr>
            <a:solidFill>
              <a:srgbClr val="0C2577"/>
            </a:solidFill>
            <a:ln>
              <a:noFill/>
            </a:ln>
            <a:effectLst/>
          </c:spPr>
          <c:invertIfNegative val="0"/>
          <c:errBars>
            <c:errBarType val="both"/>
            <c:errValType val="cust"/>
            <c:noEndCap val="0"/>
            <c:pl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plus>
            <c:min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minus>
            <c:spPr>
              <a:noFill/>
              <a:ln w="25400" cap="flat" cmpd="sng" algn="ctr">
                <a:solidFill>
                  <a:srgbClr val="92D050"/>
                </a:solidFill>
                <a:round/>
              </a:ln>
              <a:effectLst/>
            </c:spPr>
          </c:errBars>
          <c:cat>
            <c:multiLvlStrRef>
              <c:f>'data 3.2'!$V$2:$W$43</c:f>
              <c:multiLvlStrCache>
                <c:ptCount val="42"/>
                <c:lvl>
                  <c:pt idx="1">
                    <c:v>PGF1</c:v>
                  </c:pt>
                  <c:pt idx="2">
                    <c:v>PGKN</c:v>
                  </c:pt>
                  <c:pt idx="3">
                    <c:v>PGNP</c:v>
                  </c:pt>
                  <c:pt idx="4">
                    <c:v>PGSI</c:v>
                  </c:pt>
                  <c:pt idx="6">
                    <c:v>PGF1</c:v>
                  </c:pt>
                  <c:pt idx="7">
                    <c:v>PGKN</c:v>
                  </c:pt>
                  <c:pt idx="8">
                    <c:v>PGNC</c:v>
                  </c:pt>
                  <c:pt idx="9">
                    <c:v>PGNP</c:v>
                  </c:pt>
                  <c:pt idx="10">
                    <c:v>PGSI</c:v>
                  </c:pt>
                  <c:pt idx="11">
                    <c:v>PGZP</c:v>
                  </c:pt>
                  <c:pt idx="13">
                    <c:v>PGSI</c:v>
                  </c:pt>
                  <c:pt idx="14">
                    <c:v>PGST</c:v>
                  </c:pt>
                  <c:pt idx="16">
                    <c:v>PGEB</c:v>
                  </c:pt>
                  <c:pt idx="17">
                    <c:v>PGFG</c:v>
                  </c:pt>
                  <c:pt idx="18">
                    <c:v>PGNC</c:v>
                  </c:pt>
                  <c:pt idx="19">
                    <c:v>PGST</c:v>
                  </c:pt>
                  <c:pt idx="20">
                    <c:v>PGZP</c:v>
                  </c:pt>
                  <c:pt idx="22">
                    <c:v>PGNC</c:v>
                  </c:pt>
                  <c:pt idx="24">
                    <c:v>PGEB</c:v>
                  </c:pt>
                  <c:pt idx="25">
                    <c:v>PGF1</c:v>
                  </c:pt>
                  <c:pt idx="26">
                    <c:v>PGKN</c:v>
                  </c:pt>
                  <c:pt idx="27">
                    <c:v>PGST</c:v>
                  </c:pt>
                  <c:pt idx="28">
                    <c:v>PGZP</c:v>
                  </c:pt>
                  <c:pt idx="30">
                    <c:v>PGEB</c:v>
                  </c:pt>
                  <c:pt idx="31">
                    <c:v>PGF1</c:v>
                  </c:pt>
                  <c:pt idx="32">
                    <c:v>PGKN</c:v>
                  </c:pt>
                  <c:pt idx="33">
                    <c:v>PGSI</c:v>
                  </c:pt>
                  <c:pt idx="34">
                    <c:v>PGST</c:v>
                  </c:pt>
                  <c:pt idx="35">
                    <c:v>PGZP</c:v>
                  </c:pt>
                  <c:pt idx="37">
                    <c:v>PGF1</c:v>
                  </c:pt>
                  <c:pt idx="38">
                    <c:v>PGKN</c:v>
                  </c:pt>
                  <c:pt idx="39">
                    <c:v>PGZP</c:v>
                  </c:pt>
                  <c:pt idx="41">
                    <c:v>PGNC</c:v>
                  </c:pt>
                </c:lvl>
                <c:lvl>
                  <c:pt idx="0">
                    <c:v>23-Jul</c:v>
                  </c:pt>
                  <c:pt idx="5">
                    <c:v>24-Jul</c:v>
                  </c:pt>
                  <c:pt idx="12">
                    <c:v>25-Jul</c:v>
                  </c:pt>
                  <c:pt idx="15">
                    <c:v>26-Jul</c:v>
                  </c:pt>
                  <c:pt idx="21">
                    <c:v>27-Jul</c:v>
                  </c:pt>
                  <c:pt idx="23">
                    <c:v>8-Aug</c:v>
                  </c:pt>
                  <c:pt idx="29">
                    <c:v>9-Aug</c:v>
                  </c:pt>
                  <c:pt idx="36">
                    <c:v>10-Aug</c:v>
                  </c:pt>
                  <c:pt idx="40">
                    <c:v>26-Sep</c:v>
                  </c:pt>
                </c:lvl>
              </c:multiLvlStrCache>
            </c:multiLvlStrRef>
          </c:cat>
          <c:val>
            <c:numRef>
              <c:f>'data 3.2'!$Y$2:$Y$43</c:f>
              <c:numCache>
                <c:formatCode>0.0</c:formatCode>
                <c:ptCount val="42"/>
                <c:pt idx="1">
                  <c:v>0.31527650000000002</c:v>
                </c:pt>
                <c:pt idx="6">
                  <c:v>0.37280859999999999</c:v>
                </c:pt>
                <c:pt idx="25">
                  <c:v>0.34639999999999999</c:v>
                </c:pt>
                <c:pt idx="31">
                  <c:v>0.39340550000000002</c:v>
                </c:pt>
                <c:pt idx="37">
                  <c:v>0.28253400000000001</c:v>
                </c:pt>
              </c:numCache>
            </c:numRef>
          </c:val>
          <c:extLst>
            <c:ext xmlns:c16="http://schemas.microsoft.com/office/drawing/2014/chart" uri="{C3380CC4-5D6E-409C-BE32-E72D297353CC}">
              <c16:uniqueId val="{00000001-7AE5-40AE-B87A-3422D728AC80}"/>
            </c:ext>
          </c:extLst>
        </c:ser>
        <c:ser>
          <c:idx val="2"/>
          <c:order val="2"/>
          <c:tx>
            <c:strRef>
              <c:f>'data 3.2'!$Z$1</c:f>
              <c:strCache>
                <c:ptCount val="1"/>
                <c:pt idx="0">
                  <c:v>PGFG</c:v>
                </c:pt>
              </c:strCache>
            </c:strRef>
          </c:tx>
          <c:spPr>
            <a:solidFill>
              <a:srgbClr val="0C2577"/>
            </a:solidFill>
            <a:ln>
              <a:noFill/>
            </a:ln>
            <a:effectLst/>
          </c:spPr>
          <c:invertIfNegative val="0"/>
          <c:errBars>
            <c:errBarType val="both"/>
            <c:errValType val="cust"/>
            <c:noEndCap val="0"/>
            <c:pl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plus>
            <c:min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minus>
            <c:spPr>
              <a:noFill/>
              <a:ln w="25400" cap="flat" cmpd="sng" algn="ctr">
                <a:solidFill>
                  <a:srgbClr val="92D050"/>
                </a:solidFill>
                <a:round/>
              </a:ln>
              <a:effectLst/>
            </c:spPr>
          </c:errBars>
          <c:cat>
            <c:multiLvlStrRef>
              <c:f>'data 3.2'!$V$2:$W$43</c:f>
              <c:multiLvlStrCache>
                <c:ptCount val="42"/>
                <c:lvl>
                  <c:pt idx="1">
                    <c:v>PGF1</c:v>
                  </c:pt>
                  <c:pt idx="2">
                    <c:v>PGKN</c:v>
                  </c:pt>
                  <c:pt idx="3">
                    <c:v>PGNP</c:v>
                  </c:pt>
                  <c:pt idx="4">
                    <c:v>PGSI</c:v>
                  </c:pt>
                  <c:pt idx="6">
                    <c:v>PGF1</c:v>
                  </c:pt>
                  <c:pt idx="7">
                    <c:v>PGKN</c:v>
                  </c:pt>
                  <c:pt idx="8">
                    <c:v>PGNC</c:v>
                  </c:pt>
                  <c:pt idx="9">
                    <c:v>PGNP</c:v>
                  </c:pt>
                  <c:pt idx="10">
                    <c:v>PGSI</c:v>
                  </c:pt>
                  <c:pt idx="11">
                    <c:v>PGZP</c:v>
                  </c:pt>
                  <c:pt idx="13">
                    <c:v>PGSI</c:v>
                  </c:pt>
                  <c:pt idx="14">
                    <c:v>PGST</c:v>
                  </c:pt>
                  <c:pt idx="16">
                    <c:v>PGEB</c:v>
                  </c:pt>
                  <c:pt idx="17">
                    <c:v>PGFG</c:v>
                  </c:pt>
                  <c:pt idx="18">
                    <c:v>PGNC</c:v>
                  </c:pt>
                  <c:pt idx="19">
                    <c:v>PGST</c:v>
                  </c:pt>
                  <c:pt idx="20">
                    <c:v>PGZP</c:v>
                  </c:pt>
                  <c:pt idx="22">
                    <c:v>PGNC</c:v>
                  </c:pt>
                  <c:pt idx="24">
                    <c:v>PGEB</c:v>
                  </c:pt>
                  <c:pt idx="25">
                    <c:v>PGF1</c:v>
                  </c:pt>
                  <c:pt idx="26">
                    <c:v>PGKN</c:v>
                  </c:pt>
                  <c:pt idx="27">
                    <c:v>PGST</c:v>
                  </c:pt>
                  <c:pt idx="28">
                    <c:v>PGZP</c:v>
                  </c:pt>
                  <c:pt idx="30">
                    <c:v>PGEB</c:v>
                  </c:pt>
                  <c:pt idx="31">
                    <c:v>PGF1</c:v>
                  </c:pt>
                  <c:pt idx="32">
                    <c:v>PGKN</c:v>
                  </c:pt>
                  <c:pt idx="33">
                    <c:v>PGSI</c:v>
                  </c:pt>
                  <c:pt idx="34">
                    <c:v>PGST</c:v>
                  </c:pt>
                  <c:pt idx="35">
                    <c:v>PGZP</c:v>
                  </c:pt>
                  <c:pt idx="37">
                    <c:v>PGF1</c:v>
                  </c:pt>
                  <c:pt idx="38">
                    <c:v>PGKN</c:v>
                  </c:pt>
                  <c:pt idx="39">
                    <c:v>PGZP</c:v>
                  </c:pt>
                  <c:pt idx="41">
                    <c:v>PGNC</c:v>
                  </c:pt>
                </c:lvl>
                <c:lvl>
                  <c:pt idx="0">
                    <c:v>23-Jul</c:v>
                  </c:pt>
                  <c:pt idx="5">
                    <c:v>24-Jul</c:v>
                  </c:pt>
                  <c:pt idx="12">
                    <c:v>25-Jul</c:v>
                  </c:pt>
                  <c:pt idx="15">
                    <c:v>26-Jul</c:v>
                  </c:pt>
                  <c:pt idx="21">
                    <c:v>27-Jul</c:v>
                  </c:pt>
                  <c:pt idx="23">
                    <c:v>8-Aug</c:v>
                  </c:pt>
                  <c:pt idx="29">
                    <c:v>9-Aug</c:v>
                  </c:pt>
                  <c:pt idx="36">
                    <c:v>10-Aug</c:v>
                  </c:pt>
                  <c:pt idx="40">
                    <c:v>26-Sep</c:v>
                  </c:pt>
                </c:lvl>
              </c:multiLvlStrCache>
            </c:multiLvlStrRef>
          </c:cat>
          <c:val>
            <c:numRef>
              <c:f>'data 3.2'!$Z$2:$Z$43</c:f>
              <c:numCache>
                <c:formatCode>General</c:formatCode>
                <c:ptCount val="42"/>
                <c:pt idx="17" formatCode="0.0">
                  <c:v>0.1059346</c:v>
                </c:pt>
              </c:numCache>
            </c:numRef>
          </c:val>
          <c:extLst>
            <c:ext xmlns:c16="http://schemas.microsoft.com/office/drawing/2014/chart" uri="{C3380CC4-5D6E-409C-BE32-E72D297353CC}">
              <c16:uniqueId val="{00000002-7AE5-40AE-B87A-3422D728AC80}"/>
            </c:ext>
          </c:extLst>
        </c:ser>
        <c:ser>
          <c:idx val="3"/>
          <c:order val="3"/>
          <c:tx>
            <c:strRef>
              <c:f>'data 3.2'!$AA$1</c:f>
              <c:strCache>
                <c:ptCount val="1"/>
                <c:pt idx="0">
                  <c:v>PGKN</c:v>
                </c:pt>
              </c:strCache>
            </c:strRef>
          </c:tx>
          <c:spPr>
            <a:solidFill>
              <a:srgbClr val="FFC000"/>
            </a:solidFill>
            <a:ln>
              <a:noFill/>
            </a:ln>
            <a:effectLst/>
          </c:spPr>
          <c:invertIfNegative val="0"/>
          <c:errBars>
            <c:errBarType val="both"/>
            <c:errValType val="cust"/>
            <c:noEndCap val="0"/>
            <c:pl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plus>
            <c:min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minus>
            <c:spPr>
              <a:noFill/>
              <a:ln w="25400" cap="flat" cmpd="sng" algn="ctr">
                <a:solidFill>
                  <a:srgbClr val="92D050"/>
                </a:solidFill>
                <a:round/>
              </a:ln>
              <a:effectLst/>
            </c:spPr>
          </c:errBars>
          <c:cat>
            <c:multiLvlStrRef>
              <c:f>'data 3.2'!$V$2:$W$43</c:f>
              <c:multiLvlStrCache>
                <c:ptCount val="42"/>
                <c:lvl>
                  <c:pt idx="1">
                    <c:v>PGF1</c:v>
                  </c:pt>
                  <c:pt idx="2">
                    <c:v>PGKN</c:v>
                  </c:pt>
                  <c:pt idx="3">
                    <c:v>PGNP</c:v>
                  </c:pt>
                  <c:pt idx="4">
                    <c:v>PGSI</c:v>
                  </c:pt>
                  <c:pt idx="6">
                    <c:v>PGF1</c:v>
                  </c:pt>
                  <c:pt idx="7">
                    <c:v>PGKN</c:v>
                  </c:pt>
                  <c:pt idx="8">
                    <c:v>PGNC</c:v>
                  </c:pt>
                  <c:pt idx="9">
                    <c:v>PGNP</c:v>
                  </c:pt>
                  <c:pt idx="10">
                    <c:v>PGSI</c:v>
                  </c:pt>
                  <c:pt idx="11">
                    <c:v>PGZP</c:v>
                  </c:pt>
                  <c:pt idx="13">
                    <c:v>PGSI</c:v>
                  </c:pt>
                  <c:pt idx="14">
                    <c:v>PGST</c:v>
                  </c:pt>
                  <c:pt idx="16">
                    <c:v>PGEB</c:v>
                  </c:pt>
                  <c:pt idx="17">
                    <c:v>PGFG</c:v>
                  </c:pt>
                  <c:pt idx="18">
                    <c:v>PGNC</c:v>
                  </c:pt>
                  <c:pt idx="19">
                    <c:v>PGST</c:v>
                  </c:pt>
                  <c:pt idx="20">
                    <c:v>PGZP</c:v>
                  </c:pt>
                  <c:pt idx="22">
                    <c:v>PGNC</c:v>
                  </c:pt>
                  <c:pt idx="24">
                    <c:v>PGEB</c:v>
                  </c:pt>
                  <c:pt idx="25">
                    <c:v>PGF1</c:v>
                  </c:pt>
                  <c:pt idx="26">
                    <c:v>PGKN</c:v>
                  </c:pt>
                  <c:pt idx="27">
                    <c:v>PGST</c:v>
                  </c:pt>
                  <c:pt idx="28">
                    <c:v>PGZP</c:v>
                  </c:pt>
                  <c:pt idx="30">
                    <c:v>PGEB</c:v>
                  </c:pt>
                  <c:pt idx="31">
                    <c:v>PGF1</c:v>
                  </c:pt>
                  <c:pt idx="32">
                    <c:v>PGKN</c:v>
                  </c:pt>
                  <c:pt idx="33">
                    <c:v>PGSI</c:v>
                  </c:pt>
                  <c:pt idx="34">
                    <c:v>PGST</c:v>
                  </c:pt>
                  <c:pt idx="35">
                    <c:v>PGZP</c:v>
                  </c:pt>
                  <c:pt idx="37">
                    <c:v>PGF1</c:v>
                  </c:pt>
                  <c:pt idx="38">
                    <c:v>PGKN</c:v>
                  </c:pt>
                  <c:pt idx="39">
                    <c:v>PGZP</c:v>
                  </c:pt>
                  <c:pt idx="41">
                    <c:v>PGNC</c:v>
                  </c:pt>
                </c:lvl>
                <c:lvl>
                  <c:pt idx="0">
                    <c:v>23-Jul</c:v>
                  </c:pt>
                  <c:pt idx="5">
                    <c:v>24-Jul</c:v>
                  </c:pt>
                  <c:pt idx="12">
                    <c:v>25-Jul</c:v>
                  </c:pt>
                  <c:pt idx="15">
                    <c:v>26-Jul</c:v>
                  </c:pt>
                  <c:pt idx="21">
                    <c:v>27-Jul</c:v>
                  </c:pt>
                  <c:pt idx="23">
                    <c:v>8-Aug</c:v>
                  </c:pt>
                  <c:pt idx="29">
                    <c:v>9-Aug</c:v>
                  </c:pt>
                  <c:pt idx="36">
                    <c:v>10-Aug</c:v>
                  </c:pt>
                  <c:pt idx="40">
                    <c:v>26-Sep</c:v>
                  </c:pt>
                </c:lvl>
              </c:multiLvlStrCache>
            </c:multiLvlStrRef>
          </c:cat>
          <c:val>
            <c:numRef>
              <c:f>'data 3.2'!$AA$2:$AA$43</c:f>
              <c:numCache>
                <c:formatCode>General</c:formatCode>
                <c:ptCount val="42"/>
                <c:pt idx="2" formatCode="0.0">
                  <c:v>0.17335780000000001</c:v>
                </c:pt>
                <c:pt idx="7" formatCode="0.0">
                  <c:v>3.9637400000000003E-2</c:v>
                </c:pt>
                <c:pt idx="26" formatCode="0.0">
                  <c:v>1.9004099999999999E-2</c:v>
                </c:pt>
                <c:pt idx="32" formatCode="0.0">
                  <c:v>4.2291200000000001E-2</c:v>
                </c:pt>
                <c:pt idx="38" formatCode="0.0">
                  <c:v>4.52346E-2</c:v>
                </c:pt>
              </c:numCache>
            </c:numRef>
          </c:val>
          <c:extLst>
            <c:ext xmlns:c16="http://schemas.microsoft.com/office/drawing/2014/chart" uri="{C3380CC4-5D6E-409C-BE32-E72D297353CC}">
              <c16:uniqueId val="{00000003-7AE5-40AE-B87A-3422D728AC80}"/>
            </c:ext>
          </c:extLst>
        </c:ser>
        <c:ser>
          <c:idx val="4"/>
          <c:order val="4"/>
          <c:tx>
            <c:strRef>
              <c:f>'data 3.2'!$AB$1</c:f>
              <c:strCache>
                <c:ptCount val="1"/>
                <c:pt idx="0">
                  <c:v>PGNC</c:v>
                </c:pt>
              </c:strCache>
            </c:strRef>
          </c:tx>
          <c:spPr>
            <a:solidFill>
              <a:srgbClr val="0C2577"/>
            </a:solidFill>
            <a:ln>
              <a:noFill/>
            </a:ln>
            <a:effectLst/>
          </c:spPr>
          <c:invertIfNegative val="0"/>
          <c:errBars>
            <c:errBarType val="both"/>
            <c:errValType val="cust"/>
            <c:noEndCap val="0"/>
            <c:pl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plus>
            <c:min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minus>
            <c:spPr>
              <a:noFill/>
              <a:ln w="25400" cap="flat" cmpd="sng" algn="ctr">
                <a:solidFill>
                  <a:srgbClr val="92D050"/>
                </a:solidFill>
                <a:round/>
              </a:ln>
              <a:effectLst/>
            </c:spPr>
          </c:errBars>
          <c:cat>
            <c:multiLvlStrRef>
              <c:f>'data 3.2'!$V$2:$W$43</c:f>
              <c:multiLvlStrCache>
                <c:ptCount val="42"/>
                <c:lvl>
                  <c:pt idx="1">
                    <c:v>PGF1</c:v>
                  </c:pt>
                  <c:pt idx="2">
                    <c:v>PGKN</c:v>
                  </c:pt>
                  <c:pt idx="3">
                    <c:v>PGNP</c:v>
                  </c:pt>
                  <c:pt idx="4">
                    <c:v>PGSI</c:v>
                  </c:pt>
                  <c:pt idx="6">
                    <c:v>PGF1</c:v>
                  </c:pt>
                  <c:pt idx="7">
                    <c:v>PGKN</c:v>
                  </c:pt>
                  <c:pt idx="8">
                    <c:v>PGNC</c:v>
                  </c:pt>
                  <c:pt idx="9">
                    <c:v>PGNP</c:v>
                  </c:pt>
                  <c:pt idx="10">
                    <c:v>PGSI</c:v>
                  </c:pt>
                  <c:pt idx="11">
                    <c:v>PGZP</c:v>
                  </c:pt>
                  <c:pt idx="13">
                    <c:v>PGSI</c:v>
                  </c:pt>
                  <c:pt idx="14">
                    <c:v>PGST</c:v>
                  </c:pt>
                  <c:pt idx="16">
                    <c:v>PGEB</c:v>
                  </c:pt>
                  <c:pt idx="17">
                    <c:v>PGFG</c:v>
                  </c:pt>
                  <c:pt idx="18">
                    <c:v>PGNC</c:v>
                  </c:pt>
                  <c:pt idx="19">
                    <c:v>PGST</c:v>
                  </c:pt>
                  <c:pt idx="20">
                    <c:v>PGZP</c:v>
                  </c:pt>
                  <c:pt idx="22">
                    <c:v>PGNC</c:v>
                  </c:pt>
                  <c:pt idx="24">
                    <c:v>PGEB</c:v>
                  </c:pt>
                  <c:pt idx="25">
                    <c:v>PGF1</c:v>
                  </c:pt>
                  <c:pt idx="26">
                    <c:v>PGKN</c:v>
                  </c:pt>
                  <c:pt idx="27">
                    <c:v>PGST</c:v>
                  </c:pt>
                  <c:pt idx="28">
                    <c:v>PGZP</c:v>
                  </c:pt>
                  <c:pt idx="30">
                    <c:v>PGEB</c:v>
                  </c:pt>
                  <c:pt idx="31">
                    <c:v>PGF1</c:v>
                  </c:pt>
                  <c:pt idx="32">
                    <c:v>PGKN</c:v>
                  </c:pt>
                  <c:pt idx="33">
                    <c:v>PGSI</c:v>
                  </c:pt>
                  <c:pt idx="34">
                    <c:v>PGST</c:v>
                  </c:pt>
                  <c:pt idx="35">
                    <c:v>PGZP</c:v>
                  </c:pt>
                  <c:pt idx="37">
                    <c:v>PGF1</c:v>
                  </c:pt>
                  <c:pt idx="38">
                    <c:v>PGKN</c:v>
                  </c:pt>
                  <c:pt idx="39">
                    <c:v>PGZP</c:v>
                  </c:pt>
                  <c:pt idx="41">
                    <c:v>PGNC</c:v>
                  </c:pt>
                </c:lvl>
                <c:lvl>
                  <c:pt idx="0">
                    <c:v>23-Jul</c:v>
                  </c:pt>
                  <c:pt idx="5">
                    <c:v>24-Jul</c:v>
                  </c:pt>
                  <c:pt idx="12">
                    <c:v>25-Jul</c:v>
                  </c:pt>
                  <c:pt idx="15">
                    <c:v>26-Jul</c:v>
                  </c:pt>
                  <c:pt idx="21">
                    <c:v>27-Jul</c:v>
                  </c:pt>
                  <c:pt idx="23">
                    <c:v>8-Aug</c:v>
                  </c:pt>
                  <c:pt idx="29">
                    <c:v>9-Aug</c:v>
                  </c:pt>
                  <c:pt idx="36">
                    <c:v>10-Aug</c:v>
                  </c:pt>
                  <c:pt idx="40">
                    <c:v>26-Sep</c:v>
                  </c:pt>
                </c:lvl>
              </c:multiLvlStrCache>
            </c:multiLvlStrRef>
          </c:cat>
          <c:val>
            <c:numRef>
              <c:f>'data 3.2'!$AB$2:$AB$43</c:f>
              <c:numCache>
                <c:formatCode>General</c:formatCode>
                <c:ptCount val="42"/>
                <c:pt idx="8" formatCode="0.0">
                  <c:v>0.28331050000000002</c:v>
                </c:pt>
                <c:pt idx="18" formatCode="0.0">
                  <c:v>0.23845060000000001</c:v>
                </c:pt>
                <c:pt idx="22" formatCode="0.0">
                  <c:v>5.4475999999999997E-2</c:v>
                </c:pt>
                <c:pt idx="41" formatCode="0.0">
                  <c:v>0.11484750000000001</c:v>
                </c:pt>
              </c:numCache>
            </c:numRef>
          </c:val>
          <c:extLst>
            <c:ext xmlns:c16="http://schemas.microsoft.com/office/drawing/2014/chart" uri="{C3380CC4-5D6E-409C-BE32-E72D297353CC}">
              <c16:uniqueId val="{00000004-7AE5-40AE-B87A-3422D728AC80}"/>
            </c:ext>
          </c:extLst>
        </c:ser>
        <c:ser>
          <c:idx val="5"/>
          <c:order val="5"/>
          <c:tx>
            <c:strRef>
              <c:f>'data 3.2'!$AC$1</c:f>
              <c:strCache>
                <c:ptCount val="1"/>
                <c:pt idx="0">
                  <c:v>PGNP</c:v>
                </c:pt>
              </c:strCache>
            </c:strRef>
          </c:tx>
          <c:spPr>
            <a:solidFill>
              <a:schemeClr val="bg1">
                <a:lumMod val="50000"/>
              </a:schemeClr>
            </a:solidFill>
            <a:ln>
              <a:noFill/>
            </a:ln>
            <a:effectLst/>
          </c:spPr>
          <c:invertIfNegative val="0"/>
          <c:dPt>
            <c:idx val="3"/>
            <c:invertIfNegative val="0"/>
            <c:bubble3D val="0"/>
            <c:spPr>
              <a:solidFill>
                <a:srgbClr val="0C2577"/>
              </a:solidFill>
              <a:ln>
                <a:noFill/>
              </a:ln>
              <a:effectLst/>
            </c:spPr>
            <c:extLst>
              <c:ext xmlns:c16="http://schemas.microsoft.com/office/drawing/2014/chart" uri="{C3380CC4-5D6E-409C-BE32-E72D297353CC}">
                <c16:uniqueId val="{00000006-7AE5-40AE-B87A-3422D728AC80}"/>
              </c:ext>
            </c:extLst>
          </c:dPt>
          <c:dPt>
            <c:idx val="9"/>
            <c:invertIfNegative val="0"/>
            <c:bubble3D val="0"/>
            <c:spPr>
              <a:solidFill>
                <a:srgbClr val="0C2577"/>
              </a:solidFill>
              <a:ln>
                <a:noFill/>
              </a:ln>
              <a:effectLst/>
            </c:spPr>
            <c:extLst>
              <c:ext xmlns:c16="http://schemas.microsoft.com/office/drawing/2014/chart" uri="{C3380CC4-5D6E-409C-BE32-E72D297353CC}">
                <c16:uniqueId val="{00000008-7AE5-40AE-B87A-3422D728AC80}"/>
              </c:ext>
            </c:extLst>
          </c:dPt>
          <c:errBars>
            <c:errBarType val="both"/>
            <c:errValType val="cust"/>
            <c:noEndCap val="0"/>
            <c:pl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plus>
            <c:min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minus>
            <c:spPr>
              <a:noFill/>
              <a:ln w="25400" cap="flat" cmpd="sng" algn="ctr">
                <a:solidFill>
                  <a:srgbClr val="92D050"/>
                </a:solidFill>
                <a:round/>
              </a:ln>
              <a:effectLst/>
            </c:spPr>
          </c:errBars>
          <c:cat>
            <c:multiLvlStrRef>
              <c:f>'data 3.2'!$V$2:$W$43</c:f>
              <c:multiLvlStrCache>
                <c:ptCount val="42"/>
                <c:lvl>
                  <c:pt idx="1">
                    <c:v>PGF1</c:v>
                  </c:pt>
                  <c:pt idx="2">
                    <c:v>PGKN</c:v>
                  </c:pt>
                  <c:pt idx="3">
                    <c:v>PGNP</c:v>
                  </c:pt>
                  <c:pt idx="4">
                    <c:v>PGSI</c:v>
                  </c:pt>
                  <c:pt idx="6">
                    <c:v>PGF1</c:v>
                  </c:pt>
                  <c:pt idx="7">
                    <c:v>PGKN</c:v>
                  </c:pt>
                  <c:pt idx="8">
                    <c:v>PGNC</c:v>
                  </c:pt>
                  <c:pt idx="9">
                    <c:v>PGNP</c:v>
                  </c:pt>
                  <c:pt idx="10">
                    <c:v>PGSI</c:v>
                  </c:pt>
                  <c:pt idx="11">
                    <c:v>PGZP</c:v>
                  </c:pt>
                  <c:pt idx="13">
                    <c:v>PGSI</c:v>
                  </c:pt>
                  <c:pt idx="14">
                    <c:v>PGST</c:v>
                  </c:pt>
                  <c:pt idx="16">
                    <c:v>PGEB</c:v>
                  </c:pt>
                  <c:pt idx="17">
                    <c:v>PGFG</c:v>
                  </c:pt>
                  <c:pt idx="18">
                    <c:v>PGNC</c:v>
                  </c:pt>
                  <c:pt idx="19">
                    <c:v>PGST</c:v>
                  </c:pt>
                  <c:pt idx="20">
                    <c:v>PGZP</c:v>
                  </c:pt>
                  <c:pt idx="22">
                    <c:v>PGNC</c:v>
                  </c:pt>
                  <c:pt idx="24">
                    <c:v>PGEB</c:v>
                  </c:pt>
                  <c:pt idx="25">
                    <c:v>PGF1</c:v>
                  </c:pt>
                  <c:pt idx="26">
                    <c:v>PGKN</c:v>
                  </c:pt>
                  <c:pt idx="27">
                    <c:v>PGST</c:v>
                  </c:pt>
                  <c:pt idx="28">
                    <c:v>PGZP</c:v>
                  </c:pt>
                  <c:pt idx="30">
                    <c:v>PGEB</c:v>
                  </c:pt>
                  <c:pt idx="31">
                    <c:v>PGF1</c:v>
                  </c:pt>
                  <c:pt idx="32">
                    <c:v>PGKN</c:v>
                  </c:pt>
                  <c:pt idx="33">
                    <c:v>PGSI</c:v>
                  </c:pt>
                  <c:pt idx="34">
                    <c:v>PGST</c:v>
                  </c:pt>
                  <c:pt idx="35">
                    <c:v>PGZP</c:v>
                  </c:pt>
                  <c:pt idx="37">
                    <c:v>PGF1</c:v>
                  </c:pt>
                  <c:pt idx="38">
                    <c:v>PGKN</c:v>
                  </c:pt>
                  <c:pt idx="39">
                    <c:v>PGZP</c:v>
                  </c:pt>
                  <c:pt idx="41">
                    <c:v>PGNC</c:v>
                  </c:pt>
                </c:lvl>
                <c:lvl>
                  <c:pt idx="0">
                    <c:v>23-Jul</c:v>
                  </c:pt>
                  <c:pt idx="5">
                    <c:v>24-Jul</c:v>
                  </c:pt>
                  <c:pt idx="12">
                    <c:v>25-Jul</c:v>
                  </c:pt>
                  <c:pt idx="15">
                    <c:v>26-Jul</c:v>
                  </c:pt>
                  <c:pt idx="21">
                    <c:v>27-Jul</c:v>
                  </c:pt>
                  <c:pt idx="23">
                    <c:v>8-Aug</c:v>
                  </c:pt>
                  <c:pt idx="29">
                    <c:v>9-Aug</c:v>
                  </c:pt>
                  <c:pt idx="36">
                    <c:v>10-Aug</c:v>
                  </c:pt>
                  <c:pt idx="40">
                    <c:v>26-Sep</c:v>
                  </c:pt>
                </c:lvl>
              </c:multiLvlStrCache>
            </c:multiLvlStrRef>
          </c:cat>
          <c:val>
            <c:numRef>
              <c:f>'data 3.2'!$AC$2:$AC$43</c:f>
              <c:numCache>
                <c:formatCode>General</c:formatCode>
                <c:ptCount val="42"/>
                <c:pt idx="3" formatCode="0.0">
                  <c:v>0.19828519999999999</c:v>
                </c:pt>
                <c:pt idx="9" formatCode="0.0">
                  <c:v>0.21321809999999999</c:v>
                </c:pt>
              </c:numCache>
            </c:numRef>
          </c:val>
          <c:extLst>
            <c:ext xmlns:c16="http://schemas.microsoft.com/office/drawing/2014/chart" uri="{C3380CC4-5D6E-409C-BE32-E72D297353CC}">
              <c16:uniqueId val="{00000009-7AE5-40AE-B87A-3422D728AC80}"/>
            </c:ext>
          </c:extLst>
        </c:ser>
        <c:ser>
          <c:idx val="6"/>
          <c:order val="6"/>
          <c:tx>
            <c:strRef>
              <c:f>'data 3.2'!$AD$1</c:f>
              <c:strCache>
                <c:ptCount val="1"/>
                <c:pt idx="0">
                  <c:v>PGSI</c:v>
                </c:pt>
              </c:strCache>
            </c:strRef>
          </c:tx>
          <c:spPr>
            <a:solidFill>
              <a:srgbClr val="0C2577"/>
            </a:solidFill>
            <a:ln>
              <a:noFill/>
            </a:ln>
            <a:effectLst/>
          </c:spPr>
          <c:invertIfNegative val="0"/>
          <c:errBars>
            <c:errBarType val="both"/>
            <c:errValType val="cust"/>
            <c:noEndCap val="0"/>
            <c:pl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plus>
            <c:min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minus>
            <c:spPr>
              <a:noFill/>
              <a:ln w="25400" cap="flat" cmpd="sng" algn="ctr">
                <a:solidFill>
                  <a:srgbClr val="92D050"/>
                </a:solidFill>
                <a:round/>
              </a:ln>
              <a:effectLst/>
            </c:spPr>
          </c:errBars>
          <c:cat>
            <c:multiLvlStrRef>
              <c:f>'data 3.2'!$V$2:$W$43</c:f>
              <c:multiLvlStrCache>
                <c:ptCount val="42"/>
                <c:lvl>
                  <c:pt idx="1">
                    <c:v>PGF1</c:v>
                  </c:pt>
                  <c:pt idx="2">
                    <c:v>PGKN</c:v>
                  </c:pt>
                  <c:pt idx="3">
                    <c:v>PGNP</c:v>
                  </c:pt>
                  <c:pt idx="4">
                    <c:v>PGSI</c:v>
                  </c:pt>
                  <c:pt idx="6">
                    <c:v>PGF1</c:v>
                  </c:pt>
                  <c:pt idx="7">
                    <c:v>PGKN</c:v>
                  </c:pt>
                  <c:pt idx="8">
                    <c:v>PGNC</c:v>
                  </c:pt>
                  <c:pt idx="9">
                    <c:v>PGNP</c:v>
                  </c:pt>
                  <c:pt idx="10">
                    <c:v>PGSI</c:v>
                  </c:pt>
                  <c:pt idx="11">
                    <c:v>PGZP</c:v>
                  </c:pt>
                  <c:pt idx="13">
                    <c:v>PGSI</c:v>
                  </c:pt>
                  <c:pt idx="14">
                    <c:v>PGST</c:v>
                  </c:pt>
                  <c:pt idx="16">
                    <c:v>PGEB</c:v>
                  </c:pt>
                  <c:pt idx="17">
                    <c:v>PGFG</c:v>
                  </c:pt>
                  <c:pt idx="18">
                    <c:v>PGNC</c:v>
                  </c:pt>
                  <c:pt idx="19">
                    <c:v>PGST</c:v>
                  </c:pt>
                  <c:pt idx="20">
                    <c:v>PGZP</c:v>
                  </c:pt>
                  <c:pt idx="22">
                    <c:v>PGNC</c:v>
                  </c:pt>
                  <c:pt idx="24">
                    <c:v>PGEB</c:v>
                  </c:pt>
                  <c:pt idx="25">
                    <c:v>PGF1</c:v>
                  </c:pt>
                  <c:pt idx="26">
                    <c:v>PGKN</c:v>
                  </c:pt>
                  <c:pt idx="27">
                    <c:v>PGST</c:v>
                  </c:pt>
                  <c:pt idx="28">
                    <c:v>PGZP</c:v>
                  </c:pt>
                  <c:pt idx="30">
                    <c:v>PGEB</c:v>
                  </c:pt>
                  <c:pt idx="31">
                    <c:v>PGF1</c:v>
                  </c:pt>
                  <c:pt idx="32">
                    <c:v>PGKN</c:v>
                  </c:pt>
                  <c:pt idx="33">
                    <c:v>PGSI</c:v>
                  </c:pt>
                  <c:pt idx="34">
                    <c:v>PGST</c:v>
                  </c:pt>
                  <c:pt idx="35">
                    <c:v>PGZP</c:v>
                  </c:pt>
                  <c:pt idx="37">
                    <c:v>PGF1</c:v>
                  </c:pt>
                  <c:pt idx="38">
                    <c:v>PGKN</c:v>
                  </c:pt>
                  <c:pt idx="39">
                    <c:v>PGZP</c:v>
                  </c:pt>
                  <c:pt idx="41">
                    <c:v>PGNC</c:v>
                  </c:pt>
                </c:lvl>
                <c:lvl>
                  <c:pt idx="0">
                    <c:v>23-Jul</c:v>
                  </c:pt>
                  <c:pt idx="5">
                    <c:v>24-Jul</c:v>
                  </c:pt>
                  <c:pt idx="12">
                    <c:v>25-Jul</c:v>
                  </c:pt>
                  <c:pt idx="15">
                    <c:v>26-Jul</c:v>
                  </c:pt>
                  <c:pt idx="21">
                    <c:v>27-Jul</c:v>
                  </c:pt>
                  <c:pt idx="23">
                    <c:v>8-Aug</c:v>
                  </c:pt>
                  <c:pt idx="29">
                    <c:v>9-Aug</c:v>
                  </c:pt>
                  <c:pt idx="36">
                    <c:v>10-Aug</c:v>
                  </c:pt>
                  <c:pt idx="40">
                    <c:v>26-Sep</c:v>
                  </c:pt>
                </c:lvl>
              </c:multiLvlStrCache>
            </c:multiLvlStrRef>
          </c:cat>
          <c:val>
            <c:numRef>
              <c:f>'data 3.2'!$AD$2:$AD$43</c:f>
              <c:numCache>
                <c:formatCode>General</c:formatCode>
                <c:ptCount val="42"/>
                <c:pt idx="4" formatCode="0.0">
                  <c:v>0.34430430000000001</c:v>
                </c:pt>
                <c:pt idx="10" formatCode="0.0">
                  <c:v>0.36915829999999999</c:v>
                </c:pt>
                <c:pt idx="13" formatCode="0.0">
                  <c:v>0.39825139999999998</c:v>
                </c:pt>
                <c:pt idx="33" formatCode="0.0">
                  <c:v>0.36680990000000002</c:v>
                </c:pt>
              </c:numCache>
            </c:numRef>
          </c:val>
          <c:extLst>
            <c:ext xmlns:c16="http://schemas.microsoft.com/office/drawing/2014/chart" uri="{C3380CC4-5D6E-409C-BE32-E72D297353CC}">
              <c16:uniqueId val="{0000000A-7AE5-40AE-B87A-3422D728AC80}"/>
            </c:ext>
          </c:extLst>
        </c:ser>
        <c:ser>
          <c:idx val="7"/>
          <c:order val="7"/>
          <c:tx>
            <c:strRef>
              <c:f>'data 3.2'!$AE$1</c:f>
              <c:strCache>
                <c:ptCount val="1"/>
                <c:pt idx="0">
                  <c:v>PGST</c:v>
                </c:pt>
              </c:strCache>
            </c:strRef>
          </c:tx>
          <c:spPr>
            <a:solidFill>
              <a:srgbClr val="0C2577"/>
            </a:solidFill>
            <a:ln>
              <a:noFill/>
            </a:ln>
            <a:effectLst/>
          </c:spPr>
          <c:invertIfNegative val="0"/>
          <c:errBars>
            <c:errBarType val="both"/>
            <c:errValType val="cust"/>
            <c:noEndCap val="0"/>
            <c:pl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plus>
            <c:min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minus>
            <c:spPr>
              <a:noFill/>
              <a:ln w="25400" cap="flat" cmpd="sng" algn="ctr">
                <a:solidFill>
                  <a:srgbClr val="92D050"/>
                </a:solidFill>
                <a:round/>
              </a:ln>
              <a:effectLst/>
            </c:spPr>
          </c:errBars>
          <c:cat>
            <c:multiLvlStrRef>
              <c:f>'data 3.2'!$V$2:$W$43</c:f>
              <c:multiLvlStrCache>
                <c:ptCount val="42"/>
                <c:lvl>
                  <c:pt idx="1">
                    <c:v>PGF1</c:v>
                  </c:pt>
                  <c:pt idx="2">
                    <c:v>PGKN</c:v>
                  </c:pt>
                  <c:pt idx="3">
                    <c:v>PGNP</c:v>
                  </c:pt>
                  <c:pt idx="4">
                    <c:v>PGSI</c:v>
                  </c:pt>
                  <c:pt idx="6">
                    <c:v>PGF1</c:v>
                  </c:pt>
                  <c:pt idx="7">
                    <c:v>PGKN</c:v>
                  </c:pt>
                  <c:pt idx="8">
                    <c:v>PGNC</c:v>
                  </c:pt>
                  <c:pt idx="9">
                    <c:v>PGNP</c:v>
                  </c:pt>
                  <c:pt idx="10">
                    <c:v>PGSI</c:v>
                  </c:pt>
                  <c:pt idx="11">
                    <c:v>PGZP</c:v>
                  </c:pt>
                  <c:pt idx="13">
                    <c:v>PGSI</c:v>
                  </c:pt>
                  <c:pt idx="14">
                    <c:v>PGST</c:v>
                  </c:pt>
                  <c:pt idx="16">
                    <c:v>PGEB</c:v>
                  </c:pt>
                  <c:pt idx="17">
                    <c:v>PGFG</c:v>
                  </c:pt>
                  <c:pt idx="18">
                    <c:v>PGNC</c:v>
                  </c:pt>
                  <c:pt idx="19">
                    <c:v>PGST</c:v>
                  </c:pt>
                  <c:pt idx="20">
                    <c:v>PGZP</c:v>
                  </c:pt>
                  <c:pt idx="22">
                    <c:v>PGNC</c:v>
                  </c:pt>
                  <c:pt idx="24">
                    <c:v>PGEB</c:v>
                  </c:pt>
                  <c:pt idx="25">
                    <c:v>PGF1</c:v>
                  </c:pt>
                  <c:pt idx="26">
                    <c:v>PGKN</c:v>
                  </c:pt>
                  <c:pt idx="27">
                    <c:v>PGST</c:v>
                  </c:pt>
                  <c:pt idx="28">
                    <c:v>PGZP</c:v>
                  </c:pt>
                  <c:pt idx="30">
                    <c:v>PGEB</c:v>
                  </c:pt>
                  <c:pt idx="31">
                    <c:v>PGF1</c:v>
                  </c:pt>
                  <c:pt idx="32">
                    <c:v>PGKN</c:v>
                  </c:pt>
                  <c:pt idx="33">
                    <c:v>PGSI</c:v>
                  </c:pt>
                  <c:pt idx="34">
                    <c:v>PGST</c:v>
                  </c:pt>
                  <c:pt idx="35">
                    <c:v>PGZP</c:v>
                  </c:pt>
                  <c:pt idx="37">
                    <c:v>PGF1</c:v>
                  </c:pt>
                  <c:pt idx="38">
                    <c:v>PGKN</c:v>
                  </c:pt>
                  <c:pt idx="39">
                    <c:v>PGZP</c:v>
                  </c:pt>
                  <c:pt idx="41">
                    <c:v>PGNC</c:v>
                  </c:pt>
                </c:lvl>
                <c:lvl>
                  <c:pt idx="0">
                    <c:v>23-Jul</c:v>
                  </c:pt>
                  <c:pt idx="5">
                    <c:v>24-Jul</c:v>
                  </c:pt>
                  <c:pt idx="12">
                    <c:v>25-Jul</c:v>
                  </c:pt>
                  <c:pt idx="15">
                    <c:v>26-Jul</c:v>
                  </c:pt>
                  <c:pt idx="21">
                    <c:v>27-Jul</c:v>
                  </c:pt>
                  <c:pt idx="23">
                    <c:v>8-Aug</c:v>
                  </c:pt>
                  <c:pt idx="29">
                    <c:v>9-Aug</c:v>
                  </c:pt>
                  <c:pt idx="36">
                    <c:v>10-Aug</c:v>
                  </c:pt>
                  <c:pt idx="40">
                    <c:v>26-Sep</c:v>
                  </c:pt>
                </c:lvl>
              </c:multiLvlStrCache>
            </c:multiLvlStrRef>
          </c:cat>
          <c:val>
            <c:numRef>
              <c:f>'data 3.2'!$AE$2:$AE$43</c:f>
              <c:numCache>
                <c:formatCode>General</c:formatCode>
                <c:ptCount val="42"/>
                <c:pt idx="14" formatCode="0.0">
                  <c:v>0.462032</c:v>
                </c:pt>
                <c:pt idx="19" formatCode="0.0">
                  <c:v>0.4562407</c:v>
                </c:pt>
                <c:pt idx="27" formatCode="0.0">
                  <c:v>0.30677520000000003</c:v>
                </c:pt>
                <c:pt idx="34" formatCode="0.0">
                  <c:v>0.4247165</c:v>
                </c:pt>
              </c:numCache>
            </c:numRef>
          </c:val>
          <c:extLst>
            <c:ext xmlns:c16="http://schemas.microsoft.com/office/drawing/2014/chart" uri="{C3380CC4-5D6E-409C-BE32-E72D297353CC}">
              <c16:uniqueId val="{0000000B-7AE5-40AE-B87A-3422D728AC80}"/>
            </c:ext>
          </c:extLst>
        </c:ser>
        <c:ser>
          <c:idx val="8"/>
          <c:order val="8"/>
          <c:tx>
            <c:strRef>
              <c:f>'data 3.2'!$AF$1</c:f>
              <c:strCache>
                <c:ptCount val="1"/>
                <c:pt idx="0">
                  <c:v>PGZP</c:v>
                </c:pt>
              </c:strCache>
            </c:strRef>
          </c:tx>
          <c:spPr>
            <a:solidFill>
              <a:srgbClr val="0C2577"/>
            </a:solidFill>
            <a:ln>
              <a:noFill/>
            </a:ln>
            <a:effectLst/>
          </c:spPr>
          <c:invertIfNegative val="0"/>
          <c:errBars>
            <c:errBarType val="both"/>
            <c:errValType val="cust"/>
            <c:noEndCap val="0"/>
            <c:pl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plus>
            <c:minus>
              <c:numRef>
                <c:f>'data 3.2'!$AH$2:$AH$43</c:f>
                <c:numCache>
                  <c:formatCode>General</c:formatCode>
                  <c:ptCount val="42"/>
                  <c:pt idx="1">
                    <c:v>7.5165562422321915E-3</c:v>
                  </c:pt>
                  <c:pt idx="2">
                    <c:v>1.204325268204883E-2</c:v>
                  </c:pt>
                  <c:pt idx="3">
                    <c:v>8.3399531230945977E-3</c:v>
                  </c:pt>
                  <c:pt idx="4">
                    <c:v>8.0463496594283292E-3</c:v>
                  </c:pt>
                  <c:pt idx="6">
                    <c:v>7.6317677279746504E-3</c:v>
                  </c:pt>
                  <c:pt idx="7">
                    <c:v>1.2058759455991918E-2</c:v>
                  </c:pt>
                  <c:pt idx="8">
                    <c:v>4.1217517761358555E-2</c:v>
                  </c:pt>
                  <c:pt idx="9">
                    <c:v>8.3950598404130151E-3</c:v>
                  </c:pt>
                  <c:pt idx="10">
                    <c:v>8.3136813160009336E-3</c:v>
                  </c:pt>
                  <c:pt idx="11">
                    <c:v>2.2099331506564204E-2</c:v>
                  </c:pt>
                  <c:pt idx="13">
                    <c:v>1.7581221462236712E-2</c:v>
                  </c:pt>
                  <c:pt idx="14">
                    <c:v>1.5536249629097193E-2</c:v>
                  </c:pt>
                  <c:pt idx="16">
                    <c:v>8.6170245715653394E-3</c:v>
                  </c:pt>
                  <c:pt idx="17">
                    <c:v>2.2165459567346304E-2</c:v>
                  </c:pt>
                  <c:pt idx="18">
                    <c:v>5.0498770509345661E-2</c:v>
                  </c:pt>
                  <c:pt idx="19">
                    <c:v>1.5637364047618663E-2</c:v>
                  </c:pt>
                  <c:pt idx="20">
                    <c:v>2.6952054664655386E-2</c:v>
                  </c:pt>
                  <c:pt idx="22">
                    <c:v>2.8416996259229419E-2</c:v>
                  </c:pt>
                  <c:pt idx="24">
                    <c:v>7.547441634961816E-3</c:v>
                  </c:pt>
                  <c:pt idx="25">
                    <c:v>8.7717078455265742E-3</c:v>
                  </c:pt>
                  <c:pt idx="26">
                    <c:v>1.4126030286371915E-2</c:v>
                  </c:pt>
                  <c:pt idx="27">
                    <c:v>1.346590307495989E-2</c:v>
                  </c:pt>
                  <c:pt idx="28">
                    <c:v>2.2397164090396764E-2</c:v>
                  </c:pt>
                  <c:pt idx="30">
                    <c:v>8.683537097817105E-3</c:v>
                  </c:pt>
                  <c:pt idx="31">
                    <c:v>8.9527910817380242E-3</c:v>
                  </c:pt>
                  <c:pt idx="32">
                    <c:v>1.4241241772114376E-2</c:v>
                  </c:pt>
                  <c:pt idx="33">
                    <c:v>9.1468179887614787E-3</c:v>
                  </c:pt>
                  <c:pt idx="34">
                    <c:v>1.4129490475598885E-2</c:v>
                  </c:pt>
                  <c:pt idx="35">
                    <c:v>2.348686738657934E-2</c:v>
                  </c:pt>
                  <c:pt idx="37">
                    <c:v>9.1114471655524467E-3</c:v>
                  </c:pt>
                  <c:pt idx="38">
                    <c:v>1.4774751688850592E-2</c:v>
                  </c:pt>
                  <c:pt idx="39">
                    <c:v>2.3370374349271333E-2</c:v>
                  </c:pt>
                  <c:pt idx="41">
                    <c:v>5.1310889736431275E-2</c:v>
                  </c:pt>
                </c:numCache>
              </c:numRef>
            </c:minus>
            <c:spPr>
              <a:noFill/>
              <a:ln w="25400" cap="flat" cmpd="sng" algn="ctr">
                <a:solidFill>
                  <a:srgbClr val="92D050"/>
                </a:solidFill>
                <a:round/>
              </a:ln>
              <a:effectLst/>
            </c:spPr>
          </c:errBars>
          <c:cat>
            <c:multiLvlStrRef>
              <c:f>'data 3.2'!$V$2:$W$43</c:f>
              <c:multiLvlStrCache>
                <c:ptCount val="42"/>
                <c:lvl>
                  <c:pt idx="1">
                    <c:v>PGF1</c:v>
                  </c:pt>
                  <c:pt idx="2">
                    <c:v>PGKN</c:v>
                  </c:pt>
                  <c:pt idx="3">
                    <c:v>PGNP</c:v>
                  </c:pt>
                  <c:pt idx="4">
                    <c:v>PGSI</c:v>
                  </c:pt>
                  <c:pt idx="6">
                    <c:v>PGF1</c:v>
                  </c:pt>
                  <c:pt idx="7">
                    <c:v>PGKN</c:v>
                  </c:pt>
                  <c:pt idx="8">
                    <c:v>PGNC</c:v>
                  </c:pt>
                  <c:pt idx="9">
                    <c:v>PGNP</c:v>
                  </c:pt>
                  <c:pt idx="10">
                    <c:v>PGSI</c:v>
                  </c:pt>
                  <c:pt idx="11">
                    <c:v>PGZP</c:v>
                  </c:pt>
                  <c:pt idx="13">
                    <c:v>PGSI</c:v>
                  </c:pt>
                  <c:pt idx="14">
                    <c:v>PGST</c:v>
                  </c:pt>
                  <c:pt idx="16">
                    <c:v>PGEB</c:v>
                  </c:pt>
                  <c:pt idx="17">
                    <c:v>PGFG</c:v>
                  </c:pt>
                  <c:pt idx="18">
                    <c:v>PGNC</c:v>
                  </c:pt>
                  <c:pt idx="19">
                    <c:v>PGST</c:v>
                  </c:pt>
                  <c:pt idx="20">
                    <c:v>PGZP</c:v>
                  </c:pt>
                  <c:pt idx="22">
                    <c:v>PGNC</c:v>
                  </c:pt>
                  <c:pt idx="24">
                    <c:v>PGEB</c:v>
                  </c:pt>
                  <c:pt idx="25">
                    <c:v>PGF1</c:v>
                  </c:pt>
                  <c:pt idx="26">
                    <c:v>PGKN</c:v>
                  </c:pt>
                  <c:pt idx="27">
                    <c:v>PGST</c:v>
                  </c:pt>
                  <c:pt idx="28">
                    <c:v>PGZP</c:v>
                  </c:pt>
                  <c:pt idx="30">
                    <c:v>PGEB</c:v>
                  </c:pt>
                  <c:pt idx="31">
                    <c:v>PGF1</c:v>
                  </c:pt>
                  <c:pt idx="32">
                    <c:v>PGKN</c:v>
                  </c:pt>
                  <c:pt idx="33">
                    <c:v>PGSI</c:v>
                  </c:pt>
                  <c:pt idx="34">
                    <c:v>PGST</c:v>
                  </c:pt>
                  <c:pt idx="35">
                    <c:v>PGZP</c:v>
                  </c:pt>
                  <c:pt idx="37">
                    <c:v>PGF1</c:v>
                  </c:pt>
                  <c:pt idx="38">
                    <c:v>PGKN</c:v>
                  </c:pt>
                  <c:pt idx="39">
                    <c:v>PGZP</c:v>
                  </c:pt>
                  <c:pt idx="41">
                    <c:v>PGNC</c:v>
                  </c:pt>
                </c:lvl>
                <c:lvl>
                  <c:pt idx="0">
                    <c:v>23-Jul</c:v>
                  </c:pt>
                  <c:pt idx="5">
                    <c:v>24-Jul</c:v>
                  </c:pt>
                  <c:pt idx="12">
                    <c:v>25-Jul</c:v>
                  </c:pt>
                  <c:pt idx="15">
                    <c:v>26-Jul</c:v>
                  </c:pt>
                  <c:pt idx="21">
                    <c:v>27-Jul</c:v>
                  </c:pt>
                  <c:pt idx="23">
                    <c:v>8-Aug</c:v>
                  </c:pt>
                  <c:pt idx="29">
                    <c:v>9-Aug</c:v>
                  </c:pt>
                  <c:pt idx="36">
                    <c:v>10-Aug</c:v>
                  </c:pt>
                  <c:pt idx="40">
                    <c:v>26-Sep</c:v>
                  </c:pt>
                </c:lvl>
              </c:multiLvlStrCache>
            </c:multiLvlStrRef>
          </c:cat>
          <c:val>
            <c:numRef>
              <c:f>'data 3.2'!$AF$2:$AF$43</c:f>
              <c:numCache>
                <c:formatCode>General</c:formatCode>
                <c:ptCount val="42"/>
                <c:pt idx="11" formatCode="0.0">
                  <c:v>0.30291040000000002</c:v>
                </c:pt>
                <c:pt idx="20" formatCode="0.0">
                  <c:v>0.28069470000000002</c:v>
                </c:pt>
                <c:pt idx="28" formatCode="0.0">
                  <c:v>0.17126169999999999</c:v>
                </c:pt>
                <c:pt idx="35" formatCode="0.0">
                  <c:v>0.1863244</c:v>
                </c:pt>
                <c:pt idx="39" formatCode="0.0">
                  <c:v>0.1053288</c:v>
                </c:pt>
              </c:numCache>
            </c:numRef>
          </c:val>
          <c:extLst>
            <c:ext xmlns:c16="http://schemas.microsoft.com/office/drawing/2014/chart" uri="{C3380CC4-5D6E-409C-BE32-E72D297353CC}">
              <c16:uniqueId val="{0000000C-7AE5-40AE-B87A-3422D728AC80}"/>
            </c:ext>
          </c:extLst>
        </c:ser>
        <c:dLbls>
          <c:showLegendKey val="0"/>
          <c:showVal val="0"/>
          <c:showCatName val="0"/>
          <c:showSerName val="0"/>
          <c:showPercent val="0"/>
          <c:showBubbleSize val="0"/>
        </c:dLbls>
        <c:gapWidth val="0"/>
        <c:overlap val="100"/>
        <c:axId val="1139543552"/>
        <c:axId val="1137168144"/>
      </c:barChart>
      <c:lineChart>
        <c:grouping val="standard"/>
        <c:varyColors val="0"/>
        <c:ser>
          <c:idx val="9"/>
          <c:order val="9"/>
          <c:tx>
            <c:strRef>
              <c:f>'data 3.2'!$AG$1</c:f>
              <c:strCache>
                <c:ptCount val="1"/>
                <c:pt idx="0">
                  <c:v>Event Temp</c:v>
                </c:pt>
              </c:strCache>
            </c:strRef>
          </c:tx>
          <c:spPr>
            <a:ln w="28575" cap="rnd">
              <a:solidFill>
                <a:schemeClr val="accent2"/>
              </a:solidFill>
              <a:round/>
            </a:ln>
            <a:effectLst/>
          </c:spPr>
          <c:marker>
            <c:symbol val="none"/>
          </c:marker>
          <c:val>
            <c:numRef>
              <c:f>'data 3.2'!$AG$2:$AG$43</c:f>
              <c:numCache>
                <c:formatCode>0</c:formatCode>
                <c:ptCount val="42"/>
                <c:pt idx="1">
                  <c:v>99.091930000000005</c:v>
                </c:pt>
                <c:pt idx="2">
                  <c:v>100</c:v>
                </c:pt>
                <c:pt idx="3">
                  <c:v>97.036289999999994</c:v>
                </c:pt>
                <c:pt idx="4">
                  <c:v>97.747140000000002</c:v>
                </c:pt>
                <c:pt idx="6">
                  <c:v>103.2653</c:v>
                </c:pt>
                <c:pt idx="7">
                  <c:v>102.75</c:v>
                </c:pt>
                <c:pt idx="8">
                  <c:v>94.474680000000006</c:v>
                </c:pt>
                <c:pt idx="9">
                  <c:v>98.504499999999993</c:v>
                </c:pt>
                <c:pt idx="10">
                  <c:v>99.788799999999995</c:v>
                </c:pt>
                <c:pt idx="11">
                  <c:v>102.2214</c:v>
                </c:pt>
                <c:pt idx="13">
                  <c:v>102.7239</c:v>
                </c:pt>
                <c:pt idx="14">
                  <c:v>99.335610000000003</c:v>
                </c:pt>
                <c:pt idx="16">
                  <c:v>88.405869999999993</c:v>
                </c:pt>
                <c:pt idx="17">
                  <c:v>77</c:v>
                </c:pt>
                <c:pt idx="18">
                  <c:v>95.457359999999994</c:v>
                </c:pt>
                <c:pt idx="19">
                  <c:v>99.009460000000004</c:v>
                </c:pt>
                <c:pt idx="20">
                  <c:v>101.21899999999999</c:v>
                </c:pt>
                <c:pt idx="22">
                  <c:v>79.099999999999994</c:v>
                </c:pt>
                <c:pt idx="24">
                  <c:v>90.555409999999995</c:v>
                </c:pt>
                <c:pt idx="25">
                  <c:v>101.43170000000001</c:v>
                </c:pt>
                <c:pt idx="26">
                  <c:v>103.33329999999999</c:v>
                </c:pt>
                <c:pt idx="27">
                  <c:v>93.036169999999998</c:v>
                </c:pt>
                <c:pt idx="28">
                  <c:v>98.276480000000006</c:v>
                </c:pt>
                <c:pt idx="30">
                  <c:v>96.783029999999997</c:v>
                </c:pt>
                <c:pt idx="31">
                  <c:v>103.5048</c:v>
                </c:pt>
                <c:pt idx="32">
                  <c:v>103.33329999999999</c:v>
                </c:pt>
                <c:pt idx="33">
                  <c:v>98.943399999999997</c:v>
                </c:pt>
                <c:pt idx="34">
                  <c:v>99.236500000000007</c:v>
                </c:pt>
                <c:pt idx="35">
                  <c:v>98.314049999999995</c:v>
                </c:pt>
                <c:pt idx="37">
                  <c:v>102.5241</c:v>
                </c:pt>
                <c:pt idx="38">
                  <c:v>104</c:v>
                </c:pt>
                <c:pt idx="39">
                  <c:v>94.857759999999999</c:v>
                </c:pt>
                <c:pt idx="41">
                  <c:v>94.067239999999998</c:v>
                </c:pt>
              </c:numCache>
            </c:numRef>
          </c:val>
          <c:smooth val="0"/>
          <c:extLst>
            <c:ext xmlns:c16="http://schemas.microsoft.com/office/drawing/2014/chart" uri="{C3380CC4-5D6E-409C-BE32-E72D297353CC}">
              <c16:uniqueId val="{0000000D-7AE5-40AE-B87A-3422D728AC80}"/>
            </c:ext>
          </c:extLst>
        </c:ser>
        <c:dLbls>
          <c:showLegendKey val="0"/>
          <c:showVal val="0"/>
          <c:showCatName val="0"/>
          <c:showSerName val="0"/>
          <c:showPercent val="0"/>
          <c:showBubbleSize val="0"/>
        </c:dLbls>
        <c:marker val="1"/>
        <c:smooth val="0"/>
        <c:axId val="932511712"/>
        <c:axId val="1056566864"/>
      </c:lineChart>
      <c:catAx>
        <c:axId val="11395435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Event Date</a:t>
                </a:r>
              </a:p>
            </c:rich>
          </c:tx>
          <c:layout>
            <c:manualLayout>
              <c:xMode val="edge"/>
              <c:yMode val="edge"/>
              <c:x val="0.44447360746573344"/>
              <c:y val="0.937057298298123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7168144"/>
        <c:crosses val="autoZero"/>
        <c:auto val="0"/>
        <c:lblAlgn val="ctr"/>
        <c:lblOffset val="100"/>
        <c:noMultiLvlLbl val="0"/>
      </c:catAx>
      <c:valAx>
        <c:axId val="1137168144"/>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Average Event-hour Load Impact (kWh/customer/hr)</a:t>
                </a:r>
                <a:endParaRPr lang="en-US" sz="1100">
                  <a:effectLst/>
                </a:endParaRPr>
              </a:p>
            </c:rich>
          </c:tx>
          <c:layout>
            <c:manualLayout>
              <c:xMode val="edge"/>
              <c:yMode val="edge"/>
              <c:x val="3.6530329542140564E-3"/>
              <c:y val="1.7484655265630436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39543552"/>
        <c:crosses val="autoZero"/>
        <c:crossBetween val="between"/>
        <c:majorUnit val="0.1"/>
      </c:valAx>
      <c:valAx>
        <c:axId val="1056566864"/>
        <c:scaling>
          <c:orientation val="minMax"/>
          <c:max val="120"/>
          <c:min val="0"/>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Average Event-hour Temperature (°F)</a:t>
                </a:r>
                <a:endParaRPr lang="en-US" sz="1100">
                  <a:effectLst/>
                </a:endParaRPr>
              </a:p>
            </c:rich>
          </c:tx>
          <c:layout>
            <c:manualLayout>
              <c:xMode val="edge"/>
              <c:yMode val="edge"/>
              <c:x val="0.96196759259259257"/>
              <c:y val="0.1554990786260049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32511712"/>
        <c:crosses val="max"/>
        <c:crossBetween val="between"/>
      </c:valAx>
      <c:catAx>
        <c:axId val="932511712"/>
        <c:scaling>
          <c:orientation val="minMax"/>
        </c:scaling>
        <c:delete val="1"/>
        <c:axPos val="b"/>
        <c:majorTickMark val="out"/>
        <c:minorTickMark val="none"/>
        <c:tickLblPos val="nextTo"/>
        <c:crossAx val="1056566864"/>
        <c:crosses val="autoZero"/>
        <c:auto val="1"/>
        <c:lblAlgn val="ctr"/>
        <c:lblOffset val="100"/>
        <c:noMultiLvlLbl val="0"/>
      </c:catAx>
      <c:spPr>
        <a:noFill/>
        <a:ln>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'data 3.3'!$G$1</c:f>
              <c:strCache>
                <c:ptCount val="1"/>
                <c:pt idx="0">
                  <c:v>Share of Enrollment x Event Hours</c:v>
                </c:pt>
              </c:strCache>
            </c:strRef>
          </c:tx>
          <c:spPr>
            <a:solidFill>
              <a:srgbClr val="0C2577"/>
            </a:solidFill>
            <a:ln>
              <a:noFill/>
            </a:ln>
            <a:effectLst/>
          </c:spPr>
          <c:invertIfNegative val="0"/>
          <c:cat>
            <c:strRef>
              <c:f>'data 3.3'!$F$2:$F$10</c:f>
              <c:strCache>
                <c:ptCount val="9"/>
                <c:pt idx="0">
                  <c:v>PGEB</c:v>
                </c:pt>
                <c:pt idx="1">
                  <c:v>PGF1</c:v>
                </c:pt>
                <c:pt idx="2">
                  <c:v>PGFG</c:v>
                </c:pt>
                <c:pt idx="3">
                  <c:v>PGKN</c:v>
                </c:pt>
                <c:pt idx="4">
                  <c:v>PGNC</c:v>
                </c:pt>
                <c:pt idx="5">
                  <c:v>PGNP</c:v>
                </c:pt>
                <c:pt idx="6">
                  <c:v>PGSI</c:v>
                </c:pt>
                <c:pt idx="7">
                  <c:v>PGST</c:v>
                </c:pt>
                <c:pt idx="8">
                  <c:v>PGZP</c:v>
                </c:pt>
              </c:strCache>
            </c:strRef>
          </c:cat>
          <c:val>
            <c:numRef>
              <c:f>'data 3.3'!$G$2:$G$10</c:f>
              <c:numCache>
                <c:formatCode>0.0%</c:formatCode>
                <c:ptCount val="9"/>
                <c:pt idx="0">
                  <c:v>0.17628705453762009</c:v>
                </c:pt>
                <c:pt idx="1">
                  <c:v>0.28935199240057585</c:v>
                </c:pt>
                <c:pt idx="2">
                  <c:v>6.1050013220647712E-3</c:v>
                </c:pt>
                <c:pt idx="3">
                  <c:v>9.3297621262718747E-2</c:v>
                </c:pt>
                <c:pt idx="4">
                  <c:v>1.0400242868195039E-2</c:v>
                </c:pt>
                <c:pt idx="5">
                  <c:v>0.11894665713474288</c:v>
                </c:pt>
                <c:pt idx="6">
                  <c:v>0.19331133156405159</c:v>
                </c:pt>
                <c:pt idx="7">
                  <c:v>7.8330868743450882E-2</c:v>
                </c:pt>
                <c:pt idx="8">
                  <c:v>3.3969230166580162E-2</c:v>
                </c:pt>
              </c:numCache>
            </c:numRef>
          </c:val>
          <c:extLst>
            <c:ext xmlns:c16="http://schemas.microsoft.com/office/drawing/2014/chart" uri="{C3380CC4-5D6E-409C-BE32-E72D297353CC}">
              <c16:uniqueId val="{00000000-EBA0-4D8B-B446-482FF843D04B}"/>
            </c:ext>
          </c:extLst>
        </c:ser>
        <c:ser>
          <c:idx val="1"/>
          <c:order val="1"/>
          <c:tx>
            <c:strRef>
              <c:f>'data 3.3'!$H$1</c:f>
              <c:strCache>
                <c:ptCount val="1"/>
                <c:pt idx="0">
                  <c:v>Share of Reference Load</c:v>
                </c:pt>
              </c:strCache>
            </c:strRef>
          </c:tx>
          <c:spPr>
            <a:solidFill>
              <a:schemeClr val="accent2"/>
            </a:solidFill>
            <a:ln>
              <a:noFill/>
            </a:ln>
            <a:effectLst/>
          </c:spPr>
          <c:invertIfNegative val="0"/>
          <c:cat>
            <c:strRef>
              <c:f>'data 3.3'!$F$2:$F$10</c:f>
              <c:strCache>
                <c:ptCount val="9"/>
                <c:pt idx="0">
                  <c:v>PGEB</c:v>
                </c:pt>
                <c:pt idx="1">
                  <c:v>PGF1</c:v>
                </c:pt>
                <c:pt idx="2">
                  <c:v>PGFG</c:v>
                </c:pt>
                <c:pt idx="3">
                  <c:v>PGKN</c:v>
                </c:pt>
                <c:pt idx="4">
                  <c:v>PGNC</c:v>
                </c:pt>
                <c:pt idx="5">
                  <c:v>PGNP</c:v>
                </c:pt>
                <c:pt idx="6">
                  <c:v>PGSI</c:v>
                </c:pt>
                <c:pt idx="7">
                  <c:v>PGST</c:v>
                </c:pt>
                <c:pt idx="8">
                  <c:v>PGZP</c:v>
                </c:pt>
              </c:strCache>
            </c:strRef>
          </c:cat>
          <c:val>
            <c:numRef>
              <c:f>'data 3.3'!$H$2:$H$10</c:f>
              <c:numCache>
                <c:formatCode>0.0%</c:formatCode>
                <c:ptCount val="9"/>
                <c:pt idx="0">
                  <c:v>0.1353203359011671</c:v>
                </c:pt>
                <c:pt idx="1">
                  <c:v>0.31709779854415254</c:v>
                </c:pt>
                <c:pt idx="2">
                  <c:v>2.9322570003413127E-3</c:v>
                </c:pt>
                <c:pt idx="3">
                  <c:v>0.10631030941155815</c:v>
                </c:pt>
                <c:pt idx="4">
                  <c:v>7.9003939843468197E-3</c:v>
                </c:pt>
                <c:pt idx="5">
                  <c:v>0.11579553760177948</c:v>
                </c:pt>
                <c:pt idx="6">
                  <c:v>0.20133824296417502</c:v>
                </c:pt>
                <c:pt idx="7">
                  <c:v>7.9439826289987955E-2</c:v>
                </c:pt>
                <c:pt idx="8">
                  <c:v>3.3865298302491791E-2</c:v>
                </c:pt>
              </c:numCache>
            </c:numRef>
          </c:val>
          <c:extLst>
            <c:ext xmlns:c16="http://schemas.microsoft.com/office/drawing/2014/chart" uri="{C3380CC4-5D6E-409C-BE32-E72D297353CC}">
              <c16:uniqueId val="{00000001-EBA0-4D8B-B446-482FF843D04B}"/>
            </c:ext>
          </c:extLst>
        </c:ser>
        <c:ser>
          <c:idx val="2"/>
          <c:order val="2"/>
          <c:tx>
            <c:strRef>
              <c:f>'data 3.3'!$I$1</c:f>
              <c:strCache>
                <c:ptCount val="1"/>
                <c:pt idx="0">
                  <c:v>Share of Load Impact</c:v>
                </c:pt>
              </c:strCache>
            </c:strRef>
          </c:tx>
          <c:spPr>
            <a:solidFill>
              <a:schemeClr val="accent3"/>
            </a:solidFill>
            <a:ln>
              <a:noFill/>
            </a:ln>
            <a:effectLst/>
          </c:spPr>
          <c:invertIfNegative val="0"/>
          <c:cat>
            <c:strRef>
              <c:f>'data 3.3'!$F$2:$F$10</c:f>
              <c:strCache>
                <c:ptCount val="9"/>
                <c:pt idx="0">
                  <c:v>PGEB</c:v>
                </c:pt>
                <c:pt idx="1">
                  <c:v>PGF1</c:v>
                </c:pt>
                <c:pt idx="2">
                  <c:v>PGFG</c:v>
                </c:pt>
                <c:pt idx="3">
                  <c:v>PGKN</c:v>
                </c:pt>
                <c:pt idx="4">
                  <c:v>PGNC</c:v>
                </c:pt>
                <c:pt idx="5">
                  <c:v>PGNP</c:v>
                </c:pt>
                <c:pt idx="6">
                  <c:v>PGSI</c:v>
                </c:pt>
                <c:pt idx="7">
                  <c:v>PGST</c:v>
                </c:pt>
                <c:pt idx="8">
                  <c:v>PGZP</c:v>
                </c:pt>
              </c:strCache>
            </c:strRef>
          </c:cat>
          <c:val>
            <c:numRef>
              <c:f>'data 3.3'!$I$2:$I$10</c:f>
              <c:numCache>
                <c:formatCode>0.0%</c:formatCode>
                <c:ptCount val="9"/>
                <c:pt idx="0">
                  <c:v>0.18340815732380952</c:v>
                </c:pt>
                <c:pt idx="1">
                  <c:v>0.33518338780830276</c:v>
                </c:pt>
                <c:pt idx="2">
                  <c:v>2.1884892434204917E-3</c:v>
                </c:pt>
                <c:pt idx="3">
                  <c:v>2.178889197979194E-2</c:v>
                </c:pt>
                <c:pt idx="4">
                  <c:v>5.7165322886257837E-3</c:v>
                </c:pt>
                <c:pt idx="5">
                  <c:v>8.2813937509479643E-2</c:v>
                </c:pt>
                <c:pt idx="6">
                  <c:v>0.23698919592381204</c:v>
                </c:pt>
                <c:pt idx="7">
                  <c:v>0.10769306386887829</c:v>
                </c:pt>
                <c:pt idx="8">
                  <c:v>2.4218344053879504E-2</c:v>
                </c:pt>
              </c:numCache>
            </c:numRef>
          </c:val>
          <c:extLst>
            <c:ext xmlns:c16="http://schemas.microsoft.com/office/drawing/2014/chart" uri="{C3380CC4-5D6E-409C-BE32-E72D297353CC}">
              <c16:uniqueId val="{00000002-EBA0-4D8B-B446-482FF843D04B}"/>
            </c:ext>
          </c:extLst>
        </c:ser>
        <c:dLbls>
          <c:showLegendKey val="0"/>
          <c:showVal val="0"/>
          <c:showCatName val="0"/>
          <c:showSerName val="0"/>
          <c:showPercent val="0"/>
          <c:showBubbleSize val="0"/>
        </c:dLbls>
        <c:gapWidth val="182"/>
        <c:axId val="1705660735"/>
        <c:axId val="1943404335"/>
      </c:barChart>
      <c:catAx>
        <c:axId val="1705660735"/>
        <c:scaling>
          <c:orientation val="maxMin"/>
        </c:scaling>
        <c:delete val="0"/>
        <c:axPos val="l"/>
        <c:numFmt formatCode="General" sourceLinked="1"/>
        <c:majorTickMark val="none"/>
        <c:minorTickMark val="none"/>
        <c:tickLblPos val="nextTo"/>
        <c:spPr>
          <a:noFill/>
          <a:ln w="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43404335"/>
        <c:crosses val="autoZero"/>
        <c:auto val="1"/>
        <c:lblAlgn val="ctr"/>
        <c:lblOffset val="100"/>
        <c:noMultiLvlLbl val="0"/>
      </c:catAx>
      <c:valAx>
        <c:axId val="1943404335"/>
        <c:scaling>
          <c:orientation val="minMax"/>
          <c:max val="0.35000000000000003"/>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05660735"/>
        <c:crosses val="autoZero"/>
        <c:crossBetween val="between"/>
      </c:valAx>
      <c:spPr>
        <a:noFill/>
        <a:ln w="0">
          <a:solidFill>
            <a:schemeClr val="tx1"/>
          </a:solidFill>
        </a:ln>
        <a:effectLst/>
      </c:spPr>
    </c:plotArea>
    <c:legend>
      <c:legendPos val="b"/>
      <c:overlay val="0"/>
      <c:spPr>
        <a:noFill/>
        <a:ln w="0">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8586322543016"/>
          <c:y val="3.8415361304791361E-2"/>
          <c:w val="0.78035505978419384"/>
          <c:h val="0.81844755067556962"/>
        </c:manualLayout>
      </c:layout>
      <c:barChart>
        <c:barDir val="col"/>
        <c:grouping val="clustered"/>
        <c:varyColors val="0"/>
        <c:ser>
          <c:idx val="1"/>
          <c:order val="4"/>
          <c:tx>
            <c:strRef>
              <c:f>'data 3.4'!$S$1</c:f>
              <c:strCache>
                <c:ptCount val="1"/>
                <c:pt idx="0">
                  <c:v>Event Hours</c:v>
                </c:pt>
              </c:strCache>
            </c:strRef>
          </c:tx>
          <c:spPr>
            <a:solidFill>
              <a:schemeClr val="accent5">
                <a:lumMod val="40000"/>
                <a:lumOff val="60000"/>
                <a:alpha val="50000"/>
              </a:schemeClr>
            </a:solidFill>
            <a:ln>
              <a:noFill/>
            </a:ln>
            <a:effectLst/>
          </c:spPr>
          <c:invertIfNegative val="0"/>
          <c:val>
            <c:numRef>
              <c:f>'data 3.4'!$S$2:$S$25</c:f>
              <c:numCache>
                <c:formatCode>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200</c:v>
                </c:pt>
                <c:pt idx="17">
                  <c:v>200</c:v>
                </c:pt>
                <c:pt idx="18">
                  <c:v>200</c:v>
                </c:pt>
                <c:pt idx="19">
                  <c:v>0</c:v>
                </c:pt>
                <c:pt idx="20">
                  <c:v>0</c:v>
                </c:pt>
                <c:pt idx="21">
                  <c:v>0</c:v>
                </c:pt>
                <c:pt idx="22">
                  <c:v>0</c:v>
                </c:pt>
                <c:pt idx="23">
                  <c:v>0</c:v>
                </c:pt>
              </c:numCache>
            </c:numRef>
          </c:val>
          <c:extLst>
            <c:ext xmlns:c16="http://schemas.microsoft.com/office/drawing/2014/chart" uri="{C3380CC4-5D6E-409C-BE32-E72D297353CC}">
              <c16:uniqueId val="{00000000-F24C-41EC-AC32-A5DE89163A06}"/>
            </c:ext>
          </c:extLst>
        </c:ser>
        <c:dLbls>
          <c:showLegendKey val="0"/>
          <c:showVal val="0"/>
          <c:showCatName val="0"/>
          <c:showSerName val="0"/>
          <c:showPercent val="0"/>
          <c:showBubbleSize val="0"/>
        </c:dLbls>
        <c:gapWidth val="0"/>
        <c:axId val="717399679"/>
        <c:axId val="717002287"/>
      </c:barChart>
      <c:lineChart>
        <c:grouping val="standard"/>
        <c:varyColors val="0"/>
        <c:ser>
          <c:idx val="5"/>
          <c:order val="0"/>
          <c:tx>
            <c:strRef>
              <c:f>'data 3.4'!$O$1</c:f>
              <c:strCache>
                <c:ptCount val="1"/>
                <c:pt idx="0">
                  <c:v>Reference</c:v>
                </c:pt>
              </c:strCache>
            </c:strRef>
          </c:tx>
          <c:spPr>
            <a:ln w="28575" cap="rnd">
              <a:solidFill>
                <a:schemeClr val="accent5"/>
              </a:solidFill>
              <a:round/>
            </a:ln>
            <a:effectLst/>
          </c:spPr>
          <c:marker>
            <c:symbol val="none"/>
          </c:marker>
          <c:cat>
            <c:numRef>
              <c:f>'data 3.4'!$N$2:$N$25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'data 3.4'!$O$2:$O$25</c:f>
              <c:numCache>
                <c:formatCode>0.0</c:formatCode>
                <c:ptCount val="24"/>
                <c:pt idx="0">
                  <c:v>63.243189999999998</c:v>
                </c:pt>
                <c:pt idx="1">
                  <c:v>53.924579999999999</c:v>
                </c:pt>
                <c:pt idx="2">
                  <c:v>47.892069999999997</c:v>
                </c:pt>
                <c:pt idx="3">
                  <c:v>43.898200000000003</c:v>
                </c:pt>
                <c:pt idx="4">
                  <c:v>42.20908</c:v>
                </c:pt>
                <c:pt idx="5">
                  <c:v>42.576839999999997</c:v>
                </c:pt>
                <c:pt idx="6">
                  <c:v>45.662300000000002</c:v>
                </c:pt>
                <c:pt idx="7">
                  <c:v>45.974330000000002</c:v>
                </c:pt>
                <c:pt idx="8">
                  <c:v>44.117069999999998</c:v>
                </c:pt>
                <c:pt idx="9">
                  <c:v>43.13335</c:v>
                </c:pt>
                <c:pt idx="10">
                  <c:v>45.227870000000003</c:v>
                </c:pt>
                <c:pt idx="11">
                  <c:v>53.180280000000003</c:v>
                </c:pt>
                <c:pt idx="12">
                  <c:v>67.584389999999999</c:v>
                </c:pt>
                <c:pt idx="13">
                  <c:v>87.543589999999995</c:v>
                </c:pt>
                <c:pt idx="14">
                  <c:v>111.19750000000001</c:v>
                </c:pt>
                <c:pt idx="15">
                  <c:v>137.0335</c:v>
                </c:pt>
                <c:pt idx="16">
                  <c:v>159.8929</c:v>
                </c:pt>
                <c:pt idx="17">
                  <c:v>176.8664</c:v>
                </c:pt>
                <c:pt idx="18">
                  <c:v>180.94329999999999</c:v>
                </c:pt>
                <c:pt idx="19">
                  <c:v>172.00530000000001</c:v>
                </c:pt>
                <c:pt idx="20">
                  <c:v>156.87870000000001</c:v>
                </c:pt>
                <c:pt idx="21">
                  <c:v>137.92750000000001</c:v>
                </c:pt>
                <c:pt idx="22">
                  <c:v>111.9524</c:v>
                </c:pt>
                <c:pt idx="23">
                  <c:v>88.609819999999999</c:v>
                </c:pt>
              </c:numCache>
            </c:numRef>
          </c:val>
          <c:smooth val="0"/>
          <c:extLst>
            <c:ext xmlns:c16="http://schemas.microsoft.com/office/drawing/2014/chart" uri="{C3380CC4-5D6E-409C-BE32-E72D297353CC}">
              <c16:uniqueId val="{00000001-F24C-41EC-AC32-A5DE89163A06}"/>
            </c:ext>
          </c:extLst>
        </c:ser>
        <c:ser>
          <c:idx val="6"/>
          <c:order val="1"/>
          <c:tx>
            <c:strRef>
              <c:f>'data 3.4'!$P$1</c:f>
              <c:strCache>
                <c:ptCount val="1"/>
                <c:pt idx="0">
                  <c:v>Observed</c:v>
                </c:pt>
              </c:strCache>
            </c:strRef>
          </c:tx>
          <c:spPr>
            <a:ln w="28575" cap="rnd">
              <a:solidFill>
                <a:schemeClr val="accent2"/>
              </a:solidFill>
              <a:prstDash val="dash"/>
              <a:round/>
            </a:ln>
            <a:effectLst/>
          </c:spPr>
          <c:marker>
            <c:symbol val="none"/>
          </c:marker>
          <c:cat>
            <c:numRef>
              <c:f>'data 3.4'!$N$2:$N$25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'data 3.4'!$P$2:$P$25</c:f>
              <c:numCache>
                <c:formatCode>0.0</c:formatCode>
                <c:ptCount val="24"/>
                <c:pt idx="0">
                  <c:v>64.066490000000002</c:v>
                </c:pt>
                <c:pt idx="1">
                  <c:v>54.584350000000001</c:v>
                </c:pt>
                <c:pt idx="2">
                  <c:v>48.076210000000003</c:v>
                </c:pt>
                <c:pt idx="3">
                  <c:v>43.939120000000003</c:v>
                </c:pt>
                <c:pt idx="4">
                  <c:v>42.197409999999998</c:v>
                </c:pt>
                <c:pt idx="5">
                  <c:v>42.834429999999998</c:v>
                </c:pt>
                <c:pt idx="6">
                  <c:v>45.864440000000002</c:v>
                </c:pt>
                <c:pt idx="7">
                  <c:v>46.162970000000001</c:v>
                </c:pt>
                <c:pt idx="8">
                  <c:v>44.018920000000001</c:v>
                </c:pt>
                <c:pt idx="9">
                  <c:v>43.112000000000002</c:v>
                </c:pt>
                <c:pt idx="10">
                  <c:v>45.415089999999999</c:v>
                </c:pt>
                <c:pt idx="11">
                  <c:v>53.032530000000001</c:v>
                </c:pt>
                <c:pt idx="12">
                  <c:v>67.385260000000002</c:v>
                </c:pt>
                <c:pt idx="13">
                  <c:v>87.635710000000003</c:v>
                </c:pt>
                <c:pt idx="14">
                  <c:v>111.1995</c:v>
                </c:pt>
                <c:pt idx="15">
                  <c:v>137.63419999999999</c:v>
                </c:pt>
                <c:pt idx="16">
                  <c:v>139.7458</c:v>
                </c:pt>
                <c:pt idx="17">
                  <c:v>149.1833</c:v>
                </c:pt>
                <c:pt idx="18">
                  <c:v>155.25040000000001</c:v>
                </c:pt>
                <c:pt idx="19">
                  <c:v>191.2261</c:v>
                </c:pt>
                <c:pt idx="20">
                  <c:v>177.04509999999999</c:v>
                </c:pt>
                <c:pt idx="21">
                  <c:v>149.96510000000001</c:v>
                </c:pt>
                <c:pt idx="22">
                  <c:v>117.8721</c:v>
                </c:pt>
                <c:pt idx="23">
                  <c:v>92.506460000000004</c:v>
                </c:pt>
              </c:numCache>
            </c:numRef>
          </c:val>
          <c:smooth val="0"/>
          <c:extLst>
            <c:ext xmlns:c16="http://schemas.microsoft.com/office/drawing/2014/chart" uri="{C3380CC4-5D6E-409C-BE32-E72D297353CC}">
              <c16:uniqueId val="{00000002-F24C-41EC-AC32-A5DE89163A06}"/>
            </c:ext>
          </c:extLst>
        </c:ser>
        <c:ser>
          <c:idx val="7"/>
          <c:order val="2"/>
          <c:tx>
            <c:strRef>
              <c:f>'data 3.4'!$Q$1</c:f>
              <c:strCache>
                <c:ptCount val="1"/>
                <c:pt idx="0">
                  <c:v>Load Impact</c:v>
                </c:pt>
              </c:strCache>
            </c:strRef>
          </c:tx>
          <c:spPr>
            <a:ln w="28575" cap="rnd">
              <a:solidFill>
                <a:srgbClr val="92D050"/>
              </a:solidFill>
              <a:round/>
            </a:ln>
            <a:effectLst/>
          </c:spPr>
          <c:marker>
            <c:symbol val="square"/>
            <c:size val="5"/>
            <c:spPr>
              <a:solidFill>
                <a:srgbClr val="92D050"/>
              </a:solidFill>
              <a:ln w="9525">
                <a:noFill/>
              </a:ln>
              <a:effectLst/>
            </c:spPr>
          </c:marker>
          <c:cat>
            <c:numRef>
              <c:f>'data 3.4'!$N$2:$N$25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'data 3.4'!$Q$2:$Q$25</c:f>
              <c:numCache>
                <c:formatCode>0.0</c:formatCode>
                <c:ptCount val="24"/>
                <c:pt idx="0">
                  <c:v>-0.823295</c:v>
                </c:pt>
                <c:pt idx="1">
                  <c:v>-0.65976570000000001</c:v>
                </c:pt>
                <c:pt idx="2">
                  <c:v>-0.18414530000000001</c:v>
                </c:pt>
                <c:pt idx="3">
                  <c:v>-4.0923399999999999E-2</c:v>
                </c:pt>
                <c:pt idx="4">
                  <c:v>1.16661E-2</c:v>
                </c:pt>
                <c:pt idx="5">
                  <c:v>-0.25758350000000002</c:v>
                </c:pt>
                <c:pt idx="6">
                  <c:v>-0.20214209999999999</c:v>
                </c:pt>
                <c:pt idx="7">
                  <c:v>-0.188637</c:v>
                </c:pt>
                <c:pt idx="8">
                  <c:v>9.8154000000000005E-2</c:v>
                </c:pt>
                <c:pt idx="9">
                  <c:v>2.13466E-2</c:v>
                </c:pt>
                <c:pt idx="10">
                  <c:v>-0.18721399999999999</c:v>
                </c:pt>
                <c:pt idx="11">
                  <c:v>0.14775379999999999</c:v>
                </c:pt>
                <c:pt idx="12">
                  <c:v>0.1991309</c:v>
                </c:pt>
                <c:pt idx="13">
                  <c:v>-9.2120300000000002E-2</c:v>
                </c:pt>
                <c:pt idx="14">
                  <c:v>-2.0864999999999998E-3</c:v>
                </c:pt>
                <c:pt idx="15">
                  <c:v>-0.60073500000000002</c:v>
                </c:pt>
                <c:pt idx="16">
                  <c:v>20.147120000000001</c:v>
                </c:pt>
                <c:pt idx="17">
                  <c:v>27.683070000000001</c:v>
                </c:pt>
                <c:pt idx="18">
                  <c:v>25.692879999999999</c:v>
                </c:pt>
                <c:pt idx="19">
                  <c:v>-19.220829999999999</c:v>
                </c:pt>
                <c:pt idx="20">
                  <c:v>-20.16639</c:v>
                </c:pt>
                <c:pt idx="21">
                  <c:v>-12.03759</c:v>
                </c:pt>
                <c:pt idx="22">
                  <c:v>-5.9197100000000002</c:v>
                </c:pt>
                <c:pt idx="23">
                  <c:v>-3.8966419999999999</c:v>
                </c:pt>
              </c:numCache>
            </c:numRef>
          </c:val>
          <c:smooth val="0"/>
          <c:extLst>
            <c:ext xmlns:c16="http://schemas.microsoft.com/office/drawing/2014/chart" uri="{C3380CC4-5D6E-409C-BE32-E72D297353CC}">
              <c16:uniqueId val="{00000003-F24C-41EC-AC32-A5DE89163A06}"/>
            </c:ext>
          </c:extLst>
        </c:ser>
        <c:dLbls>
          <c:showLegendKey val="0"/>
          <c:showVal val="0"/>
          <c:showCatName val="0"/>
          <c:showSerName val="0"/>
          <c:showPercent val="0"/>
          <c:showBubbleSize val="0"/>
        </c:dLbls>
        <c:marker val="1"/>
        <c:smooth val="0"/>
        <c:axId val="717399679"/>
        <c:axId val="717002287"/>
      </c:lineChart>
      <c:lineChart>
        <c:grouping val="standard"/>
        <c:varyColors val="0"/>
        <c:ser>
          <c:idx val="0"/>
          <c:order val="3"/>
          <c:tx>
            <c:strRef>
              <c:f>'data 3.4'!$R$1</c:f>
              <c:strCache>
                <c:ptCount val="1"/>
                <c:pt idx="0">
                  <c:v>Temperature</c:v>
                </c:pt>
              </c:strCache>
            </c:strRef>
          </c:tx>
          <c:spPr>
            <a:ln w="28575" cap="rnd">
              <a:solidFill>
                <a:schemeClr val="bg1">
                  <a:lumMod val="75000"/>
                </a:schemeClr>
              </a:solidFill>
              <a:prstDash val="sysDot"/>
              <a:round/>
            </a:ln>
            <a:effectLst/>
          </c:spPr>
          <c:marker>
            <c:symbol val="none"/>
          </c:marker>
          <c:val>
            <c:numRef>
              <c:f>'data 3.4'!$R$2:$R$25</c:f>
              <c:numCache>
                <c:formatCode>0.0</c:formatCode>
                <c:ptCount val="24"/>
                <c:pt idx="0">
                  <c:v>78.563713000000007</c:v>
                </c:pt>
                <c:pt idx="1">
                  <c:v>72.655227999999994</c:v>
                </c:pt>
                <c:pt idx="2">
                  <c:v>70.817977999999997</c:v>
                </c:pt>
                <c:pt idx="3">
                  <c:v>69.465118000000004</c:v>
                </c:pt>
                <c:pt idx="4">
                  <c:v>67.700683999999995</c:v>
                </c:pt>
                <c:pt idx="5">
                  <c:v>66.394408999999996</c:v>
                </c:pt>
                <c:pt idx="6">
                  <c:v>65.500670999999997</c:v>
                </c:pt>
                <c:pt idx="7">
                  <c:v>64.876328000000001</c:v>
                </c:pt>
                <c:pt idx="8">
                  <c:v>68.169822999999994</c:v>
                </c:pt>
                <c:pt idx="9">
                  <c:v>72.612015</c:v>
                </c:pt>
                <c:pt idx="10">
                  <c:v>77.722137000000004</c:v>
                </c:pt>
                <c:pt idx="11">
                  <c:v>83.090384999999998</c:v>
                </c:pt>
                <c:pt idx="12">
                  <c:v>87.895026999999999</c:v>
                </c:pt>
                <c:pt idx="13">
                  <c:v>91.448502000000005</c:v>
                </c:pt>
                <c:pt idx="14">
                  <c:v>95.188744</c:v>
                </c:pt>
                <c:pt idx="15">
                  <c:v>97.555885000000004</c:v>
                </c:pt>
                <c:pt idx="16">
                  <c:v>99.370582999999996</c:v>
                </c:pt>
                <c:pt idx="17">
                  <c:v>100.28041</c:v>
                </c:pt>
                <c:pt idx="18">
                  <c:v>99.690635999999998</c:v>
                </c:pt>
                <c:pt idx="19">
                  <c:v>97.062293999999994</c:v>
                </c:pt>
                <c:pt idx="20">
                  <c:v>92.260002</c:v>
                </c:pt>
                <c:pt idx="21">
                  <c:v>87.648819000000003</c:v>
                </c:pt>
                <c:pt idx="22">
                  <c:v>84.177818000000002</c:v>
                </c:pt>
                <c:pt idx="23">
                  <c:v>81.404242999999994</c:v>
                </c:pt>
              </c:numCache>
            </c:numRef>
          </c:val>
          <c:smooth val="0"/>
          <c:extLst>
            <c:ext xmlns:c16="http://schemas.microsoft.com/office/drawing/2014/chart" uri="{C3380CC4-5D6E-409C-BE32-E72D297353CC}">
              <c16:uniqueId val="{00000004-F24C-41EC-AC32-A5DE89163A06}"/>
            </c:ext>
          </c:extLst>
        </c:ser>
        <c:dLbls>
          <c:showLegendKey val="0"/>
          <c:showVal val="0"/>
          <c:showCatName val="0"/>
          <c:showSerName val="0"/>
          <c:showPercent val="0"/>
          <c:showBubbleSize val="0"/>
        </c:dLbls>
        <c:marker val="1"/>
        <c:smooth val="0"/>
        <c:axId val="512795119"/>
        <c:axId val="716990223"/>
      </c:lineChart>
      <c:catAx>
        <c:axId val="717399679"/>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Hour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17002287"/>
        <c:crosses val="autoZero"/>
        <c:auto val="1"/>
        <c:lblAlgn val="ctr"/>
        <c:lblOffset val="100"/>
        <c:noMultiLvlLbl val="0"/>
      </c:catAx>
      <c:valAx>
        <c:axId val="717002287"/>
        <c:scaling>
          <c:orientation val="minMax"/>
          <c:max val="20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Load (MWh/hr)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17399679"/>
        <c:crosses val="autoZero"/>
        <c:crossBetween val="between"/>
        <c:majorUnit val="25"/>
      </c:valAx>
      <c:valAx>
        <c:axId val="716990223"/>
        <c:scaling>
          <c:orientation val="minMax"/>
          <c:max val="120"/>
          <c:min val="-1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effectLst/>
                  </a:rPr>
                  <a:t>Temperature (°F)</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12795119"/>
        <c:crosses val="max"/>
        <c:crossBetween val="between"/>
        <c:majorUnit val="15"/>
      </c:valAx>
      <c:catAx>
        <c:axId val="512795119"/>
        <c:scaling>
          <c:orientation val="minMax"/>
        </c:scaling>
        <c:delete val="1"/>
        <c:axPos val="b"/>
        <c:majorTickMark val="out"/>
        <c:minorTickMark val="none"/>
        <c:tickLblPos val="nextTo"/>
        <c:crossAx val="716990223"/>
        <c:crossesAt val="0"/>
        <c:auto val="1"/>
        <c:lblAlgn val="ctr"/>
        <c:lblOffset val="100"/>
        <c:noMultiLvlLbl val="0"/>
      </c:catAx>
      <c:spPr>
        <a:noFill/>
        <a:ln>
          <a:solidFill>
            <a:schemeClr val="tx1"/>
          </a:solidFill>
        </a:ln>
        <a:effectLst/>
      </c:spPr>
    </c:plotArea>
    <c:legend>
      <c:legendPos val="b"/>
      <c:layout>
        <c:manualLayout>
          <c:xMode val="edge"/>
          <c:yMode val="edge"/>
          <c:x val="1.4284412365121108E-3"/>
          <c:y val="0.92323932266153541"/>
          <c:w val="0.99714311752697593"/>
          <c:h val="7.0388206412863363E-2"/>
        </c:manualLayout>
      </c:layout>
      <c:overlay val="0"/>
      <c:spPr>
        <a:noFill/>
        <a:ln>
          <a:solidFill>
            <a:schemeClr val="tx1"/>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subgroups'!$V$1</c:f>
              <c:strCache>
                <c:ptCount val="1"/>
                <c:pt idx="0">
                  <c:v>All Subgroups</c:v>
                </c:pt>
              </c:strCache>
            </c:strRef>
          </c:tx>
          <c:spPr>
            <a:solidFill>
              <a:srgbClr val="0C2577"/>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subgroups'!$V$2:$V$30</c:f>
              <c:numCache>
                <c:formatCode>0.0</c:formatCode>
                <c:ptCount val="29"/>
                <c:pt idx="1">
                  <c:v>0.36289909999999997</c:v>
                </c:pt>
              </c:numCache>
            </c:numRef>
          </c:val>
          <c:extLst>
            <c:ext xmlns:c16="http://schemas.microsoft.com/office/drawing/2014/chart" uri="{C3380CC4-5D6E-409C-BE32-E72D297353CC}">
              <c16:uniqueId val="{00000000-4E0F-4631-9BCD-451DB3C060B9}"/>
            </c:ext>
          </c:extLst>
        </c:ser>
        <c:ser>
          <c:idx val="1"/>
          <c:order val="1"/>
          <c:tx>
            <c:strRef>
              <c:f>'data subgroups'!$W$1</c:f>
              <c:strCache>
                <c:ptCount val="1"/>
                <c:pt idx="0">
                  <c:v>SmartAC Only</c:v>
                </c:pt>
              </c:strCache>
            </c:strRef>
          </c:tx>
          <c:spPr>
            <a:solidFill>
              <a:schemeClr val="accent2"/>
            </a:solidFill>
            <a:ln>
              <a:noFill/>
            </a:ln>
            <a:effectLst/>
          </c:spPr>
          <c:invertIfNegative val="0"/>
          <c:dPt>
            <c:idx val="3"/>
            <c:invertIfNegative val="0"/>
            <c:bubble3D val="0"/>
            <c:spPr>
              <a:solidFill>
                <a:srgbClr val="0C2577"/>
              </a:solidFill>
              <a:ln>
                <a:noFill/>
              </a:ln>
              <a:effectLst/>
            </c:spPr>
            <c:extLst>
              <c:ext xmlns:c16="http://schemas.microsoft.com/office/drawing/2014/chart" uri="{C3380CC4-5D6E-409C-BE32-E72D297353CC}">
                <c16:uniqueId val="{00000002-4E0F-4631-9BCD-451DB3C060B9}"/>
              </c:ext>
            </c:extLst>
          </c:dPt>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subgroups'!$W$2:$W$30</c:f>
              <c:numCache>
                <c:formatCode>General</c:formatCode>
                <c:ptCount val="29"/>
                <c:pt idx="3" formatCode="0.0">
                  <c:v>0.3692378</c:v>
                </c:pt>
              </c:numCache>
            </c:numRef>
          </c:val>
          <c:extLst>
            <c:ext xmlns:c16="http://schemas.microsoft.com/office/drawing/2014/chart" uri="{C3380CC4-5D6E-409C-BE32-E72D297353CC}">
              <c16:uniqueId val="{00000003-4E0F-4631-9BCD-451DB3C060B9}"/>
            </c:ext>
          </c:extLst>
        </c:ser>
        <c:ser>
          <c:idx val="2"/>
          <c:order val="2"/>
          <c:tx>
            <c:strRef>
              <c:f>'data subgroups'!$X$1</c:f>
              <c:strCache>
                <c:ptCount val="1"/>
                <c:pt idx="0">
                  <c:v>Dually Enrolled</c:v>
                </c:pt>
              </c:strCache>
            </c:strRef>
          </c:tx>
          <c:spPr>
            <a:solidFill>
              <a:schemeClr val="bg1">
                <a:lumMod val="65000"/>
              </a:schemeClr>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subgroups'!$X$2:$X$30</c:f>
              <c:numCache>
                <c:formatCode>General</c:formatCode>
                <c:ptCount val="29"/>
                <c:pt idx="4" formatCode="0.0">
                  <c:v>0.31032340000000003</c:v>
                </c:pt>
              </c:numCache>
            </c:numRef>
          </c:val>
          <c:extLst>
            <c:ext xmlns:c16="http://schemas.microsoft.com/office/drawing/2014/chart" uri="{C3380CC4-5D6E-409C-BE32-E72D297353CC}">
              <c16:uniqueId val="{00000004-4E0F-4631-9BCD-451DB3C060B9}"/>
            </c:ext>
          </c:extLst>
        </c:ser>
        <c:ser>
          <c:idx val="3"/>
          <c:order val="3"/>
          <c:tx>
            <c:strRef>
              <c:f>'data subgroups'!$Y$1</c:f>
              <c:strCache>
                <c:ptCount val="1"/>
                <c:pt idx="0">
                  <c:v>Old Customer</c:v>
                </c:pt>
              </c:strCache>
            </c:strRef>
          </c:tx>
          <c:spPr>
            <a:solidFill>
              <a:srgbClr val="0C2577"/>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subgroups'!$Y$2:$Y$30</c:f>
              <c:numCache>
                <c:formatCode>General</c:formatCode>
                <c:ptCount val="29"/>
                <c:pt idx="6" formatCode="0.0">
                  <c:v>0.33419529999999997</c:v>
                </c:pt>
              </c:numCache>
            </c:numRef>
          </c:val>
          <c:extLst>
            <c:ext xmlns:c16="http://schemas.microsoft.com/office/drawing/2014/chart" uri="{C3380CC4-5D6E-409C-BE32-E72D297353CC}">
              <c16:uniqueId val="{00000005-4E0F-4631-9BCD-451DB3C060B9}"/>
            </c:ext>
          </c:extLst>
        </c:ser>
        <c:ser>
          <c:idx val="4"/>
          <c:order val="4"/>
          <c:tx>
            <c:strRef>
              <c:f>'data subgroups'!$Z$1</c:f>
              <c:strCache>
                <c:ptCount val="1"/>
                <c:pt idx="0">
                  <c:v>New Customer</c:v>
                </c:pt>
              </c:strCache>
            </c:strRef>
          </c:tx>
          <c:spPr>
            <a:solidFill>
              <a:srgbClr val="0C2577"/>
            </a:solidFill>
            <a:ln>
              <a:noFill/>
            </a:ln>
            <a:effectLst/>
          </c:spPr>
          <c:invertIfNegative val="0"/>
          <c:dPt>
            <c:idx val="7"/>
            <c:invertIfNegative val="0"/>
            <c:bubble3D val="0"/>
            <c:spPr>
              <a:solidFill>
                <a:schemeClr val="bg1">
                  <a:lumMod val="65000"/>
                </a:schemeClr>
              </a:solidFill>
              <a:ln>
                <a:noFill/>
              </a:ln>
              <a:effectLst/>
            </c:spPr>
            <c:extLst>
              <c:ext xmlns:c16="http://schemas.microsoft.com/office/drawing/2014/chart" uri="{C3380CC4-5D6E-409C-BE32-E72D297353CC}">
                <c16:uniqueId val="{00000007-4E0F-4631-9BCD-451DB3C060B9}"/>
              </c:ext>
            </c:extLst>
          </c:dPt>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subgroups'!$Z$2:$Z$30</c:f>
              <c:numCache>
                <c:formatCode>General</c:formatCode>
                <c:ptCount val="29"/>
                <c:pt idx="7" formatCode="0.0">
                  <c:v>0.47773520000000003</c:v>
                </c:pt>
              </c:numCache>
            </c:numRef>
          </c:val>
          <c:extLst>
            <c:ext xmlns:c16="http://schemas.microsoft.com/office/drawing/2014/chart" uri="{C3380CC4-5D6E-409C-BE32-E72D297353CC}">
              <c16:uniqueId val="{00000008-4E0F-4631-9BCD-451DB3C060B9}"/>
            </c:ext>
          </c:extLst>
        </c:ser>
        <c:ser>
          <c:idx val="5"/>
          <c:order val="5"/>
          <c:tx>
            <c:strRef>
              <c:f>'data subgroups'!$AA$1</c:f>
              <c:strCache>
                <c:ptCount val="1"/>
                <c:pt idx="0">
                  <c:v>CARE</c:v>
                </c:pt>
              </c:strCache>
            </c:strRef>
          </c:tx>
          <c:spPr>
            <a:solidFill>
              <a:schemeClr val="accent6"/>
            </a:solidFill>
            <a:ln>
              <a:noFill/>
            </a:ln>
            <a:effectLst/>
          </c:spPr>
          <c:invertIfNegative val="0"/>
          <c:dPt>
            <c:idx val="9"/>
            <c:invertIfNegative val="0"/>
            <c:bubble3D val="0"/>
            <c:spPr>
              <a:solidFill>
                <a:srgbClr val="0C2577"/>
              </a:solidFill>
              <a:ln>
                <a:noFill/>
              </a:ln>
              <a:effectLst/>
            </c:spPr>
            <c:extLst>
              <c:ext xmlns:c16="http://schemas.microsoft.com/office/drawing/2014/chart" uri="{C3380CC4-5D6E-409C-BE32-E72D297353CC}">
                <c16:uniqueId val="{0000000A-4E0F-4631-9BCD-451DB3C060B9}"/>
              </c:ext>
            </c:extLst>
          </c:dPt>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subgroups'!$AA$2:$AA$30</c:f>
              <c:numCache>
                <c:formatCode>General</c:formatCode>
                <c:ptCount val="29"/>
                <c:pt idx="9" formatCode="0.0">
                  <c:v>0.41523470000000001</c:v>
                </c:pt>
              </c:numCache>
            </c:numRef>
          </c:val>
          <c:extLst>
            <c:ext xmlns:c16="http://schemas.microsoft.com/office/drawing/2014/chart" uri="{C3380CC4-5D6E-409C-BE32-E72D297353CC}">
              <c16:uniqueId val="{0000000B-4E0F-4631-9BCD-451DB3C060B9}"/>
            </c:ext>
          </c:extLst>
        </c:ser>
        <c:ser>
          <c:idx val="6"/>
          <c:order val="6"/>
          <c:tx>
            <c:strRef>
              <c:f>'data subgroups'!$AB$1</c:f>
              <c:strCache>
                <c:ptCount val="1"/>
                <c:pt idx="0">
                  <c:v>Non-CARE</c:v>
                </c:pt>
              </c:strCache>
            </c:strRef>
          </c:tx>
          <c:spPr>
            <a:solidFill>
              <a:schemeClr val="bg1">
                <a:lumMod val="65000"/>
              </a:schemeClr>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subgroups'!$AB$2:$AB$30</c:f>
              <c:numCache>
                <c:formatCode>General</c:formatCode>
                <c:ptCount val="29"/>
                <c:pt idx="10" formatCode="0.0">
                  <c:v>0.33634900000000001</c:v>
                </c:pt>
              </c:numCache>
            </c:numRef>
          </c:val>
          <c:extLst>
            <c:ext xmlns:c16="http://schemas.microsoft.com/office/drawing/2014/chart" uri="{C3380CC4-5D6E-409C-BE32-E72D297353CC}">
              <c16:uniqueId val="{0000000C-4E0F-4631-9BCD-451DB3C060B9}"/>
            </c:ext>
          </c:extLst>
        </c:ser>
        <c:ser>
          <c:idx val="7"/>
          <c:order val="7"/>
          <c:tx>
            <c:strRef>
              <c:f>'data subgroups'!$AC$1</c:f>
              <c:strCache>
                <c:ptCount val="1"/>
                <c:pt idx="0">
                  <c:v>NEM</c:v>
                </c:pt>
              </c:strCache>
            </c:strRef>
          </c:tx>
          <c:spPr>
            <a:solidFill>
              <a:srgbClr val="0C2577"/>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subgroups'!$AC$2:$AC$30</c:f>
              <c:numCache>
                <c:formatCode>General</c:formatCode>
                <c:ptCount val="29"/>
                <c:pt idx="12" formatCode="0.0">
                  <c:v>0.25294549999999999</c:v>
                </c:pt>
              </c:numCache>
            </c:numRef>
          </c:val>
          <c:extLst>
            <c:ext xmlns:c16="http://schemas.microsoft.com/office/drawing/2014/chart" uri="{C3380CC4-5D6E-409C-BE32-E72D297353CC}">
              <c16:uniqueId val="{0000000D-4E0F-4631-9BCD-451DB3C060B9}"/>
            </c:ext>
          </c:extLst>
        </c:ser>
        <c:ser>
          <c:idx val="8"/>
          <c:order val="8"/>
          <c:tx>
            <c:strRef>
              <c:f>'data subgroups'!$AD$1</c:f>
              <c:strCache>
                <c:ptCount val="1"/>
                <c:pt idx="0">
                  <c:v>Non-NEM</c:v>
                </c:pt>
              </c:strCache>
            </c:strRef>
          </c:tx>
          <c:spPr>
            <a:solidFill>
              <a:srgbClr val="0C2577"/>
            </a:solidFill>
            <a:ln>
              <a:noFill/>
            </a:ln>
            <a:effectLst/>
          </c:spPr>
          <c:invertIfNegative val="0"/>
          <c:dPt>
            <c:idx val="13"/>
            <c:invertIfNegative val="0"/>
            <c:bubble3D val="0"/>
            <c:spPr>
              <a:solidFill>
                <a:schemeClr val="bg1">
                  <a:lumMod val="65000"/>
                </a:schemeClr>
              </a:solidFill>
              <a:ln>
                <a:noFill/>
              </a:ln>
              <a:effectLst/>
            </c:spPr>
            <c:extLst>
              <c:ext xmlns:c16="http://schemas.microsoft.com/office/drawing/2014/chart" uri="{C3380CC4-5D6E-409C-BE32-E72D297353CC}">
                <c16:uniqueId val="{0000000F-4E0F-4631-9BCD-451DB3C060B9}"/>
              </c:ext>
            </c:extLst>
          </c:dPt>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subgroups'!$AD$2:$AD$30</c:f>
              <c:numCache>
                <c:formatCode>General</c:formatCode>
                <c:ptCount val="29"/>
                <c:pt idx="13" formatCode="0.0">
                  <c:v>0.39114769999999999</c:v>
                </c:pt>
              </c:numCache>
            </c:numRef>
          </c:val>
          <c:extLst>
            <c:ext xmlns:c16="http://schemas.microsoft.com/office/drawing/2014/chart" uri="{C3380CC4-5D6E-409C-BE32-E72D297353CC}">
              <c16:uniqueId val="{00000010-4E0F-4631-9BCD-451DB3C060B9}"/>
            </c:ext>
          </c:extLst>
        </c:ser>
        <c:ser>
          <c:idx val="9"/>
          <c:order val="9"/>
          <c:tx>
            <c:strRef>
              <c:f>'data subgroups'!$AE$1</c:f>
              <c:strCache>
                <c:ptCount val="1"/>
                <c:pt idx="0">
                  <c:v>Detached Residence</c:v>
                </c:pt>
              </c:strCache>
            </c:strRef>
          </c:tx>
          <c:spPr>
            <a:solidFill>
              <a:schemeClr val="accent4">
                <a:lumMod val="60000"/>
              </a:schemeClr>
            </a:solidFill>
            <a:ln>
              <a:noFill/>
            </a:ln>
            <a:effectLst/>
          </c:spPr>
          <c:invertIfNegative val="0"/>
          <c:dPt>
            <c:idx val="15"/>
            <c:invertIfNegative val="0"/>
            <c:bubble3D val="0"/>
            <c:spPr>
              <a:solidFill>
                <a:srgbClr val="0C2577"/>
              </a:solidFill>
              <a:ln>
                <a:noFill/>
              </a:ln>
              <a:effectLst/>
            </c:spPr>
            <c:extLst>
              <c:ext xmlns:c16="http://schemas.microsoft.com/office/drawing/2014/chart" uri="{C3380CC4-5D6E-409C-BE32-E72D297353CC}">
                <c16:uniqueId val="{00000012-4E0F-4631-9BCD-451DB3C060B9}"/>
              </c:ext>
            </c:extLst>
          </c:dPt>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subgroups'!$AE$2:$AE$30</c:f>
              <c:numCache>
                <c:formatCode>General</c:formatCode>
                <c:ptCount val="29"/>
                <c:pt idx="15" formatCode="0.0">
                  <c:v>0.36400890000000002</c:v>
                </c:pt>
              </c:numCache>
            </c:numRef>
          </c:val>
          <c:extLst>
            <c:ext xmlns:c16="http://schemas.microsoft.com/office/drawing/2014/chart" uri="{C3380CC4-5D6E-409C-BE32-E72D297353CC}">
              <c16:uniqueId val="{00000013-4E0F-4631-9BCD-451DB3C060B9}"/>
            </c:ext>
          </c:extLst>
        </c:ser>
        <c:ser>
          <c:idx val="10"/>
          <c:order val="10"/>
          <c:tx>
            <c:strRef>
              <c:f>'data subgroups'!$AF$1</c:f>
              <c:strCache>
                <c:ptCount val="1"/>
                <c:pt idx="0">
                  <c:v>Shared Wall Residence</c:v>
                </c:pt>
              </c:strCache>
            </c:strRef>
          </c:tx>
          <c:spPr>
            <a:solidFill>
              <a:schemeClr val="bg1">
                <a:lumMod val="65000"/>
              </a:schemeClr>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subgroups'!$AF$2:$AF$30</c:f>
              <c:numCache>
                <c:formatCode>General</c:formatCode>
                <c:ptCount val="29"/>
                <c:pt idx="16" formatCode="0.0">
                  <c:v>0.34139069999999999</c:v>
                </c:pt>
              </c:numCache>
            </c:numRef>
          </c:val>
          <c:extLst>
            <c:ext xmlns:c16="http://schemas.microsoft.com/office/drawing/2014/chart" uri="{C3380CC4-5D6E-409C-BE32-E72D297353CC}">
              <c16:uniqueId val="{00000014-4E0F-4631-9BCD-451DB3C060B9}"/>
            </c:ext>
          </c:extLst>
        </c:ser>
        <c:ser>
          <c:idx val="11"/>
          <c:order val="11"/>
          <c:tx>
            <c:strRef>
              <c:f>'data subgroups'!$AG$1</c:f>
              <c:strCache>
                <c:ptCount val="1"/>
                <c:pt idx="0">
                  <c:v>Low A/C</c:v>
                </c:pt>
              </c:strCache>
            </c:strRef>
          </c:tx>
          <c:spPr>
            <a:solidFill>
              <a:srgbClr val="0C2577"/>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subgroups'!$AG$2:$AG$30</c:f>
              <c:numCache>
                <c:formatCode>General</c:formatCode>
                <c:ptCount val="29"/>
                <c:pt idx="18" formatCode="0.0">
                  <c:v>0.21053939999999999</c:v>
                </c:pt>
              </c:numCache>
            </c:numRef>
          </c:val>
          <c:extLst>
            <c:ext xmlns:c16="http://schemas.microsoft.com/office/drawing/2014/chart" uri="{C3380CC4-5D6E-409C-BE32-E72D297353CC}">
              <c16:uniqueId val="{00000015-4E0F-4631-9BCD-451DB3C060B9}"/>
            </c:ext>
          </c:extLst>
        </c:ser>
        <c:ser>
          <c:idx val="12"/>
          <c:order val="12"/>
          <c:tx>
            <c:strRef>
              <c:f>'data subgroups'!$AH$1</c:f>
              <c:strCache>
                <c:ptCount val="1"/>
                <c:pt idx="0">
                  <c:v>Medium A/C</c:v>
                </c:pt>
              </c:strCache>
            </c:strRef>
          </c:tx>
          <c:spPr>
            <a:solidFill>
              <a:schemeClr val="bg1">
                <a:lumMod val="65000"/>
              </a:schemeClr>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subgroups'!$AH$2:$AH$30</c:f>
              <c:numCache>
                <c:formatCode>General</c:formatCode>
                <c:ptCount val="29"/>
                <c:pt idx="19" formatCode="0.0">
                  <c:v>0.26305580000000001</c:v>
                </c:pt>
              </c:numCache>
            </c:numRef>
          </c:val>
          <c:extLst>
            <c:ext xmlns:c16="http://schemas.microsoft.com/office/drawing/2014/chart" uri="{C3380CC4-5D6E-409C-BE32-E72D297353CC}">
              <c16:uniqueId val="{00000016-4E0F-4631-9BCD-451DB3C060B9}"/>
            </c:ext>
          </c:extLst>
        </c:ser>
        <c:ser>
          <c:idx val="13"/>
          <c:order val="13"/>
          <c:tx>
            <c:strRef>
              <c:f>'data subgroups'!$AI$1</c:f>
              <c:strCache>
                <c:ptCount val="1"/>
                <c:pt idx="0">
                  <c:v>High A/C</c:v>
                </c:pt>
              </c:strCache>
            </c:strRef>
          </c:tx>
          <c:spPr>
            <a:solidFill>
              <a:srgbClr val="0C2577"/>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subgroups'!$AI$2:$AI$30</c:f>
              <c:numCache>
                <c:formatCode>General</c:formatCode>
                <c:ptCount val="29"/>
                <c:pt idx="20" formatCode="0.0">
                  <c:v>0.47620810000000002</c:v>
                </c:pt>
              </c:numCache>
            </c:numRef>
          </c:val>
          <c:extLst>
            <c:ext xmlns:c16="http://schemas.microsoft.com/office/drawing/2014/chart" uri="{C3380CC4-5D6E-409C-BE32-E72D297353CC}">
              <c16:uniqueId val="{00000017-4E0F-4631-9BCD-451DB3C060B9}"/>
            </c:ext>
          </c:extLst>
        </c:ser>
        <c:ser>
          <c:idx val="14"/>
          <c:order val="14"/>
          <c:tx>
            <c:strRef>
              <c:f>'data subgroups'!$AJ$1</c:f>
              <c:strCache>
                <c:ptCount val="1"/>
                <c:pt idx="0">
                  <c:v>Single Device</c:v>
                </c:pt>
              </c:strCache>
            </c:strRef>
          </c:tx>
          <c:spPr>
            <a:solidFill>
              <a:srgbClr val="0C2577"/>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subgroups'!$AJ$2:$AJ$30</c:f>
              <c:numCache>
                <c:formatCode>General</c:formatCode>
                <c:ptCount val="29"/>
                <c:pt idx="22" formatCode="0.0">
                  <c:v>0.37317699999999998</c:v>
                </c:pt>
              </c:numCache>
            </c:numRef>
          </c:val>
          <c:extLst>
            <c:ext xmlns:c16="http://schemas.microsoft.com/office/drawing/2014/chart" uri="{C3380CC4-5D6E-409C-BE32-E72D297353CC}">
              <c16:uniqueId val="{00000018-4E0F-4631-9BCD-451DB3C060B9}"/>
            </c:ext>
          </c:extLst>
        </c:ser>
        <c:ser>
          <c:idx val="15"/>
          <c:order val="15"/>
          <c:tx>
            <c:strRef>
              <c:f>'data subgroups'!$AK$1</c:f>
              <c:strCache>
                <c:ptCount val="1"/>
                <c:pt idx="0">
                  <c:v>Multiple Devices</c:v>
                </c:pt>
              </c:strCache>
            </c:strRef>
          </c:tx>
          <c:spPr>
            <a:solidFill>
              <a:schemeClr val="bg1">
                <a:lumMod val="65000"/>
              </a:schemeClr>
            </a:solidFill>
            <a:ln>
              <a:noFill/>
            </a:ln>
            <a:effectLst/>
          </c:spPr>
          <c:invertIfNegative val="0"/>
          <c:dPt>
            <c:idx val="19"/>
            <c:invertIfNegative val="0"/>
            <c:bubble3D val="0"/>
            <c:spPr>
              <a:solidFill>
                <a:srgbClr val="0C2577"/>
              </a:solidFill>
              <a:ln>
                <a:noFill/>
              </a:ln>
              <a:effectLst/>
            </c:spPr>
            <c:extLst>
              <c:ext xmlns:c16="http://schemas.microsoft.com/office/drawing/2014/chart" uri="{C3380CC4-5D6E-409C-BE32-E72D297353CC}">
                <c16:uniqueId val="{0000001A-4E0F-4631-9BCD-451DB3C060B9}"/>
              </c:ext>
            </c:extLst>
          </c:dPt>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subgroups'!$AK$2:$AK$30</c:f>
              <c:numCache>
                <c:formatCode>General</c:formatCode>
                <c:ptCount val="29"/>
                <c:pt idx="23" formatCode="0.0">
                  <c:v>0.3016759</c:v>
                </c:pt>
              </c:numCache>
            </c:numRef>
          </c:val>
          <c:extLst>
            <c:ext xmlns:c16="http://schemas.microsoft.com/office/drawing/2014/chart" uri="{C3380CC4-5D6E-409C-BE32-E72D297353CC}">
              <c16:uniqueId val="{0000001B-4E0F-4631-9BCD-451DB3C060B9}"/>
            </c:ext>
          </c:extLst>
        </c:ser>
        <c:ser>
          <c:idx val="16"/>
          <c:order val="16"/>
          <c:tx>
            <c:strRef>
              <c:f>'data subgroups'!$AL$1</c:f>
              <c:strCache>
                <c:ptCount val="1"/>
                <c:pt idx="0">
                  <c:v>ExpressStat</c:v>
                </c:pt>
              </c:strCache>
            </c:strRef>
          </c:tx>
          <c:spPr>
            <a:solidFill>
              <a:srgbClr val="0C2577"/>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subgroups'!$AL$2:$AL$30</c:f>
              <c:numCache>
                <c:formatCode>General</c:formatCode>
                <c:ptCount val="29"/>
                <c:pt idx="25" formatCode="0.0">
                  <c:v>2.8288399999999998E-2</c:v>
                </c:pt>
              </c:numCache>
            </c:numRef>
          </c:val>
          <c:extLst>
            <c:ext xmlns:c16="http://schemas.microsoft.com/office/drawing/2014/chart" uri="{C3380CC4-5D6E-409C-BE32-E72D297353CC}">
              <c16:uniqueId val="{0000001C-4E0F-4631-9BCD-451DB3C060B9}"/>
            </c:ext>
          </c:extLst>
        </c:ser>
        <c:ser>
          <c:idx val="17"/>
          <c:order val="17"/>
          <c:tx>
            <c:strRef>
              <c:f>'data subgroups'!$AM$1</c:f>
              <c:strCache>
                <c:ptCount val="1"/>
                <c:pt idx="0">
                  <c:v>UtilityPro</c:v>
                </c:pt>
              </c:strCache>
            </c:strRef>
          </c:tx>
          <c:spPr>
            <a:solidFill>
              <a:schemeClr val="accent3"/>
            </a:solidFill>
            <a:ln>
              <a:noFill/>
            </a:ln>
            <a:effectLst/>
          </c:spPr>
          <c:invertIfNegative val="0"/>
          <c:dPt>
            <c:idx val="25"/>
            <c:invertIfNegative val="0"/>
            <c:bubble3D val="0"/>
            <c:spPr>
              <a:solidFill>
                <a:schemeClr val="accent3"/>
              </a:solidFill>
              <a:ln>
                <a:noFill/>
              </a:ln>
              <a:effectLst/>
            </c:spPr>
            <c:extLst>
              <c:ext xmlns:c16="http://schemas.microsoft.com/office/drawing/2014/chart" uri="{C3380CC4-5D6E-409C-BE32-E72D297353CC}">
                <c16:uniqueId val="{0000001E-4E0F-4631-9BCD-451DB3C060B9}"/>
              </c:ext>
            </c:extLst>
          </c:dPt>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subgroups'!$AM$2:$AM$30</c:f>
              <c:numCache>
                <c:formatCode>General</c:formatCode>
                <c:ptCount val="29"/>
                <c:pt idx="26" formatCode="0.0">
                  <c:v>0.1094823</c:v>
                </c:pt>
              </c:numCache>
            </c:numRef>
          </c:val>
          <c:extLst>
            <c:ext xmlns:c16="http://schemas.microsoft.com/office/drawing/2014/chart" uri="{C3380CC4-5D6E-409C-BE32-E72D297353CC}">
              <c16:uniqueId val="{0000001F-4E0F-4631-9BCD-451DB3C060B9}"/>
            </c:ext>
          </c:extLst>
        </c:ser>
        <c:ser>
          <c:idx val="18"/>
          <c:order val="18"/>
          <c:tx>
            <c:strRef>
              <c:f>'data subgroups'!$AN$1</c:f>
              <c:strCache>
                <c:ptCount val="1"/>
                <c:pt idx="0">
                  <c:v>Gen 1 Switch</c:v>
                </c:pt>
              </c:strCache>
            </c:strRef>
          </c:tx>
          <c:spPr>
            <a:solidFill>
              <a:srgbClr val="0C2577"/>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subgroups'!$AN$2:$AN$30</c:f>
              <c:numCache>
                <c:formatCode>General</c:formatCode>
                <c:ptCount val="29"/>
                <c:pt idx="27" formatCode="0.0">
                  <c:v>0.35611809999999999</c:v>
                </c:pt>
              </c:numCache>
            </c:numRef>
          </c:val>
          <c:extLst>
            <c:ext xmlns:c16="http://schemas.microsoft.com/office/drawing/2014/chart" uri="{C3380CC4-5D6E-409C-BE32-E72D297353CC}">
              <c16:uniqueId val="{00000020-4E0F-4631-9BCD-451DB3C060B9}"/>
            </c:ext>
          </c:extLst>
        </c:ser>
        <c:ser>
          <c:idx val="19"/>
          <c:order val="19"/>
          <c:tx>
            <c:strRef>
              <c:f>'data subgroups'!$AO$1</c:f>
              <c:strCache>
                <c:ptCount val="1"/>
                <c:pt idx="0">
                  <c:v>Gen 2 Switch</c:v>
                </c:pt>
              </c:strCache>
            </c:strRef>
          </c:tx>
          <c:spPr>
            <a:solidFill>
              <a:schemeClr val="accent3"/>
            </a:solidFill>
            <a:ln>
              <a:noFill/>
            </a:ln>
            <a:effectLst/>
          </c:spPr>
          <c:invertIfNegative val="0"/>
          <c:errBars>
            <c:errBarType val="both"/>
            <c:errValType val="cust"/>
            <c:noEndCap val="0"/>
            <c:pl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plus>
            <c:minus>
              <c:numRef>
                <c:f>'data subgroups'!$AR$2:$AR$31</c:f>
                <c:numCache>
                  <c:formatCode>General</c:formatCode>
                  <c:ptCount val="30"/>
                  <c:pt idx="1">
                    <c:v>3.9864000000000011E-3</c:v>
                  </c:pt>
                  <c:pt idx="3">
                    <c:v>4.4106999999999896E-3</c:v>
                  </c:pt>
                  <c:pt idx="4">
                    <c:v>9.8260999999999488E-3</c:v>
                  </c:pt>
                  <c:pt idx="6">
                    <c:v>4.4482000000000133E-3</c:v>
                  </c:pt>
                  <c:pt idx="7">
                    <c:v>8.943999999999952E-3</c:v>
                  </c:pt>
                  <c:pt idx="9">
                    <c:v>6.8224000000000062E-3</c:v>
                  </c:pt>
                  <c:pt idx="10">
                    <c:v>4.909600000000014E-3</c:v>
                  </c:pt>
                  <c:pt idx="12">
                    <c:v>7.1267999999999887E-3</c:v>
                  </c:pt>
                  <c:pt idx="13">
                    <c:v>4.6803000000000261E-3</c:v>
                  </c:pt>
                  <c:pt idx="15">
                    <c:v>4.1006999999999572E-3</c:v>
                  </c:pt>
                  <c:pt idx="16">
                    <c:v>1.6717700000000002E-2</c:v>
                  </c:pt>
                  <c:pt idx="18">
                    <c:v>1.067280000000001E-2</c:v>
                  </c:pt>
                  <c:pt idx="19">
                    <c:v>6.5612999999999921E-3</c:v>
                  </c:pt>
                  <c:pt idx="20">
                    <c:v>6.0046999999999739E-3</c:v>
                  </c:pt>
                  <c:pt idx="22">
                    <c:v>4.1905000000000414E-3</c:v>
                  </c:pt>
                  <c:pt idx="23">
                    <c:v>1.521450000000002E-2</c:v>
                  </c:pt>
                  <c:pt idx="25">
                    <c:v>4.6652400000000004E-2</c:v>
                  </c:pt>
                  <c:pt idx="26">
                    <c:v>1.6967599999999999E-2</c:v>
                  </c:pt>
                  <c:pt idx="27">
                    <c:v>4.8206000000000082E-3</c:v>
                  </c:pt>
                  <c:pt idx="28">
                    <c:v>8.3964000000000261E-3</c:v>
                  </c:pt>
                </c:numCache>
              </c:numRef>
            </c:minus>
            <c:spPr>
              <a:noFill/>
              <a:ln w="25400" cap="flat" cmpd="sng" algn="ctr">
                <a:solidFill>
                  <a:srgbClr val="92D050"/>
                </a:solidFill>
                <a:round/>
              </a:ln>
              <a:effectLst/>
            </c:spPr>
          </c:errBars>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subgroups'!$AO$2:$AO$30</c:f>
              <c:numCache>
                <c:formatCode>General</c:formatCode>
                <c:ptCount val="29"/>
                <c:pt idx="28" formatCode="0.0">
                  <c:v>0.47101539999999997</c:v>
                </c:pt>
              </c:numCache>
            </c:numRef>
          </c:val>
          <c:extLst>
            <c:ext xmlns:c16="http://schemas.microsoft.com/office/drawing/2014/chart" uri="{C3380CC4-5D6E-409C-BE32-E72D297353CC}">
              <c16:uniqueId val="{00000021-4E0F-4631-9BCD-451DB3C060B9}"/>
            </c:ext>
          </c:extLst>
        </c:ser>
        <c:dLbls>
          <c:showLegendKey val="0"/>
          <c:showVal val="0"/>
          <c:showCatName val="0"/>
          <c:showSerName val="0"/>
          <c:showPercent val="0"/>
          <c:showBubbleSize val="0"/>
        </c:dLbls>
        <c:gapWidth val="0"/>
        <c:overlap val="100"/>
        <c:axId val="1683459040"/>
        <c:axId val="1629902624"/>
      </c:barChart>
      <c:lineChart>
        <c:grouping val="standard"/>
        <c:varyColors val="0"/>
        <c:ser>
          <c:idx val="22"/>
          <c:order val="21"/>
          <c:tx>
            <c:strRef>
              <c:f>'data subgroups'!$AQ$1</c:f>
              <c:strCache>
                <c:ptCount val="1"/>
                <c:pt idx="0">
                  <c:v>Overall</c:v>
                </c:pt>
              </c:strCache>
            </c:strRef>
          </c:tx>
          <c:spPr>
            <a:ln w="12700" cap="rnd">
              <a:solidFill>
                <a:schemeClr val="tx1"/>
              </a:solidFill>
              <a:prstDash val="dash"/>
              <a:round/>
            </a:ln>
            <a:effectLst/>
          </c:spPr>
          <c:marker>
            <c:symbol val="none"/>
          </c:marker>
          <c:cat>
            <c:multiLvlStrRef>
              <c:f>'data subgroups'!$T$2:$U$30</c:f>
              <c:multiLvlStrCache>
                <c:ptCount val="29"/>
                <c:lvl>
                  <c:pt idx="1">
                    <c:v>All Subgroups</c:v>
                  </c:pt>
                  <c:pt idx="3">
                    <c:v>SmartAC Only</c:v>
                  </c:pt>
                  <c:pt idx="4">
                    <c:v>Dually Enrolled</c:v>
                  </c:pt>
                  <c:pt idx="6">
                    <c:v>Old Customer</c:v>
                  </c:pt>
                  <c:pt idx="7">
                    <c:v>New Customer</c:v>
                  </c:pt>
                  <c:pt idx="9">
                    <c:v>CARE</c:v>
                  </c:pt>
                  <c:pt idx="10">
                    <c:v>Non-CARE</c:v>
                  </c:pt>
                  <c:pt idx="12">
                    <c:v>NEM</c:v>
                  </c:pt>
                  <c:pt idx="13">
                    <c:v>Non-NEM</c:v>
                  </c:pt>
                  <c:pt idx="15">
                    <c:v>Detached Residence</c:v>
                  </c:pt>
                  <c:pt idx="16">
                    <c:v>Shared Wall Residence</c:v>
                  </c:pt>
                  <c:pt idx="18">
                    <c:v>Low A/C</c:v>
                  </c:pt>
                  <c:pt idx="19">
                    <c:v>Medium A/C</c:v>
                  </c:pt>
                  <c:pt idx="20">
                    <c:v>High A/C</c:v>
                  </c:pt>
                  <c:pt idx="22">
                    <c:v>Single Device</c:v>
                  </c:pt>
                  <c:pt idx="23">
                    <c:v>Multiple Devices</c:v>
                  </c:pt>
                  <c:pt idx="25">
                    <c:v>ExpressStat</c:v>
                  </c:pt>
                  <c:pt idx="26">
                    <c:v>UtilityPro</c:v>
                  </c:pt>
                  <c:pt idx="27">
                    <c:v>Gen 1 Switch</c:v>
                  </c:pt>
                  <c:pt idx="28">
                    <c:v>Gen 2 Switch</c:v>
                  </c:pt>
                </c:lvl>
                <c:lvl>
                  <c:pt idx="0">
                    <c:v>All</c:v>
                  </c:pt>
                  <c:pt idx="2">
                    <c:v>Dual</c:v>
                  </c:pt>
                  <c:pt idx="5">
                    <c:v>Cohort</c:v>
                  </c:pt>
                  <c:pt idx="8">
                    <c:v>CARE</c:v>
                  </c:pt>
                  <c:pt idx="11">
                    <c:v>NEM</c:v>
                  </c:pt>
                  <c:pt idx="14">
                    <c:v>Housing</c:v>
                  </c:pt>
                  <c:pt idx="17">
                    <c:v>AC level</c:v>
                  </c:pt>
                  <c:pt idx="21">
                    <c:v>No. Devices</c:v>
                  </c:pt>
                  <c:pt idx="24">
                    <c:v>Device Type</c:v>
                  </c:pt>
                </c:lvl>
              </c:multiLvlStrCache>
            </c:multiLvlStrRef>
          </c:cat>
          <c:val>
            <c:numRef>
              <c:f>'data subgroups'!$AQ$2:$AQ$30</c:f>
              <c:numCache>
                <c:formatCode>0.0</c:formatCode>
                <c:ptCount val="29"/>
                <c:pt idx="1">
                  <c:v>0.36289909999999997</c:v>
                </c:pt>
                <c:pt idx="3">
                  <c:v>0.36289909999999997</c:v>
                </c:pt>
                <c:pt idx="4">
                  <c:v>0.36289909999999997</c:v>
                </c:pt>
                <c:pt idx="6">
                  <c:v>0.36289909999999997</c:v>
                </c:pt>
                <c:pt idx="7">
                  <c:v>0.36289909999999997</c:v>
                </c:pt>
                <c:pt idx="9">
                  <c:v>0.36289909999999997</c:v>
                </c:pt>
                <c:pt idx="10">
                  <c:v>0.36289909999999997</c:v>
                </c:pt>
                <c:pt idx="12">
                  <c:v>0.36289909999999997</c:v>
                </c:pt>
                <c:pt idx="13">
                  <c:v>0.36289909999999997</c:v>
                </c:pt>
                <c:pt idx="15">
                  <c:v>0.36289909999999997</c:v>
                </c:pt>
                <c:pt idx="16">
                  <c:v>0.36289909999999997</c:v>
                </c:pt>
                <c:pt idx="18">
                  <c:v>0.36289909999999997</c:v>
                </c:pt>
                <c:pt idx="19">
                  <c:v>0.36289909999999997</c:v>
                </c:pt>
                <c:pt idx="20">
                  <c:v>0.36289909999999997</c:v>
                </c:pt>
                <c:pt idx="22">
                  <c:v>0.36289909999999997</c:v>
                </c:pt>
                <c:pt idx="23">
                  <c:v>0.36289909999999997</c:v>
                </c:pt>
                <c:pt idx="25">
                  <c:v>0.36289909999999997</c:v>
                </c:pt>
                <c:pt idx="26">
                  <c:v>0.36289909999999997</c:v>
                </c:pt>
                <c:pt idx="27">
                  <c:v>0.36289909999999997</c:v>
                </c:pt>
                <c:pt idx="28">
                  <c:v>0.36289909999999997</c:v>
                </c:pt>
              </c:numCache>
            </c:numRef>
          </c:val>
          <c:smooth val="0"/>
          <c:extLst>
            <c:ext xmlns:c16="http://schemas.microsoft.com/office/drawing/2014/chart" uri="{C3380CC4-5D6E-409C-BE32-E72D297353CC}">
              <c16:uniqueId val="{00000022-4E0F-4631-9BCD-451DB3C060B9}"/>
            </c:ext>
          </c:extLst>
        </c:ser>
        <c:dLbls>
          <c:showLegendKey val="0"/>
          <c:showVal val="0"/>
          <c:showCatName val="0"/>
          <c:showSerName val="0"/>
          <c:showPercent val="0"/>
          <c:showBubbleSize val="0"/>
        </c:dLbls>
        <c:marker val="1"/>
        <c:smooth val="0"/>
        <c:axId val="1683459040"/>
        <c:axId val="1629902624"/>
      </c:lineChart>
      <c:lineChart>
        <c:grouping val="standard"/>
        <c:varyColors val="0"/>
        <c:ser>
          <c:idx val="21"/>
          <c:order val="20"/>
          <c:tx>
            <c:strRef>
              <c:f>'data subgroups'!$AP$1</c:f>
              <c:strCache>
                <c:ptCount val="1"/>
                <c:pt idx="0">
                  <c:v>Event Temp</c:v>
                </c:pt>
              </c:strCache>
            </c:strRef>
          </c:tx>
          <c:spPr>
            <a:ln w="28575" cap="rnd">
              <a:solidFill>
                <a:schemeClr val="accent2"/>
              </a:solidFill>
              <a:round/>
            </a:ln>
            <a:effectLst/>
          </c:spPr>
          <c:marker>
            <c:symbol val="none"/>
          </c:marker>
          <c:cat>
            <c:multiLvlStrRef>
              <c:f>'data subgroups'!$T$3:$U$30</c:f>
              <c:multiLvlStrCache>
                <c:ptCount val="28"/>
                <c:lvl>
                  <c:pt idx="0">
                    <c:v>All Subgroups</c:v>
                  </c:pt>
                  <c:pt idx="2">
                    <c:v>SmartAC Only</c:v>
                  </c:pt>
                  <c:pt idx="3">
                    <c:v>Dually Enrolled</c:v>
                  </c:pt>
                  <c:pt idx="5">
                    <c:v>Old Customer</c:v>
                  </c:pt>
                  <c:pt idx="6">
                    <c:v>New Customer</c:v>
                  </c:pt>
                  <c:pt idx="8">
                    <c:v>CARE</c:v>
                  </c:pt>
                  <c:pt idx="9">
                    <c:v>Non-CARE</c:v>
                  </c:pt>
                  <c:pt idx="11">
                    <c:v>NEM</c:v>
                  </c:pt>
                  <c:pt idx="12">
                    <c:v>Non-NEM</c:v>
                  </c:pt>
                  <c:pt idx="14">
                    <c:v>Detached Residence</c:v>
                  </c:pt>
                  <c:pt idx="15">
                    <c:v>Shared Wall Residence</c:v>
                  </c:pt>
                  <c:pt idx="17">
                    <c:v>Low A/C</c:v>
                  </c:pt>
                  <c:pt idx="18">
                    <c:v>Medium A/C</c:v>
                  </c:pt>
                  <c:pt idx="19">
                    <c:v>High A/C</c:v>
                  </c:pt>
                  <c:pt idx="21">
                    <c:v>Single Device</c:v>
                  </c:pt>
                  <c:pt idx="22">
                    <c:v>Multiple Devices</c:v>
                  </c:pt>
                  <c:pt idx="24">
                    <c:v>ExpressStat</c:v>
                  </c:pt>
                  <c:pt idx="25">
                    <c:v>UtilityPro</c:v>
                  </c:pt>
                  <c:pt idx="26">
                    <c:v>Gen 1 Switch</c:v>
                  </c:pt>
                  <c:pt idx="27">
                    <c:v>Gen 2 Switch</c:v>
                  </c:pt>
                </c:lvl>
                <c:lvl>
                  <c:pt idx="1">
                    <c:v>Dual</c:v>
                  </c:pt>
                  <c:pt idx="4">
                    <c:v>Cohort</c:v>
                  </c:pt>
                  <c:pt idx="7">
                    <c:v>CARE</c:v>
                  </c:pt>
                  <c:pt idx="10">
                    <c:v>NEM</c:v>
                  </c:pt>
                  <c:pt idx="13">
                    <c:v>Housing</c:v>
                  </c:pt>
                  <c:pt idx="16">
                    <c:v>AC level</c:v>
                  </c:pt>
                  <c:pt idx="20">
                    <c:v>No. Devices</c:v>
                  </c:pt>
                  <c:pt idx="23">
                    <c:v>Device Type</c:v>
                  </c:pt>
                </c:lvl>
              </c:multiLvlStrCache>
            </c:multiLvlStrRef>
          </c:cat>
          <c:val>
            <c:numRef>
              <c:f>'data subgroups'!$AP$2:$AP$30</c:f>
              <c:numCache>
                <c:formatCode>0</c:formatCode>
                <c:ptCount val="29"/>
                <c:pt idx="1">
                  <c:v>98.667060000000006</c:v>
                </c:pt>
                <c:pt idx="3">
                  <c:v>98.587860000000006</c:v>
                </c:pt>
                <c:pt idx="4">
                  <c:v>99.089309999999998</c:v>
                </c:pt>
                <c:pt idx="6">
                  <c:v>98.548479999999998</c:v>
                </c:pt>
                <c:pt idx="7">
                  <c:v>99.14143</c:v>
                </c:pt>
                <c:pt idx="9">
                  <c:v>100.488</c:v>
                </c:pt>
                <c:pt idx="10">
                  <c:v>97.746769999999998</c:v>
                </c:pt>
                <c:pt idx="12">
                  <c:v>98.601159999999993</c:v>
                </c:pt>
                <c:pt idx="13">
                  <c:v>98.685569999999998</c:v>
                </c:pt>
                <c:pt idx="15">
                  <c:v>98.708460000000002</c:v>
                </c:pt>
                <c:pt idx="16">
                  <c:v>97.838809999999995</c:v>
                </c:pt>
                <c:pt idx="18">
                  <c:v>96.400639999999996</c:v>
                </c:pt>
                <c:pt idx="19">
                  <c:v>98.251949999999994</c:v>
                </c:pt>
                <c:pt idx="20">
                  <c:v>99.794989999999999</c:v>
                </c:pt>
                <c:pt idx="22">
                  <c:v>98.693659999999994</c:v>
                </c:pt>
                <c:pt idx="23">
                  <c:v>98.173280000000005</c:v>
                </c:pt>
                <c:pt idx="25">
                  <c:v>100.6857</c:v>
                </c:pt>
                <c:pt idx="26">
                  <c:v>99.039860000000004</c:v>
                </c:pt>
                <c:pt idx="27">
                  <c:v>98.421840000000003</c:v>
                </c:pt>
                <c:pt idx="28">
                  <c:v>99.16722</c:v>
                </c:pt>
              </c:numCache>
            </c:numRef>
          </c:val>
          <c:smooth val="0"/>
          <c:extLst>
            <c:ext xmlns:c16="http://schemas.microsoft.com/office/drawing/2014/chart" uri="{C3380CC4-5D6E-409C-BE32-E72D297353CC}">
              <c16:uniqueId val="{00000023-4E0F-4631-9BCD-451DB3C060B9}"/>
            </c:ext>
          </c:extLst>
        </c:ser>
        <c:dLbls>
          <c:showLegendKey val="0"/>
          <c:showVal val="0"/>
          <c:showCatName val="0"/>
          <c:showSerName val="0"/>
          <c:showPercent val="0"/>
          <c:showBubbleSize val="0"/>
        </c:dLbls>
        <c:marker val="1"/>
        <c:smooth val="0"/>
        <c:axId val="440090031"/>
        <c:axId val="515967327"/>
      </c:lineChart>
      <c:catAx>
        <c:axId val="1683459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29902624"/>
        <c:crosses val="autoZero"/>
        <c:auto val="1"/>
        <c:lblAlgn val="ctr"/>
        <c:lblOffset val="100"/>
        <c:noMultiLvlLbl val="0"/>
      </c:catAx>
      <c:valAx>
        <c:axId val="16299026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Average HE 18 Load Impact (kWh/customer/hr)</a:t>
                </a:r>
                <a:endParaRPr lang="en-US" sz="1100">
                  <a:effectLst/>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83459040"/>
        <c:crosses val="autoZero"/>
        <c:crossBetween val="between"/>
      </c:valAx>
      <c:valAx>
        <c:axId val="515967327"/>
        <c:scaling>
          <c:orientation val="minMax"/>
          <c:max val="120"/>
          <c:min val="0"/>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Average Event-hour Temperature (°F)</a:t>
                </a:r>
                <a:endParaRPr lang="en-US" sz="1100">
                  <a:effectLst/>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40090031"/>
        <c:crosses val="max"/>
        <c:crossBetween val="between"/>
      </c:valAx>
      <c:catAx>
        <c:axId val="440090031"/>
        <c:scaling>
          <c:orientation val="minMax"/>
        </c:scaling>
        <c:delete val="1"/>
        <c:axPos val="b"/>
        <c:numFmt formatCode="General" sourceLinked="1"/>
        <c:majorTickMark val="out"/>
        <c:minorTickMark val="none"/>
        <c:tickLblPos val="nextTo"/>
        <c:crossAx val="515967327"/>
        <c:crosses val="autoZero"/>
        <c:auto val="1"/>
        <c:lblAlgn val="ctr"/>
        <c:lblOffset val="100"/>
        <c:noMultiLvlLbl val="0"/>
      </c:catAx>
      <c:spPr>
        <a:noFill/>
        <a:ln w="9525">
          <a:solidFill>
            <a:schemeClr val="tx1"/>
          </a:solid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3"/>
          <c:tx>
            <c:strRef>
              <c:f>Data!$L$2</c:f>
              <c:strCache>
                <c:ptCount val="1"/>
                <c:pt idx="0">
                  <c:v>RA Window</c:v>
                </c:pt>
              </c:strCache>
            </c:strRef>
          </c:tx>
          <c:spPr>
            <a:solidFill>
              <a:schemeClr val="accent5">
                <a:lumMod val="40000"/>
                <a:lumOff val="60000"/>
                <a:alpha val="50000"/>
              </a:schemeClr>
            </a:solidFill>
            <a:ln>
              <a:noFill/>
            </a:ln>
            <a:effectLst/>
          </c:spPr>
          <c:invertIfNegative val="0"/>
          <c:dPt>
            <c:idx val="14"/>
            <c:invertIfNegative val="0"/>
            <c:bubble3D val="0"/>
            <c:spPr>
              <a:solidFill>
                <a:schemeClr val="accent5">
                  <a:lumMod val="40000"/>
                  <a:lumOff val="60000"/>
                  <a:alpha val="50000"/>
                </a:schemeClr>
              </a:solidFill>
              <a:ln>
                <a:noFill/>
              </a:ln>
              <a:effectLst/>
            </c:spPr>
            <c:extLst>
              <c:ext xmlns:c16="http://schemas.microsoft.com/office/drawing/2014/chart" uri="{C3380CC4-5D6E-409C-BE32-E72D297353CC}">
                <c16:uniqueId val="{00000001-B134-4CC8-B55E-2EE3A7BE5B38}"/>
              </c:ext>
            </c:extLst>
          </c:dPt>
          <c:dPt>
            <c:idx val="15"/>
            <c:invertIfNegative val="0"/>
            <c:bubble3D val="0"/>
            <c:spPr>
              <a:solidFill>
                <a:schemeClr val="accent5">
                  <a:lumMod val="40000"/>
                  <a:lumOff val="60000"/>
                  <a:alpha val="50000"/>
                </a:schemeClr>
              </a:solidFill>
              <a:ln>
                <a:noFill/>
              </a:ln>
              <a:effectLst/>
            </c:spPr>
            <c:extLst>
              <c:ext xmlns:c16="http://schemas.microsoft.com/office/drawing/2014/chart" uri="{C3380CC4-5D6E-409C-BE32-E72D297353CC}">
                <c16:uniqueId val="{00000003-B134-4CC8-B55E-2EE3A7BE5B38}"/>
              </c:ext>
            </c:extLst>
          </c:dPt>
          <c:dPt>
            <c:idx val="16"/>
            <c:invertIfNegative val="0"/>
            <c:bubble3D val="0"/>
            <c:spPr>
              <a:solidFill>
                <a:schemeClr val="accent5">
                  <a:lumMod val="40000"/>
                  <a:lumOff val="60000"/>
                  <a:alpha val="50000"/>
                </a:schemeClr>
              </a:solidFill>
              <a:ln>
                <a:noFill/>
              </a:ln>
              <a:effectLst/>
            </c:spPr>
            <c:extLst>
              <c:ext xmlns:c16="http://schemas.microsoft.com/office/drawing/2014/chart" uri="{C3380CC4-5D6E-409C-BE32-E72D297353CC}">
                <c16:uniqueId val="{00000005-B134-4CC8-B55E-2EE3A7BE5B38}"/>
              </c:ext>
            </c:extLst>
          </c:dPt>
          <c:dPt>
            <c:idx val="17"/>
            <c:invertIfNegative val="0"/>
            <c:bubble3D val="0"/>
            <c:spPr>
              <a:solidFill>
                <a:schemeClr val="accent5">
                  <a:lumMod val="40000"/>
                  <a:lumOff val="60000"/>
                  <a:alpha val="50000"/>
                </a:schemeClr>
              </a:solidFill>
              <a:ln>
                <a:noFill/>
              </a:ln>
              <a:effectLst/>
            </c:spPr>
            <c:extLst>
              <c:ext xmlns:c16="http://schemas.microsoft.com/office/drawing/2014/chart" uri="{C3380CC4-5D6E-409C-BE32-E72D297353CC}">
                <c16:uniqueId val="{00000007-B134-4CC8-B55E-2EE3A7BE5B38}"/>
              </c:ext>
            </c:extLst>
          </c:dPt>
          <c:val>
            <c:numRef>
              <c:f>Data!$L$3:$L$26</c:f>
              <c:numCache>
                <c:formatCode>General</c:formatCode>
                <c:ptCount val="24"/>
                <c:pt idx="16" formatCode="#,##0">
                  <c:v>250</c:v>
                </c:pt>
                <c:pt idx="17" formatCode="#,##0">
                  <c:v>250</c:v>
                </c:pt>
                <c:pt idx="18" formatCode="#,##0">
                  <c:v>250</c:v>
                </c:pt>
                <c:pt idx="19" formatCode="#,##0">
                  <c:v>250</c:v>
                </c:pt>
                <c:pt idx="20" formatCode="#,##0">
                  <c:v>250</c:v>
                </c:pt>
              </c:numCache>
            </c:numRef>
          </c:val>
          <c:extLst>
            <c:ext xmlns:c16="http://schemas.microsoft.com/office/drawing/2014/chart" uri="{C3380CC4-5D6E-409C-BE32-E72D297353CC}">
              <c16:uniqueId val="{00000008-B134-4CC8-B55E-2EE3A7BE5B38}"/>
            </c:ext>
          </c:extLst>
        </c:ser>
        <c:dLbls>
          <c:showLegendKey val="0"/>
          <c:showVal val="0"/>
          <c:showCatName val="0"/>
          <c:showSerName val="0"/>
          <c:showPercent val="0"/>
          <c:showBubbleSize val="0"/>
        </c:dLbls>
        <c:gapWidth val="0"/>
        <c:axId val="961637680"/>
        <c:axId val="929931504"/>
      </c:barChart>
      <c:lineChart>
        <c:grouping val="standard"/>
        <c:varyColors val="0"/>
        <c:ser>
          <c:idx val="3"/>
          <c:order val="0"/>
          <c:tx>
            <c:strRef>
              <c:f>Data!$I$2</c:f>
              <c:strCache>
                <c:ptCount val="1"/>
                <c:pt idx="0">
                  <c:v>Reference</c:v>
                </c:pt>
              </c:strCache>
            </c:strRef>
          </c:tx>
          <c:spPr>
            <a:ln w="28575" cap="rnd">
              <a:solidFill>
                <a:schemeClr val="accent5"/>
              </a:solidFill>
              <a:round/>
            </a:ln>
            <a:effectLst/>
          </c:spPr>
          <c:marker>
            <c:symbol val="none"/>
          </c:marker>
          <c:cat>
            <c:numRef>
              <c:f>Data!$H$3:$H$26</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Data!$I$3:$I$26</c:f>
              <c:numCache>
                <c:formatCode>#,##0.0</c:formatCode>
                <c:ptCount val="24"/>
                <c:pt idx="0">
                  <c:v>92.922470000000004</c:v>
                </c:pt>
                <c:pt idx="1">
                  <c:v>79.059129999999996</c:v>
                </c:pt>
                <c:pt idx="2">
                  <c:v>69.87012</c:v>
                </c:pt>
                <c:pt idx="3">
                  <c:v>64.041439999999994</c:v>
                </c:pt>
                <c:pt idx="4">
                  <c:v>61.393059999999998</c:v>
                </c:pt>
                <c:pt idx="5">
                  <c:v>61.724530000000001</c:v>
                </c:pt>
                <c:pt idx="6">
                  <c:v>65.072389999999999</c:v>
                </c:pt>
                <c:pt idx="7">
                  <c:v>65.700329999999994</c:v>
                </c:pt>
                <c:pt idx="8">
                  <c:v>62.662640000000003</c:v>
                </c:pt>
                <c:pt idx="9">
                  <c:v>59.993920000000003</c:v>
                </c:pt>
                <c:pt idx="10">
                  <c:v>61.732869999999998</c:v>
                </c:pt>
                <c:pt idx="11">
                  <c:v>70.153170000000003</c:v>
                </c:pt>
                <c:pt idx="12">
                  <c:v>86.912700000000001</c:v>
                </c:pt>
                <c:pt idx="13">
                  <c:v>110.5689</c:v>
                </c:pt>
                <c:pt idx="14">
                  <c:v>140.36670000000001</c:v>
                </c:pt>
                <c:pt idx="15">
                  <c:v>175.73330000000001</c:v>
                </c:pt>
                <c:pt idx="16">
                  <c:v>210.30430000000001</c:v>
                </c:pt>
                <c:pt idx="17">
                  <c:v>235.97110000000001</c:v>
                </c:pt>
                <c:pt idx="18">
                  <c:v>240.46690000000001</c:v>
                </c:pt>
                <c:pt idx="19">
                  <c:v>224.13460000000001</c:v>
                </c:pt>
                <c:pt idx="20">
                  <c:v>200.38800000000001</c:v>
                </c:pt>
                <c:pt idx="21">
                  <c:v>177.22120000000001</c:v>
                </c:pt>
                <c:pt idx="22">
                  <c:v>144.40379999999999</c:v>
                </c:pt>
                <c:pt idx="23">
                  <c:v>114.84910000000001</c:v>
                </c:pt>
              </c:numCache>
            </c:numRef>
          </c:val>
          <c:smooth val="0"/>
          <c:extLst>
            <c:ext xmlns:c16="http://schemas.microsoft.com/office/drawing/2014/chart" uri="{C3380CC4-5D6E-409C-BE32-E72D297353CC}">
              <c16:uniqueId val="{00000009-B134-4CC8-B55E-2EE3A7BE5B38}"/>
            </c:ext>
          </c:extLst>
        </c:ser>
        <c:ser>
          <c:idx val="0"/>
          <c:order val="1"/>
          <c:tx>
            <c:strRef>
              <c:f>Data!$J$2</c:f>
              <c:strCache>
                <c:ptCount val="1"/>
                <c:pt idx="0">
                  <c:v>Observed</c:v>
                </c:pt>
              </c:strCache>
            </c:strRef>
          </c:tx>
          <c:spPr>
            <a:ln w="28575" cap="rnd">
              <a:solidFill>
                <a:schemeClr val="accent2"/>
              </a:solidFill>
              <a:prstDash val="dash"/>
              <a:round/>
            </a:ln>
            <a:effectLst/>
          </c:spPr>
          <c:marker>
            <c:symbol val="none"/>
          </c:marker>
          <c:cat>
            <c:numRef>
              <c:f>Data!$H$3:$H$26</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Data!$J$3:$J$26</c:f>
              <c:numCache>
                <c:formatCode>#,##0.0</c:formatCode>
                <c:ptCount val="24"/>
                <c:pt idx="0">
                  <c:v>92.922460000000001</c:v>
                </c:pt>
                <c:pt idx="1">
                  <c:v>79.059129999999996</c:v>
                </c:pt>
                <c:pt idx="2">
                  <c:v>69.87012</c:v>
                </c:pt>
                <c:pt idx="3">
                  <c:v>64.041439999999994</c:v>
                </c:pt>
                <c:pt idx="4">
                  <c:v>61.393059999999998</c:v>
                </c:pt>
                <c:pt idx="5">
                  <c:v>61.724530000000001</c:v>
                </c:pt>
                <c:pt idx="6">
                  <c:v>65.072389999999999</c:v>
                </c:pt>
                <c:pt idx="7">
                  <c:v>65.700329999999994</c:v>
                </c:pt>
                <c:pt idx="8">
                  <c:v>62.662640000000003</c:v>
                </c:pt>
                <c:pt idx="9">
                  <c:v>59.993920000000003</c:v>
                </c:pt>
                <c:pt idx="10">
                  <c:v>61.732869999999998</c:v>
                </c:pt>
                <c:pt idx="11">
                  <c:v>70.153170000000003</c:v>
                </c:pt>
                <c:pt idx="12">
                  <c:v>86.912700000000001</c:v>
                </c:pt>
                <c:pt idx="13">
                  <c:v>110.5689</c:v>
                </c:pt>
                <c:pt idx="14">
                  <c:v>140.36670000000001</c:v>
                </c:pt>
                <c:pt idx="15">
                  <c:v>175.73330000000001</c:v>
                </c:pt>
                <c:pt idx="16">
                  <c:v>150.82560000000001</c:v>
                </c:pt>
                <c:pt idx="17">
                  <c:v>176.35720000000001</c:v>
                </c:pt>
                <c:pt idx="18">
                  <c:v>182.6891</c:v>
                </c:pt>
                <c:pt idx="19">
                  <c:v>178.9119</c:v>
                </c:pt>
                <c:pt idx="20">
                  <c:v>171.94120000000001</c:v>
                </c:pt>
                <c:pt idx="21">
                  <c:v>200.6713</c:v>
                </c:pt>
                <c:pt idx="22">
                  <c:v>170.37469999999999</c:v>
                </c:pt>
                <c:pt idx="23">
                  <c:v>130.88820000000001</c:v>
                </c:pt>
              </c:numCache>
            </c:numRef>
          </c:val>
          <c:smooth val="0"/>
          <c:extLst>
            <c:ext xmlns:c16="http://schemas.microsoft.com/office/drawing/2014/chart" uri="{C3380CC4-5D6E-409C-BE32-E72D297353CC}">
              <c16:uniqueId val="{0000000A-B134-4CC8-B55E-2EE3A7BE5B38}"/>
            </c:ext>
          </c:extLst>
        </c:ser>
        <c:ser>
          <c:idx val="1"/>
          <c:order val="2"/>
          <c:tx>
            <c:strRef>
              <c:f>Data!$K$2</c:f>
              <c:strCache>
                <c:ptCount val="1"/>
                <c:pt idx="0">
                  <c:v>Load_Impact</c:v>
                </c:pt>
              </c:strCache>
            </c:strRef>
          </c:tx>
          <c:spPr>
            <a:ln w="28575" cap="rnd">
              <a:solidFill>
                <a:srgbClr val="92D050"/>
              </a:solidFill>
              <a:round/>
            </a:ln>
            <a:effectLst/>
          </c:spPr>
          <c:marker>
            <c:symbol val="square"/>
            <c:size val="5"/>
            <c:spPr>
              <a:solidFill>
                <a:srgbClr val="92D050"/>
              </a:solidFill>
              <a:ln w="9525">
                <a:noFill/>
              </a:ln>
              <a:effectLst/>
            </c:spPr>
          </c:marker>
          <c:val>
            <c:numRef>
              <c:f>Data!$K$3:$K$26</c:f>
              <c:numCache>
                <c:formatCode>#,##0.0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59.478664999999999</c:v>
                </c:pt>
                <c:pt idx="17">
                  <c:v>59.613923</c:v>
                </c:pt>
                <c:pt idx="18">
                  <c:v>57.777822999999998</c:v>
                </c:pt>
                <c:pt idx="19">
                  <c:v>45.222709999999999</c:v>
                </c:pt>
                <c:pt idx="20">
                  <c:v>28.446746000000001</c:v>
                </c:pt>
                <c:pt idx="21">
                  <c:v>-23.450026999999999</c:v>
                </c:pt>
                <c:pt idx="22">
                  <c:v>-25.970918999999999</c:v>
                </c:pt>
                <c:pt idx="23">
                  <c:v>-16.039110000000001</c:v>
                </c:pt>
              </c:numCache>
            </c:numRef>
          </c:val>
          <c:smooth val="0"/>
          <c:extLst>
            <c:ext xmlns:c16="http://schemas.microsoft.com/office/drawing/2014/chart" uri="{C3380CC4-5D6E-409C-BE32-E72D297353CC}">
              <c16:uniqueId val="{0000000B-B134-4CC8-B55E-2EE3A7BE5B38}"/>
            </c:ext>
          </c:extLst>
        </c:ser>
        <c:dLbls>
          <c:showLegendKey val="0"/>
          <c:showVal val="0"/>
          <c:showCatName val="0"/>
          <c:showSerName val="0"/>
          <c:showPercent val="0"/>
          <c:showBubbleSize val="0"/>
        </c:dLbls>
        <c:marker val="1"/>
        <c:smooth val="0"/>
        <c:axId val="961637680"/>
        <c:axId val="929931504"/>
      </c:lineChart>
      <c:catAx>
        <c:axId val="9616376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Hour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29931504"/>
        <c:crosses val="autoZero"/>
        <c:auto val="1"/>
        <c:lblAlgn val="ctr"/>
        <c:lblOffset val="100"/>
        <c:noMultiLvlLbl val="0"/>
      </c:catAx>
      <c:valAx>
        <c:axId val="929931504"/>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Load (MWh/hr)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61637680"/>
        <c:crosses val="autoZero"/>
        <c:crossBetween val="between"/>
      </c:valAx>
      <c:spPr>
        <a:noFill/>
        <a:ln w="0">
          <a:solidFill>
            <a:schemeClr val="tx1"/>
          </a:solidFill>
        </a:ln>
        <a:effectLst/>
      </c:spPr>
    </c:plotArea>
    <c:legend>
      <c:legendPos val="b"/>
      <c:overlay val="0"/>
      <c:spPr>
        <a:noFill/>
        <a:ln w="0">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9E77F-04CC-4140-994C-D5FFB8737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54</Pages>
  <Words>14491</Words>
  <Characters>82605</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96903</CharactersWithSpaces>
  <SharedDoc>false</SharedDoc>
  <HLinks>
    <vt:vector size="1026" baseType="variant">
      <vt:variant>
        <vt:i4>1966134</vt:i4>
      </vt:variant>
      <vt:variant>
        <vt:i4>1022</vt:i4>
      </vt:variant>
      <vt:variant>
        <vt:i4>0</vt:i4>
      </vt:variant>
      <vt:variant>
        <vt:i4>5</vt:i4>
      </vt:variant>
      <vt:variant>
        <vt:lpwstr/>
      </vt:variant>
      <vt:variant>
        <vt:lpwstr>_Toc380052037</vt:lpwstr>
      </vt:variant>
      <vt:variant>
        <vt:i4>1966134</vt:i4>
      </vt:variant>
      <vt:variant>
        <vt:i4>1016</vt:i4>
      </vt:variant>
      <vt:variant>
        <vt:i4>0</vt:i4>
      </vt:variant>
      <vt:variant>
        <vt:i4>5</vt:i4>
      </vt:variant>
      <vt:variant>
        <vt:lpwstr/>
      </vt:variant>
      <vt:variant>
        <vt:lpwstr>_Toc380052036</vt:lpwstr>
      </vt:variant>
      <vt:variant>
        <vt:i4>1966134</vt:i4>
      </vt:variant>
      <vt:variant>
        <vt:i4>1010</vt:i4>
      </vt:variant>
      <vt:variant>
        <vt:i4>0</vt:i4>
      </vt:variant>
      <vt:variant>
        <vt:i4>5</vt:i4>
      </vt:variant>
      <vt:variant>
        <vt:lpwstr/>
      </vt:variant>
      <vt:variant>
        <vt:lpwstr>_Toc380052035</vt:lpwstr>
      </vt:variant>
      <vt:variant>
        <vt:i4>1966134</vt:i4>
      </vt:variant>
      <vt:variant>
        <vt:i4>1004</vt:i4>
      </vt:variant>
      <vt:variant>
        <vt:i4>0</vt:i4>
      </vt:variant>
      <vt:variant>
        <vt:i4>5</vt:i4>
      </vt:variant>
      <vt:variant>
        <vt:lpwstr/>
      </vt:variant>
      <vt:variant>
        <vt:lpwstr>_Toc380052034</vt:lpwstr>
      </vt:variant>
      <vt:variant>
        <vt:i4>1966134</vt:i4>
      </vt:variant>
      <vt:variant>
        <vt:i4>998</vt:i4>
      </vt:variant>
      <vt:variant>
        <vt:i4>0</vt:i4>
      </vt:variant>
      <vt:variant>
        <vt:i4>5</vt:i4>
      </vt:variant>
      <vt:variant>
        <vt:lpwstr/>
      </vt:variant>
      <vt:variant>
        <vt:lpwstr>_Toc380052033</vt:lpwstr>
      </vt:variant>
      <vt:variant>
        <vt:i4>1966134</vt:i4>
      </vt:variant>
      <vt:variant>
        <vt:i4>992</vt:i4>
      </vt:variant>
      <vt:variant>
        <vt:i4>0</vt:i4>
      </vt:variant>
      <vt:variant>
        <vt:i4>5</vt:i4>
      </vt:variant>
      <vt:variant>
        <vt:lpwstr/>
      </vt:variant>
      <vt:variant>
        <vt:lpwstr>_Toc380052032</vt:lpwstr>
      </vt:variant>
      <vt:variant>
        <vt:i4>1966134</vt:i4>
      </vt:variant>
      <vt:variant>
        <vt:i4>986</vt:i4>
      </vt:variant>
      <vt:variant>
        <vt:i4>0</vt:i4>
      </vt:variant>
      <vt:variant>
        <vt:i4>5</vt:i4>
      </vt:variant>
      <vt:variant>
        <vt:lpwstr/>
      </vt:variant>
      <vt:variant>
        <vt:lpwstr>_Toc380052031</vt:lpwstr>
      </vt:variant>
      <vt:variant>
        <vt:i4>1966134</vt:i4>
      </vt:variant>
      <vt:variant>
        <vt:i4>980</vt:i4>
      </vt:variant>
      <vt:variant>
        <vt:i4>0</vt:i4>
      </vt:variant>
      <vt:variant>
        <vt:i4>5</vt:i4>
      </vt:variant>
      <vt:variant>
        <vt:lpwstr/>
      </vt:variant>
      <vt:variant>
        <vt:lpwstr>_Toc380052030</vt:lpwstr>
      </vt:variant>
      <vt:variant>
        <vt:i4>2031670</vt:i4>
      </vt:variant>
      <vt:variant>
        <vt:i4>974</vt:i4>
      </vt:variant>
      <vt:variant>
        <vt:i4>0</vt:i4>
      </vt:variant>
      <vt:variant>
        <vt:i4>5</vt:i4>
      </vt:variant>
      <vt:variant>
        <vt:lpwstr/>
      </vt:variant>
      <vt:variant>
        <vt:lpwstr>_Toc380052029</vt:lpwstr>
      </vt:variant>
      <vt:variant>
        <vt:i4>2031670</vt:i4>
      </vt:variant>
      <vt:variant>
        <vt:i4>968</vt:i4>
      </vt:variant>
      <vt:variant>
        <vt:i4>0</vt:i4>
      </vt:variant>
      <vt:variant>
        <vt:i4>5</vt:i4>
      </vt:variant>
      <vt:variant>
        <vt:lpwstr/>
      </vt:variant>
      <vt:variant>
        <vt:lpwstr>_Toc380052028</vt:lpwstr>
      </vt:variant>
      <vt:variant>
        <vt:i4>2031670</vt:i4>
      </vt:variant>
      <vt:variant>
        <vt:i4>962</vt:i4>
      </vt:variant>
      <vt:variant>
        <vt:i4>0</vt:i4>
      </vt:variant>
      <vt:variant>
        <vt:i4>5</vt:i4>
      </vt:variant>
      <vt:variant>
        <vt:lpwstr/>
      </vt:variant>
      <vt:variant>
        <vt:lpwstr>_Toc380052027</vt:lpwstr>
      </vt:variant>
      <vt:variant>
        <vt:i4>2031670</vt:i4>
      </vt:variant>
      <vt:variant>
        <vt:i4>956</vt:i4>
      </vt:variant>
      <vt:variant>
        <vt:i4>0</vt:i4>
      </vt:variant>
      <vt:variant>
        <vt:i4>5</vt:i4>
      </vt:variant>
      <vt:variant>
        <vt:lpwstr/>
      </vt:variant>
      <vt:variant>
        <vt:lpwstr>_Toc380052026</vt:lpwstr>
      </vt:variant>
      <vt:variant>
        <vt:i4>2031670</vt:i4>
      </vt:variant>
      <vt:variant>
        <vt:i4>950</vt:i4>
      </vt:variant>
      <vt:variant>
        <vt:i4>0</vt:i4>
      </vt:variant>
      <vt:variant>
        <vt:i4>5</vt:i4>
      </vt:variant>
      <vt:variant>
        <vt:lpwstr/>
      </vt:variant>
      <vt:variant>
        <vt:lpwstr>_Toc380052025</vt:lpwstr>
      </vt:variant>
      <vt:variant>
        <vt:i4>2031670</vt:i4>
      </vt:variant>
      <vt:variant>
        <vt:i4>944</vt:i4>
      </vt:variant>
      <vt:variant>
        <vt:i4>0</vt:i4>
      </vt:variant>
      <vt:variant>
        <vt:i4>5</vt:i4>
      </vt:variant>
      <vt:variant>
        <vt:lpwstr/>
      </vt:variant>
      <vt:variant>
        <vt:lpwstr>_Toc380052024</vt:lpwstr>
      </vt:variant>
      <vt:variant>
        <vt:i4>2031670</vt:i4>
      </vt:variant>
      <vt:variant>
        <vt:i4>938</vt:i4>
      </vt:variant>
      <vt:variant>
        <vt:i4>0</vt:i4>
      </vt:variant>
      <vt:variant>
        <vt:i4>5</vt:i4>
      </vt:variant>
      <vt:variant>
        <vt:lpwstr/>
      </vt:variant>
      <vt:variant>
        <vt:lpwstr>_Toc380052023</vt:lpwstr>
      </vt:variant>
      <vt:variant>
        <vt:i4>2031670</vt:i4>
      </vt:variant>
      <vt:variant>
        <vt:i4>932</vt:i4>
      </vt:variant>
      <vt:variant>
        <vt:i4>0</vt:i4>
      </vt:variant>
      <vt:variant>
        <vt:i4>5</vt:i4>
      </vt:variant>
      <vt:variant>
        <vt:lpwstr/>
      </vt:variant>
      <vt:variant>
        <vt:lpwstr>_Toc380052022</vt:lpwstr>
      </vt:variant>
      <vt:variant>
        <vt:i4>2031670</vt:i4>
      </vt:variant>
      <vt:variant>
        <vt:i4>926</vt:i4>
      </vt:variant>
      <vt:variant>
        <vt:i4>0</vt:i4>
      </vt:variant>
      <vt:variant>
        <vt:i4>5</vt:i4>
      </vt:variant>
      <vt:variant>
        <vt:lpwstr/>
      </vt:variant>
      <vt:variant>
        <vt:lpwstr>_Toc380052021</vt:lpwstr>
      </vt:variant>
      <vt:variant>
        <vt:i4>2031670</vt:i4>
      </vt:variant>
      <vt:variant>
        <vt:i4>920</vt:i4>
      </vt:variant>
      <vt:variant>
        <vt:i4>0</vt:i4>
      </vt:variant>
      <vt:variant>
        <vt:i4>5</vt:i4>
      </vt:variant>
      <vt:variant>
        <vt:lpwstr/>
      </vt:variant>
      <vt:variant>
        <vt:lpwstr>_Toc380052020</vt:lpwstr>
      </vt:variant>
      <vt:variant>
        <vt:i4>1835062</vt:i4>
      </vt:variant>
      <vt:variant>
        <vt:i4>914</vt:i4>
      </vt:variant>
      <vt:variant>
        <vt:i4>0</vt:i4>
      </vt:variant>
      <vt:variant>
        <vt:i4>5</vt:i4>
      </vt:variant>
      <vt:variant>
        <vt:lpwstr/>
      </vt:variant>
      <vt:variant>
        <vt:lpwstr>_Toc380052019</vt:lpwstr>
      </vt:variant>
      <vt:variant>
        <vt:i4>1835062</vt:i4>
      </vt:variant>
      <vt:variant>
        <vt:i4>908</vt:i4>
      </vt:variant>
      <vt:variant>
        <vt:i4>0</vt:i4>
      </vt:variant>
      <vt:variant>
        <vt:i4>5</vt:i4>
      </vt:variant>
      <vt:variant>
        <vt:lpwstr/>
      </vt:variant>
      <vt:variant>
        <vt:lpwstr>_Toc380052018</vt:lpwstr>
      </vt:variant>
      <vt:variant>
        <vt:i4>1835062</vt:i4>
      </vt:variant>
      <vt:variant>
        <vt:i4>902</vt:i4>
      </vt:variant>
      <vt:variant>
        <vt:i4>0</vt:i4>
      </vt:variant>
      <vt:variant>
        <vt:i4>5</vt:i4>
      </vt:variant>
      <vt:variant>
        <vt:lpwstr/>
      </vt:variant>
      <vt:variant>
        <vt:lpwstr>_Toc380052017</vt:lpwstr>
      </vt:variant>
      <vt:variant>
        <vt:i4>1835062</vt:i4>
      </vt:variant>
      <vt:variant>
        <vt:i4>896</vt:i4>
      </vt:variant>
      <vt:variant>
        <vt:i4>0</vt:i4>
      </vt:variant>
      <vt:variant>
        <vt:i4>5</vt:i4>
      </vt:variant>
      <vt:variant>
        <vt:lpwstr/>
      </vt:variant>
      <vt:variant>
        <vt:lpwstr>_Toc380052016</vt:lpwstr>
      </vt:variant>
      <vt:variant>
        <vt:i4>1835062</vt:i4>
      </vt:variant>
      <vt:variant>
        <vt:i4>890</vt:i4>
      </vt:variant>
      <vt:variant>
        <vt:i4>0</vt:i4>
      </vt:variant>
      <vt:variant>
        <vt:i4>5</vt:i4>
      </vt:variant>
      <vt:variant>
        <vt:lpwstr/>
      </vt:variant>
      <vt:variant>
        <vt:lpwstr>_Toc380052015</vt:lpwstr>
      </vt:variant>
      <vt:variant>
        <vt:i4>1835062</vt:i4>
      </vt:variant>
      <vt:variant>
        <vt:i4>884</vt:i4>
      </vt:variant>
      <vt:variant>
        <vt:i4>0</vt:i4>
      </vt:variant>
      <vt:variant>
        <vt:i4>5</vt:i4>
      </vt:variant>
      <vt:variant>
        <vt:lpwstr/>
      </vt:variant>
      <vt:variant>
        <vt:lpwstr>_Toc380052014</vt:lpwstr>
      </vt:variant>
      <vt:variant>
        <vt:i4>1835062</vt:i4>
      </vt:variant>
      <vt:variant>
        <vt:i4>878</vt:i4>
      </vt:variant>
      <vt:variant>
        <vt:i4>0</vt:i4>
      </vt:variant>
      <vt:variant>
        <vt:i4>5</vt:i4>
      </vt:variant>
      <vt:variant>
        <vt:lpwstr/>
      </vt:variant>
      <vt:variant>
        <vt:lpwstr>_Toc380052013</vt:lpwstr>
      </vt:variant>
      <vt:variant>
        <vt:i4>1835062</vt:i4>
      </vt:variant>
      <vt:variant>
        <vt:i4>872</vt:i4>
      </vt:variant>
      <vt:variant>
        <vt:i4>0</vt:i4>
      </vt:variant>
      <vt:variant>
        <vt:i4>5</vt:i4>
      </vt:variant>
      <vt:variant>
        <vt:lpwstr/>
      </vt:variant>
      <vt:variant>
        <vt:lpwstr>_Toc380052012</vt:lpwstr>
      </vt:variant>
      <vt:variant>
        <vt:i4>1835062</vt:i4>
      </vt:variant>
      <vt:variant>
        <vt:i4>866</vt:i4>
      </vt:variant>
      <vt:variant>
        <vt:i4>0</vt:i4>
      </vt:variant>
      <vt:variant>
        <vt:i4>5</vt:i4>
      </vt:variant>
      <vt:variant>
        <vt:lpwstr/>
      </vt:variant>
      <vt:variant>
        <vt:lpwstr>_Toc380052011</vt:lpwstr>
      </vt:variant>
      <vt:variant>
        <vt:i4>1835062</vt:i4>
      </vt:variant>
      <vt:variant>
        <vt:i4>860</vt:i4>
      </vt:variant>
      <vt:variant>
        <vt:i4>0</vt:i4>
      </vt:variant>
      <vt:variant>
        <vt:i4>5</vt:i4>
      </vt:variant>
      <vt:variant>
        <vt:lpwstr/>
      </vt:variant>
      <vt:variant>
        <vt:lpwstr>_Toc380052010</vt:lpwstr>
      </vt:variant>
      <vt:variant>
        <vt:i4>1900598</vt:i4>
      </vt:variant>
      <vt:variant>
        <vt:i4>854</vt:i4>
      </vt:variant>
      <vt:variant>
        <vt:i4>0</vt:i4>
      </vt:variant>
      <vt:variant>
        <vt:i4>5</vt:i4>
      </vt:variant>
      <vt:variant>
        <vt:lpwstr/>
      </vt:variant>
      <vt:variant>
        <vt:lpwstr>_Toc380052009</vt:lpwstr>
      </vt:variant>
      <vt:variant>
        <vt:i4>1900598</vt:i4>
      </vt:variant>
      <vt:variant>
        <vt:i4>848</vt:i4>
      </vt:variant>
      <vt:variant>
        <vt:i4>0</vt:i4>
      </vt:variant>
      <vt:variant>
        <vt:i4>5</vt:i4>
      </vt:variant>
      <vt:variant>
        <vt:lpwstr/>
      </vt:variant>
      <vt:variant>
        <vt:lpwstr>_Toc380052008</vt:lpwstr>
      </vt:variant>
      <vt:variant>
        <vt:i4>1900598</vt:i4>
      </vt:variant>
      <vt:variant>
        <vt:i4>842</vt:i4>
      </vt:variant>
      <vt:variant>
        <vt:i4>0</vt:i4>
      </vt:variant>
      <vt:variant>
        <vt:i4>5</vt:i4>
      </vt:variant>
      <vt:variant>
        <vt:lpwstr/>
      </vt:variant>
      <vt:variant>
        <vt:lpwstr>_Toc380052007</vt:lpwstr>
      </vt:variant>
      <vt:variant>
        <vt:i4>1900598</vt:i4>
      </vt:variant>
      <vt:variant>
        <vt:i4>836</vt:i4>
      </vt:variant>
      <vt:variant>
        <vt:i4>0</vt:i4>
      </vt:variant>
      <vt:variant>
        <vt:i4>5</vt:i4>
      </vt:variant>
      <vt:variant>
        <vt:lpwstr/>
      </vt:variant>
      <vt:variant>
        <vt:lpwstr>_Toc380052006</vt:lpwstr>
      </vt:variant>
      <vt:variant>
        <vt:i4>1900598</vt:i4>
      </vt:variant>
      <vt:variant>
        <vt:i4>830</vt:i4>
      </vt:variant>
      <vt:variant>
        <vt:i4>0</vt:i4>
      </vt:variant>
      <vt:variant>
        <vt:i4>5</vt:i4>
      </vt:variant>
      <vt:variant>
        <vt:lpwstr/>
      </vt:variant>
      <vt:variant>
        <vt:lpwstr>_Toc380052005</vt:lpwstr>
      </vt:variant>
      <vt:variant>
        <vt:i4>1900598</vt:i4>
      </vt:variant>
      <vt:variant>
        <vt:i4>824</vt:i4>
      </vt:variant>
      <vt:variant>
        <vt:i4>0</vt:i4>
      </vt:variant>
      <vt:variant>
        <vt:i4>5</vt:i4>
      </vt:variant>
      <vt:variant>
        <vt:lpwstr/>
      </vt:variant>
      <vt:variant>
        <vt:lpwstr>_Toc380052004</vt:lpwstr>
      </vt:variant>
      <vt:variant>
        <vt:i4>1900598</vt:i4>
      </vt:variant>
      <vt:variant>
        <vt:i4>818</vt:i4>
      </vt:variant>
      <vt:variant>
        <vt:i4>0</vt:i4>
      </vt:variant>
      <vt:variant>
        <vt:i4>5</vt:i4>
      </vt:variant>
      <vt:variant>
        <vt:lpwstr/>
      </vt:variant>
      <vt:variant>
        <vt:lpwstr>_Toc380052003</vt:lpwstr>
      </vt:variant>
      <vt:variant>
        <vt:i4>1572927</vt:i4>
      </vt:variant>
      <vt:variant>
        <vt:i4>809</vt:i4>
      </vt:variant>
      <vt:variant>
        <vt:i4>0</vt:i4>
      </vt:variant>
      <vt:variant>
        <vt:i4>5</vt:i4>
      </vt:variant>
      <vt:variant>
        <vt:lpwstr/>
      </vt:variant>
      <vt:variant>
        <vt:lpwstr>_Toc380051966</vt:lpwstr>
      </vt:variant>
      <vt:variant>
        <vt:i4>1572927</vt:i4>
      </vt:variant>
      <vt:variant>
        <vt:i4>803</vt:i4>
      </vt:variant>
      <vt:variant>
        <vt:i4>0</vt:i4>
      </vt:variant>
      <vt:variant>
        <vt:i4>5</vt:i4>
      </vt:variant>
      <vt:variant>
        <vt:lpwstr/>
      </vt:variant>
      <vt:variant>
        <vt:lpwstr>_Toc380051965</vt:lpwstr>
      </vt:variant>
      <vt:variant>
        <vt:i4>1572927</vt:i4>
      </vt:variant>
      <vt:variant>
        <vt:i4>797</vt:i4>
      </vt:variant>
      <vt:variant>
        <vt:i4>0</vt:i4>
      </vt:variant>
      <vt:variant>
        <vt:i4>5</vt:i4>
      </vt:variant>
      <vt:variant>
        <vt:lpwstr/>
      </vt:variant>
      <vt:variant>
        <vt:lpwstr>_Toc380051964</vt:lpwstr>
      </vt:variant>
      <vt:variant>
        <vt:i4>1572927</vt:i4>
      </vt:variant>
      <vt:variant>
        <vt:i4>791</vt:i4>
      </vt:variant>
      <vt:variant>
        <vt:i4>0</vt:i4>
      </vt:variant>
      <vt:variant>
        <vt:i4>5</vt:i4>
      </vt:variant>
      <vt:variant>
        <vt:lpwstr/>
      </vt:variant>
      <vt:variant>
        <vt:lpwstr>_Toc380051963</vt:lpwstr>
      </vt:variant>
      <vt:variant>
        <vt:i4>1572927</vt:i4>
      </vt:variant>
      <vt:variant>
        <vt:i4>785</vt:i4>
      </vt:variant>
      <vt:variant>
        <vt:i4>0</vt:i4>
      </vt:variant>
      <vt:variant>
        <vt:i4>5</vt:i4>
      </vt:variant>
      <vt:variant>
        <vt:lpwstr/>
      </vt:variant>
      <vt:variant>
        <vt:lpwstr>_Toc380051962</vt:lpwstr>
      </vt:variant>
      <vt:variant>
        <vt:i4>1572927</vt:i4>
      </vt:variant>
      <vt:variant>
        <vt:i4>779</vt:i4>
      </vt:variant>
      <vt:variant>
        <vt:i4>0</vt:i4>
      </vt:variant>
      <vt:variant>
        <vt:i4>5</vt:i4>
      </vt:variant>
      <vt:variant>
        <vt:lpwstr/>
      </vt:variant>
      <vt:variant>
        <vt:lpwstr>_Toc380051961</vt:lpwstr>
      </vt:variant>
      <vt:variant>
        <vt:i4>1572927</vt:i4>
      </vt:variant>
      <vt:variant>
        <vt:i4>773</vt:i4>
      </vt:variant>
      <vt:variant>
        <vt:i4>0</vt:i4>
      </vt:variant>
      <vt:variant>
        <vt:i4>5</vt:i4>
      </vt:variant>
      <vt:variant>
        <vt:lpwstr/>
      </vt:variant>
      <vt:variant>
        <vt:lpwstr>_Toc380051960</vt:lpwstr>
      </vt:variant>
      <vt:variant>
        <vt:i4>1769535</vt:i4>
      </vt:variant>
      <vt:variant>
        <vt:i4>767</vt:i4>
      </vt:variant>
      <vt:variant>
        <vt:i4>0</vt:i4>
      </vt:variant>
      <vt:variant>
        <vt:i4>5</vt:i4>
      </vt:variant>
      <vt:variant>
        <vt:lpwstr/>
      </vt:variant>
      <vt:variant>
        <vt:lpwstr>_Toc380051959</vt:lpwstr>
      </vt:variant>
      <vt:variant>
        <vt:i4>1769535</vt:i4>
      </vt:variant>
      <vt:variant>
        <vt:i4>761</vt:i4>
      </vt:variant>
      <vt:variant>
        <vt:i4>0</vt:i4>
      </vt:variant>
      <vt:variant>
        <vt:i4>5</vt:i4>
      </vt:variant>
      <vt:variant>
        <vt:lpwstr/>
      </vt:variant>
      <vt:variant>
        <vt:lpwstr>_Toc380051958</vt:lpwstr>
      </vt:variant>
      <vt:variant>
        <vt:i4>1769535</vt:i4>
      </vt:variant>
      <vt:variant>
        <vt:i4>755</vt:i4>
      </vt:variant>
      <vt:variant>
        <vt:i4>0</vt:i4>
      </vt:variant>
      <vt:variant>
        <vt:i4>5</vt:i4>
      </vt:variant>
      <vt:variant>
        <vt:lpwstr/>
      </vt:variant>
      <vt:variant>
        <vt:lpwstr>_Toc380051957</vt:lpwstr>
      </vt:variant>
      <vt:variant>
        <vt:i4>1769535</vt:i4>
      </vt:variant>
      <vt:variant>
        <vt:i4>749</vt:i4>
      </vt:variant>
      <vt:variant>
        <vt:i4>0</vt:i4>
      </vt:variant>
      <vt:variant>
        <vt:i4>5</vt:i4>
      </vt:variant>
      <vt:variant>
        <vt:lpwstr/>
      </vt:variant>
      <vt:variant>
        <vt:lpwstr>_Toc380051956</vt:lpwstr>
      </vt:variant>
      <vt:variant>
        <vt:i4>1769535</vt:i4>
      </vt:variant>
      <vt:variant>
        <vt:i4>743</vt:i4>
      </vt:variant>
      <vt:variant>
        <vt:i4>0</vt:i4>
      </vt:variant>
      <vt:variant>
        <vt:i4>5</vt:i4>
      </vt:variant>
      <vt:variant>
        <vt:lpwstr/>
      </vt:variant>
      <vt:variant>
        <vt:lpwstr>_Toc380051955</vt:lpwstr>
      </vt:variant>
      <vt:variant>
        <vt:i4>1769535</vt:i4>
      </vt:variant>
      <vt:variant>
        <vt:i4>737</vt:i4>
      </vt:variant>
      <vt:variant>
        <vt:i4>0</vt:i4>
      </vt:variant>
      <vt:variant>
        <vt:i4>5</vt:i4>
      </vt:variant>
      <vt:variant>
        <vt:lpwstr/>
      </vt:variant>
      <vt:variant>
        <vt:lpwstr>_Toc380051954</vt:lpwstr>
      </vt:variant>
      <vt:variant>
        <vt:i4>1769535</vt:i4>
      </vt:variant>
      <vt:variant>
        <vt:i4>731</vt:i4>
      </vt:variant>
      <vt:variant>
        <vt:i4>0</vt:i4>
      </vt:variant>
      <vt:variant>
        <vt:i4>5</vt:i4>
      </vt:variant>
      <vt:variant>
        <vt:lpwstr/>
      </vt:variant>
      <vt:variant>
        <vt:lpwstr>_Toc380051953</vt:lpwstr>
      </vt:variant>
      <vt:variant>
        <vt:i4>1769535</vt:i4>
      </vt:variant>
      <vt:variant>
        <vt:i4>725</vt:i4>
      </vt:variant>
      <vt:variant>
        <vt:i4>0</vt:i4>
      </vt:variant>
      <vt:variant>
        <vt:i4>5</vt:i4>
      </vt:variant>
      <vt:variant>
        <vt:lpwstr/>
      </vt:variant>
      <vt:variant>
        <vt:lpwstr>_Toc380051952</vt:lpwstr>
      </vt:variant>
      <vt:variant>
        <vt:i4>1769535</vt:i4>
      </vt:variant>
      <vt:variant>
        <vt:i4>719</vt:i4>
      </vt:variant>
      <vt:variant>
        <vt:i4>0</vt:i4>
      </vt:variant>
      <vt:variant>
        <vt:i4>5</vt:i4>
      </vt:variant>
      <vt:variant>
        <vt:lpwstr/>
      </vt:variant>
      <vt:variant>
        <vt:lpwstr>_Toc380051951</vt:lpwstr>
      </vt:variant>
      <vt:variant>
        <vt:i4>1769535</vt:i4>
      </vt:variant>
      <vt:variant>
        <vt:i4>713</vt:i4>
      </vt:variant>
      <vt:variant>
        <vt:i4>0</vt:i4>
      </vt:variant>
      <vt:variant>
        <vt:i4>5</vt:i4>
      </vt:variant>
      <vt:variant>
        <vt:lpwstr/>
      </vt:variant>
      <vt:variant>
        <vt:lpwstr>_Toc380051950</vt:lpwstr>
      </vt:variant>
      <vt:variant>
        <vt:i4>1703999</vt:i4>
      </vt:variant>
      <vt:variant>
        <vt:i4>707</vt:i4>
      </vt:variant>
      <vt:variant>
        <vt:i4>0</vt:i4>
      </vt:variant>
      <vt:variant>
        <vt:i4>5</vt:i4>
      </vt:variant>
      <vt:variant>
        <vt:lpwstr/>
      </vt:variant>
      <vt:variant>
        <vt:lpwstr>_Toc380051949</vt:lpwstr>
      </vt:variant>
      <vt:variant>
        <vt:i4>1703999</vt:i4>
      </vt:variant>
      <vt:variant>
        <vt:i4>701</vt:i4>
      </vt:variant>
      <vt:variant>
        <vt:i4>0</vt:i4>
      </vt:variant>
      <vt:variant>
        <vt:i4>5</vt:i4>
      </vt:variant>
      <vt:variant>
        <vt:lpwstr/>
      </vt:variant>
      <vt:variant>
        <vt:lpwstr>_Toc380051948</vt:lpwstr>
      </vt:variant>
      <vt:variant>
        <vt:i4>1703999</vt:i4>
      </vt:variant>
      <vt:variant>
        <vt:i4>695</vt:i4>
      </vt:variant>
      <vt:variant>
        <vt:i4>0</vt:i4>
      </vt:variant>
      <vt:variant>
        <vt:i4>5</vt:i4>
      </vt:variant>
      <vt:variant>
        <vt:lpwstr/>
      </vt:variant>
      <vt:variant>
        <vt:lpwstr>_Toc380051947</vt:lpwstr>
      </vt:variant>
      <vt:variant>
        <vt:i4>1703999</vt:i4>
      </vt:variant>
      <vt:variant>
        <vt:i4>689</vt:i4>
      </vt:variant>
      <vt:variant>
        <vt:i4>0</vt:i4>
      </vt:variant>
      <vt:variant>
        <vt:i4>5</vt:i4>
      </vt:variant>
      <vt:variant>
        <vt:lpwstr/>
      </vt:variant>
      <vt:variant>
        <vt:lpwstr>_Toc380051946</vt:lpwstr>
      </vt:variant>
      <vt:variant>
        <vt:i4>1703999</vt:i4>
      </vt:variant>
      <vt:variant>
        <vt:i4>683</vt:i4>
      </vt:variant>
      <vt:variant>
        <vt:i4>0</vt:i4>
      </vt:variant>
      <vt:variant>
        <vt:i4>5</vt:i4>
      </vt:variant>
      <vt:variant>
        <vt:lpwstr/>
      </vt:variant>
      <vt:variant>
        <vt:lpwstr>_Toc380051945</vt:lpwstr>
      </vt:variant>
      <vt:variant>
        <vt:i4>1703999</vt:i4>
      </vt:variant>
      <vt:variant>
        <vt:i4>677</vt:i4>
      </vt:variant>
      <vt:variant>
        <vt:i4>0</vt:i4>
      </vt:variant>
      <vt:variant>
        <vt:i4>5</vt:i4>
      </vt:variant>
      <vt:variant>
        <vt:lpwstr/>
      </vt:variant>
      <vt:variant>
        <vt:lpwstr>_Toc380051944</vt:lpwstr>
      </vt:variant>
      <vt:variant>
        <vt:i4>1703999</vt:i4>
      </vt:variant>
      <vt:variant>
        <vt:i4>671</vt:i4>
      </vt:variant>
      <vt:variant>
        <vt:i4>0</vt:i4>
      </vt:variant>
      <vt:variant>
        <vt:i4>5</vt:i4>
      </vt:variant>
      <vt:variant>
        <vt:lpwstr/>
      </vt:variant>
      <vt:variant>
        <vt:lpwstr>_Toc380051943</vt:lpwstr>
      </vt:variant>
      <vt:variant>
        <vt:i4>1703999</vt:i4>
      </vt:variant>
      <vt:variant>
        <vt:i4>665</vt:i4>
      </vt:variant>
      <vt:variant>
        <vt:i4>0</vt:i4>
      </vt:variant>
      <vt:variant>
        <vt:i4>5</vt:i4>
      </vt:variant>
      <vt:variant>
        <vt:lpwstr/>
      </vt:variant>
      <vt:variant>
        <vt:lpwstr>_Toc380051942</vt:lpwstr>
      </vt:variant>
      <vt:variant>
        <vt:i4>1703999</vt:i4>
      </vt:variant>
      <vt:variant>
        <vt:i4>659</vt:i4>
      </vt:variant>
      <vt:variant>
        <vt:i4>0</vt:i4>
      </vt:variant>
      <vt:variant>
        <vt:i4>5</vt:i4>
      </vt:variant>
      <vt:variant>
        <vt:lpwstr/>
      </vt:variant>
      <vt:variant>
        <vt:lpwstr>_Toc380051941</vt:lpwstr>
      </vt:variant>
      <vt:variant>
        <vt:i4>1703999</vt:i4>
      </vt:variant>
      <vt:variant>
        <vt:i4>653</vt:i4>
      </vt:variant>
      <vt:variant>
        <vt:i4>0</vt:i4>
      </vt:variant>
      <vt:variant>
        <vt:i4>5</vt:i4>
      </vt:variant>
      <vt:variant>
        <vt:lpwstr/>
      </vt:variant>
      <vt:variant>
        <vt:lpwstr>_Toc380051940</vt:lpwstr>
      </vt:variant>
      <vt:variant>
        <vt:i4>1900607</vt:i4>
      </vt:variant>
      <vt:variant>
        <vt:i4>647</vt:i4>
      </vt:variant>
      <vt:variant>
        <vt:i4>0</vt:i4>
      </vt:variant>
      <vt:variant>
        <vt:i4>5</vt:i4>
      </vt:variant>
      <vt:variant>
        <vt:lpwstr/>
      </vt:variant>
      <vt:variant>
        <vt:lpwstr>_Toc380051939</vt:lpwstr>
      </vt:variant>
      <vt:variant>
        <vt:i4>1900607</vt:i4>
      </vt:variant>
      <vt:variant>
        <vt:i4>641</vt:i4>
      </vt:variant>
      <vt:variant>
        <vt:i4>0</vt:i4>
      </vt:variant>
      <vt:variant>
        <vt:i4>5</vt:i4>
      </vt:variant>
      <vt:variant>
        <vt:lpwstr/>
      </vt:variant>
      <vt:variant>
        <vt:lpwstr>_Toc380051938</vt:lpwstr>
      </vt:variant>
      <vt:variant>
        <vt:i4>1900607</vt:i4>
      </vt:variant>
      <vt:variant>
        <vt:i4>635</vt:i4>
      </vt:variant>
      <vt:variant>
        <vt:i4>0</vt:i4>
      </vt:variant>
      <vt:variant>
        <vt:i4>5</vt:i4>
      </vt:variant>
      <vt:variant>
        <vt:lpwstr/>
      </vt:variant>
      <vt:variant>
        <vt:lpwstr>_Toc380051937</vt:lpwstr>
      </vt:variant>
      <vt:variant>
        <vt:i4>1900607</vt:i4>
      </vt:variant>
      <vt:variant>
        <vt:i4>629</vt:i4>
      </vt:variant>
      <vt:variant>
        <vt:i4>0</vt:i4>
      </vt:variant>
      <vt:variant>
        <vt:i4>5</vt:i4>
      </vt:variant>
      <vt:variant>
        <vt:lpwstr/>
      </vt:variant>
      <vt:variant>
        <vt:lpwstr>_Toc380051936</vt:lpwstr>
      </vt:variant>
      <vt:variant>
        <vt:i4>1900607</vt:i4>
      </vt:variant>
      <vt:variant>
        <vt:i4>623</vt:i4>
      </vt:variant>
      <vt:variant>
        <vt:i4>0</vt:i4>
      </vt:variant>
      <vt:variant>
        <vt:i4>5</vt:i4>
      </vt:variant>
      <vt:variant>
        <vt:lpwstr/>
      </vt:variant>
      <vt:variant>
        <vt:lpwstr>_Toc380051935</vt:lpwstr>
      </vt:variant>
      <vt:variant>
        <vt:i4>1900607</vt:i4>
      </vt:variant>
      <vt:variant>
        <vt:i4>617</vt:i4>
      </vt:variant>
      <vt:variant>
        <vt:i4>0</vt:i4>
      </vt:variant>
      <vt:variant>
        <vt:i4>5</vt:i4>
      </vt:variant>
      <vt:variant>
        <vt:lpwstr/>
      </vt:variant>
      <vt:variant>
        <vt:lpwstr>_Toc380051934</vt:lpwstr>
      </vt:variant>
      <vt:variant>
        <vt:i4>1900607</vt:i4>
      </vt:variant>
      <vt:variant>
        <vt:i4>611</vt:i4>
      </vt:variant>
      <vt:variant>
        <vt:i4>0</vt:i4>
      </vt:variant>
      <vt:variant>
        <vt:i4>5</vt:i4>
      </vt:variant>
      <vt:variant>
        <vt:lpwstr/>
      </vt:variant>
      <vt:variant>
        <vt:lpwstr>_Toc380051933</vt:lpwstr>
      </vt:variant>
      <vt:variant>
        <vt:i4>1900607</vt:i4>
      </vt:variant>
      <vt:variant>
        <vt:i4>605</vt:i4>
      </vt:variant>
      <vt:variant>
        <vt:i4>0</vt:i4>
      </vt:variant>
      <vt:variant>
        <vt:i4>5</vt:i4>
      </vt:variant>
      <vt:variant>
        <vt:lpwstr/>
      </vt:variant>
      <vt:variant>
        <vt:lpwstr>_Toc380051932</vt:lpwstr>
      </vt:variant>
      <vt:variant>
        <vt:i4>1900607</vt:i4>
      </vt:variant>
      <vt:variant>
        <vt:i4>599</vt:i4>
      </vt:variant>
      <vt:variant>
        <vt:i4>0</vt:i4>
      </vt:variant>
      <vt:variant>
        <vt:i4>5</vt:i4>
      </vt:variant>
      <vt:variant>
        <vt:lpwstr/>
      </vt:variant>
      <vt:variant>
        <vt:lpwstr>_Toc380051931</vt:lpwstr>
      </vt:variant>
      <vt:variant>
        <vt:i4>1900607</vt:i4>
      </vt:variant>
      <vt:variant>
        <vt:i4>593</vt:i4>
      </vt:variant>
      <vt:variant>
        <vt:i4>0</vt:i4>
      </vt:variant>
      <vt:variant>
        <vt:i4>5</vt:i4>
      </vt:variant>
      <vt:variant>
        <vt:lpwstr/>
      </vt:variant>
      <vt:variant>
        <vt:lpwstr>_Toc380051930</vt:lpwstr>
      </vt:variant>
      <vt:variant>
        <vt:i4>1835071</vt:i4>
      </vt:variant>
      <vt:variant>
        <vt:i4>587</vt:i4>
      </vt:variant>
      <vt:variant>
        <vt:i4>0</vt:i4>
      </vt:variant>
      <vt:variant>
        <vt:i4>5</vt:i4>
      </vt:variant>
      <vt:variant>
        <vt:lpwstr/>
      </vt:variant>
      <vt:variant>
        <vt:lpwstr>_Toc380051929</vt:lpwstr>
      </vt:variant>
      <vt:variant>
        <vt:i4>1835071</vt:i4>
      </vt:variant>
      <vt:variant>
        <vt:i4>581</vt:i4>
      </vt:variant>
      <vt:variant>
        <vt:i4>0</vt:i4>
      </vt:variant>
      <vt:variant>
        <vt:i4>5</vt:i4>
      </vt:variant>
      <vt:variant>
        <vt:lpwstr/>
      </vt:variant>
      <vt:variant>
        <vt:lpwstr>_Toc380051928</vt:lpwstr>
      </vt:variant>
      <vt:variant>
        <vt:i4>1835071</vt:i4>
      </vt:variant>
      <vt:variant>
        <vt:i4>575</vt:i4>
      </vt:variant>
      <vt:variant>
        <vt:i4>0</vt:i4>
      </vt:variant>
      <vt:variant>
        <vt:i4>5</vt:i4>
      </vt:variant>
      <vt:variant>
        <vt:lpwstr/>
      </vt:variant>
      <vt:variant>
        <vt:lpwstr>_Toc380051927</vt:lpwstr>
      </vt:variant>
      <vt:variant>
        <vt:i4>1835071</vt:i4>
      </vt:variant>
      <vt:variant>
        <vt:i4>569</vt:i4>
      </vt:variant>
      <vt:variant>
        <vt:i4>0</vt:i4>
      </vt:variant>
      <vt:variant>
        <vt:i4>5</vt:i4>
      </vt:variant>
      <vt:variant>
        <vt:lpwstr/>
      </vt:variant>
      <vt:variant>
        <vt:lpwstr>_Toc380051926</vt:lpwstr>
      </vt:variant>
      <vt:variant>
        <vt:i4>1835071</vt:i4>
      </vt:variant>
      <vt:variant>
        <vt:i4>563</vt:i4>
      </vt:variant>
      <vt:variant>
        <vt:i4>0</vt:i4>
      </vt:variant>
      <vt:variant>
        <vt:i4>5</vt:i4>
      </vt:variant>
      <vt:variant>
        <vt:lpwstr/>
      </vt:variant>
      <vt:variant>
        <vt:lpwstr>_Toc380051925</vt:lpwstr>
      </vt:variant>
      <vt:variant>
        <vt:i4>1835071</vt:i4>
      </vt:variant>
      <vt:variant>
        <vt:i4>557</vt:i4>
      </vt:variant>
      <vt:variant>
        <vt:i4>0</vt:i4>
      </vt:variant>
      <vt:variant>
        <vt:i4>5</vt:i4>
      </vt:variant>
      <vt:variant>
        <vt:lpwstr/>
      </vt:variant>
      <vt:variant>
        <vt:lpwstr>_Toc380051924</vt:lpwstr>
      </vt:variant>
      <vt:variant>
        <vt:i4>1835071</vt:i4>
      </vt:variant>
      <vt:variant>
        <vt:i4>551</vt:i4>
      </vt:variant>
      <vt:variant>
        <vt:i4>0</vt:i4>
      </vt:variant>
      <vt:variant>
        <vt:i4>5</vt:i4>
      </vt:variant>
      <vt:variant>
        <vt:lpwstr/>
      </vt:variant>
      <vt:variant>
        <vt:lpwstr>_Toc380051923</vt:lpwstr>
      </vt:variant>
      <vt:variant>
        <vt:i4>1835071</vt:i4>
      </vt:variant>
      <vt:variant>
        <vt:i4>545</vt:i4>
      </vt:variant>
      <vt:variant>
        <vt:i4>0</vt:i4>
      </vt:variant>
      <vt:variant>
        <vt:i4>5</vt:i4>
      </vt:variant>
      <vt:variant>
        <vt:lpwstr/>
      </vt:variant>
      <vt:variant>
        <vt:lpwstr>_Toc380051922</vt:lpwstr>
      </vt:variant>
      <vt:variant>
        <vt:i4>1835071</vt:i4>
      </vt:variant>
      <vt:variant>
        <vt:i4>539</vt:i4>
      </vt:variant>
      <vt:variant>
        <vt:i4>0</vt:i4>
      </vt:variant>
      <vt:variant>
        <vt:i4>5</vt:i4>
      </vt:variant>
      <vt:variant>
        <vt:lpwstr/>
      </vt:variant>
      <vt:variant>
        <vt:lpwstr>_Toc380051921</vt:lpwstr>
      </vt:variant>
      <vt:variant>
        <vt:i4>1835071</vt:i4>
      </vt:variant>
      <vt:variant>
        <vt:i4>533</vt:i4>
      </vt:variant>
      <vt:variant>
        <vt:i4>0</vt:i4>
      </vt:variant>
      <vt:variant>
        <vt:i4>5</vt:i4>
      </vt:variant>
      <vt:variant>
        <vt:lpwstr/>
      </vt:variant>
      <vt:variant>
        <vt:lpwstr>_Toc380051920</vt:lpwstr>
      </vt:variant>
      <vt:variant>
        <vt:i4>2031679</vt:i4>
      </vt:variant>
      <vt:variant>
        <vt:i4>527</vt:i4>
      </vt:variant>
      <vt:variant>
        <vt:i4>0</vt:i4>
      </vt:variant>
      <vt:variant>
        <vt:i4>5</vt:i4>
      </vt:variant>
      <vt:variant>
        <vt:lpwstr/>
      </vt:variant>
      <vt:variant>
        <vt:lpwstr>_Toc380051919</vt:lpwstr>
      </vt:variant>
      <vt:variant>
        <vt:i4>2031679</vt:i4>
      </vt:variant>
      <vt:variant>
        <vt:i4>521</vt:i4>
      </vt:variant>
      <vt:variant>
        <vt:i4>0</vt:i4>
      </vt:variant>
      <vt:variant>
        <vt:i4>5</vt:i4>
      </vt:variant>
      <vt:variant>
        <vt:lpwstr/>
      </vt:variant>
      <vt:variant>
        <vt:lpwstr>_Toc380051918</vt:lpwstr>
      </vt:variant>
      <vt:variant>
        <vt:i4>2031679</vt:i4>
      </vt:variant>
      <vt:variant>
        <vt:i4>515</vt:i4>
      </vt:variant>
      <vt:variant>
        <vt:i4>0</vt:i4>
      </vt:variant>
      <vt:variant>
        <vt:i4>5</vt:i4>
      </vt:variant>
      <vt:variant>
        <vt:lpwstr/>
      </vt:variant>
      <vt:variant>
        <vt:lpwstr>_Toc380051917</vt:lpwstr>
      </vt:variant>
      <vt:variant>
        <vt:i4>2031679</vt:i4>
      </vt:variant>
      <vt:variant>
        <vt:i4>509</vt:i4>
      </vt:variant>
      <vt:variant>
        <vt:i4>0</vt:i4>
      </vt:variant>
      <vt:variant>
        <vt:i4>5</vt:i4>
      </vt:variant>
      <vt:variant>
        <vt:lpwstr/>
      </vt:variant>
      <vt:variant>
        <vt:lpwstr>_Toc380051916</vt:lpwstr>
      </vt:variant>
      <vt:variant>
        <vt:i4>2031679</vt:i4>
      </vt:variant>
      <vt:variant>
        <vt:i4>503</vt:i4>
      </vt:variant>
      <vt:variant>
        <vt:i4>0</vt:i4>
      </vt:variant>
      <vt:variant>
        <vt:i4>5</vt:i4>
      </vt:variant>
      <vt:variant>
        <vt:lpwstr/>
      </vt:variant>
      <vt:variant>
        <vt:lpwstr>_Toc380051915</vt:lpwstr>
      </vt:variant>
      <vt:variant>
        <vt:i4>2031679</vt:i4>
      </vt:variant>
      <vt:variant>
        <vt:i4>497</vt:i4>
      </vt:variant>
      <vt:variant>
        <vt:i4>0</vt:i4>
      </vt:variant>
      <vt:variant>
        <vt:i4>5</vt:i4>
      </vt:variant>
      <vt:variant>
        <vt:lpwstr/>
      </vt:variant>
      <vt:variant>
        <vt:lpwstr>_Toc380051914</vt:lpwstr>
      </vt:variant>
      <vt:variant>
        <vt:i4>2031679</vt:i4>
      </vt:variant>
      <vt:variant>
        <vt:i4>491</vt:i4>
      </vt:variant>
      <vt:variant>
        <vt:i4>0</vt:i4>
      </vt:variant>
      <vt:variant>
        <vt:i4>5</vt:i4>
      </vt:variant>
      <vt:variant>
        <vt:lpwstr/>
      </vt:variant>
      <vt:variant>
        <vt:lpwstr>_Toc380051913</vt:lpwstr>
      </vt:variant>
      <vt:variant>
        <vt:i4>2031679</vt:i4>
      </vt:variant>
      <vt:variant>
        <vt:i4>485</vt:i4>
      </vt:variant>
      <vt:variant>
        <vt:i4>0</vt:i4>
      </vt:variant>
      <vt:variant>
        <vt:i4>5</vt:i4>
      </vt:variant>
      <vt:variant>
        <vt:lpwstr/>
      </vt:variant>
      <vt:variant>
        <vt:lpwstr>_Toc380051912</vt:lpwstr>
      </vt:variant>
      <vt:variant>
        <vt:i4>1769534</vt:i4>
      </vt:variant>
      <vt:variant>
        <vt:i4>476</vt:i4>
      </vt:variant>
      <vt:variant>
        <vt:i4>0</vt:i4>
      </vt:variant>
      <vt:variant>
        <vt:i4>5</vt:i4>
      </vt:variant>
      <vt:variant>
        <vt:lpwstr/>
      </vt:variant>
      <vt:variant>
        <vt:lpwstr>_Toc380051856</vt:lpwstr>
      </vt:variant>
      <vt:variant>
        <vt:i4>1769534</vt:i4>
      </vt:variant>
      <vt:variant>
        <vt:i4>470</vt:i4>
      </vt:variant>
      <vt:variant>
        <vt:i4>0</vt:i4>
      </vt:variant>
      <vt:variant>
        <vt:i4>5</vt:i4>
      </vt:variant>
      <vt:variant>
        <vt:lpwstr/>
      </vt:variant>
      <vt:variant>
        <vt:lpwstr>_Toc380051855</vt:lpwstr>
      </vt:variant>
      <vt:variant>
        <vt:i4>1769534</vt:i4>
      </vt:variant>
      <vt:variant>
        <vt:i4>464</vt:i4>
      </vt:variant>
      <vt:variant>
        <vt:i4>0</vt:i4>
      </vt:variant>
      <vt:variant>
        <vt:i4>5</vt:i4>
      </vt:variant>
      <vt:variant>
        <vt:lpwstr/>
      </vt:variant>
      <vt:variant>
        <vt:lpwstr>_Toc380051854</vt:lpwstr>
      </vt:variant>
      <vt:variant>
        <vt:i4>1769534</vt:i4>
      </vt:variant>
      <vt:variant>
        <vt:i4>458</vt:i4>
      </vt:variant>
      <vt:variant>
        <vt:i4>0</vt:i4>
      </vt:variant>
      <vt:variant>
        <vt:i4>5</vt:i4>
      </vt:variant>
      <vt:variant>
        <vt:lpwstr/>
      </vt:variant>
      <vt:variant>
        <vt:lpwstr>_Toc380051853</vt:lpwstr>
      </vt:variant>
      <vt:variant>
        <vt:i4>1769534</vt:i4>
      </vt:variant>
      <vt:variant>
        <vt:i4>452</vt:i4>
      </vt:variant>
      <vt:variant>
        <vt:i4>0</vt:i4>
      </vt:variant>
      <vt:variant>
        <vt:i4>5</vt:i4>
      </vt:variant>
      <vt:variant>
        <vt:lpwstr/>
      </vt:variant>
      <vt:variant>
        <vt:lpwstr>_Toc380051852</vt:lpwstr>
      </vt:variant>
      <vt:variant>
        <vt:i4>1769534</vt:i4>
      </vt:variant>
      <vt:variant>
        <vt:i4>446</vt:i4>
      </vt:variant>
      <vt:variant>
        <vt:i4>0</vt:i4>
      </vt:variant>
      <vt:variant>
        <vt:i4>5</vt:i4>
      </vt:variant>
      <vt:variant>
        <vt:lpwstr/>
      </vt:variant>
      <vt:variant>
        <vt:lpwstr>_Toc380051851</vt:lpwstr>
      </vt:variant>
      <vt:variant>
        <vt:i4>1769534</vt:i4>
      </vt:variant>
      <vt:variant>
        <vt:i4>440</vt:i4>
      </vt:variant>
      <vt:variant>
        <vt:i4>0</vt:i4>
      </vt:variant>
      <vt:variant>
        <vt:i4>5</vt:i4>
      </vt:variant>
      <vt:variant>
        <vt:lpwstr/>
      </vt:variant>
      <vt:variant>
        <vt:lpwstr>_Toc380051850</vt:lpwstr>
      </vt:variant>
      <vt:variant>
        <vt:i4>1703998</vt:i4>
      </vt:variant>
      <vt:variant>
        <vt:i4>434</vt:i4>
      </vt:variant>
      <vt:variant>
        <vt:i4>0</vt:i4>
      </vt:variant>
      <vt:variant>
        <vt:i4>5</vt:i4>
      </vt:variant>
      <vt:variant>
        <vt:lpwstr/>
      </vt:variant>
      <vt:variant>
        <vt:lpwstr>_Toc380051849</vt:lpwstr>
      </vt:variant>
      <vt:variant>
        <vt:i4>1703998</vt:i4>
      </vt:variant>
      <vt:variant>
        <vt:i4>428</vt:i4>
      </vt:variant>
      <vt:variant>
        <vt:i4>0</vt:i4>
      </vt:variant>
      <vt:variant>
        <vt:i4>5</vt:i4>
      </vt:variant>
      <vt:variant>
        <vt:lpwstr/>
      </vt:variant>
      <vt:variant>
        <vt:lpwstr>_Toc380051848</vt:lpwstr>
      </vt:variant>
      <vt:variant>
        <vt:i4>1703998</vt:i4>
      </vt:variant>
      <vt:variant>
        <vt:i4>422</vt:i4>
      </vt:variant>
      <vt:variant>
        <vt:i4>0</vt:i4>
      </vt:variant>
      <vt:variant>
        <vt:i4>5</vt:i4>
      </vt:variant>
      <vt:variant>
        <vt:lpwstr/>
      </vt:variant>
      <vt:variant>
        <vt:lpwstr>_Toc380051847</vt:lpwstr>
      </vt:variant>
      <vt:variant>
        <vt:i4>1703998</vt:i4>
      </vt:variant>
      <vt:variant>
        <vt:i4>416</vt:i4>
      </vt:variant>
      <vt:variant>
        <vt:i4>0</vt:i4>
      </vt:variant>
      <vt:variant>
        <vt:i4>5</vt:i4>
      </vt:variant>
      <vt:variant>
        <vt:lpwstr/>
      </vt:variant>
      <vt:variant>
        <vt:lpwstr>_Toc380051846</vt:lpwstr>
      </vt:variant>
      <vt:variant>
        <vt:i4>1703998</vt:i4>
      </vt:variant>
      <vt:variant>
        <vt:i4>410</vt:i4>
      </vt:variant>
      <vt:variant>
        <vt:i4>0</vt:i4>
      </vt:variant>
      <vt:variant>
        <vt:i4>5</vt:i4>
      </vt:variant>
      <vt:variant>
        <vt:lpwstr/>
      </vt:variant>
      <vt:variant>
        <vt:lpwstr>_Toc380051845</vt:lpwstr>
      </vt:variant>
      <vt:variant>
        <vt:i4>1703998</vt:i4>
      </vt:variant>
      <vt:variant>
        <vt:i4>404</vt:i4>
      </vt:variant>
      <vt:variant>
        <vt:i4>0</vt:i4>
      </vt:variant>
      <vt:variant>
        <vt:i4>5</vt:i4>
      </vt:variant>
      <vt:variant>
        <vt:lpwstr/>
      </vt:variant>
      <vt:variant>
        <vt:lpwstr>_Toc380051844</vt:lpwstr>
      </vt:variant>
      <vt:variant>
        <vt:i4>1703998</vt:i4>
      </vt:variant>
      <vt:variant>
        <vt:i4>398</vt:i4>
      </vt:variant>
      <vt:variant>
        <vt:i4>0</vt:i4>
      </vt:variant>
      <vt:variant>
        <vt:i4>5</vt:i4>
      </vt:variant>
      <vt:variant>
        <vt:lpwstr/>
      </vt:variant>
      <vt:variant>
        <vt:lpwstr>_Toc380051843</vt:lpwstr>
      </vt:variant>
      <vt:variant>
        <vt:i4>1703998</vt:i4>
      </vt:variant>
      <vt:variant>
        <vt:i4>392</vt:i4>
      </vt:variant>
      <vt:variant>
        <vt:i4>0</vt:i4>
      </vt:variant>
      <vt:variant>
        <vt:i4>5</vt:i4>
      </vt:variant>
      <vt:variant>
        <vt:lpwstr/>
      </vt:variant>
      <vt:variant>
        <vt:lpwstr>_Toc380051842</vt:lpwstr>
      </vt:variant>
      <vt:variant>
        <vt:i4>1703998</vt:i4>
      </vt:variant>
      <vt:variant>
        <vt:i4>386</vt:i4>
      </vt:variant>
      <vt:variant>
        <vt:i4>0</vt:i4>
      </vt:variant>
      <vt:variant>
        <vt:i4>5</vt:i4>
      </vt:variant>
      <vt:variant>
        <vt:lpwstr/>
      </vt:variant>
      <vt:variant>
        <vt:lpwstr>_Toc380051841</vt:lpwstr>
      </vt:variant>
      <vt:variant>
        <vt:i4>1703998</vt:i4>
      </vt:variant>
      <vt:variant>
        <vt:i4>380</vt:i4>
      </vt:variant>
      <vt:variant>
        <vt:i4>0</vt:i4>
      </vt:variant>
      <vt:variant>
        <vt:i4>5</vt:i4>
      </vt:variant>
      <vt:variant>
        <vt:lpwstr/>
      </vt:variant>
      <vt:variant>
        <vt:lpwstr>_Toc380051840</vt:lpwstr>
      </vt:variant>
      <vt:variant>
        <vt:i4>1900606</vt:i4>
      </vt:variant>
      <vt:variant>
        <vt:i4>374</vt:i4>
      </vt:variant>
      <vt:variant>
        <vt:i4>0</vt:i4>
      </vt:variant>
      <vt:variant>
        <vt:i4>5</vt:i4>
      </vt:variant>
      <vt:variant>
        <vt:lpwstr/>
      </vt:variant>
      <vt:variant>
        <vt:lpwstr>_Toc380051839</vt:lpwstr>
      </vt:variant>
      <vt:variant>
        <vt:i4>1900606</vt:i4>
      </vt:variant>
      <vt:variant>
        <vt:i4>368</vt:i4>
      </vt:variant>
      <vt:variant>
        <vt:i4>0</vt:i4>
      </vt:variant>
      <vt:variant>
        <vt:i4>5</vt:i4>
      </vt:variant>
      <vt:variant>
        <vt:lpwstr/>
      </vt:variant>
      <vt:variant>
        <vt:lpwstr>_Toc380051838</vt:lpwstr>
      </vt:variant>
      <vt:variant>
        <vt:i4>1900606</vt:i4>
      </vt:variant>
      <vt:variant>
        <vt:i4>362</vt:i4>
      </vt:variant>
      <vt:variant>
        <vt:i4>0</vt:i4>
      </vt:variant>
      <vt:variant>
        <vt:i4>5</vt:i4>
      </vt:variant>
      <vt:variant>
        <vt:lpwstr/>
      </vt:variant>
      <vt:variant>
        <vt:lpwstr>_Toc380051837</vt:lpwstr>
      </vt:variant>
      <vt:variant>
        <vt:i4>1900606</vt:i4>
      </vt:variant>
      <vt:variant>
        <vt:i4>356</vt:i4>
      </vt:variant>
      <vt:variant>
        <vt:i4>0</vt:i4>
      </vt:variant>
      <vt:variant>
        <vt:i4>5</vt:i4>
      </vt:variant>
      <vt:variant>
        <vt:lpwstr/>
      </vt:variant>
      <vt:variant>
        <vt:lpwstr>_Toc380051836</vt:lpwstr>
      </vt:variant>
      <vt:variant>
        <vt:i4>1900606</vt:i4>
      </vt:variant>
      <vt:variant>
        <vt:i4>350</vt:i4>
      </vt:variant>
      <vt:variant>
        <vt:i4>0</vt:i4>
      </vt:variant>
      <vt:variant>
        <vt:i4>5</vt:i4>
      </vt:variant>
      <vt:variant>
        <vt:lpwstr/>
      </vt:variant>
      <vt:variant>
        <vt:lpwstr>_Toc380051835</vt:lpwstr>
      </vt:variant>
      <vt:variant>
        <vt:i4>1900606</vt:i4>
      </vt:variant>
      <vt:variant>
        <vt:i4>344</vt:i4>
      </vt:variant>
      <vt:variant>
        <vt:i4>0</vt:i4>
      </vt:variant>
      <vt:variant>
        <vt:i4>5</vt:i4>
      </vt:variant>
      <vt:variant>
        <vt:lpwstr/>
      </vt:variant>
      <vt:variant>
        <vt:lpwstr>_Toc380051834</vt:lpwstr>
      </vt:variant>
      <vt:variant>
        <vt:i4>1900606</vt:i4>
      </vt:variant>
      <vt:variant>
        <vt:i4>338</vt:i4>
      </vt:variant>
      <vt:variant>
        <vt:i4>0</vt:i4>
      </vt:variant>
      <vt:variant>
        <vt:i4>5</vt:i4>
      </vt:variant>
      <vt:variant>
        <vt:lpwstr/>
      </vt:variant>
      <vt:variant>
        <vt:lpwstr>_Toc380051833</vt:lpwstr>
      </vt:variant>
      <vt:variant>
        <vt:i4>1900606</vt:i4>
      </vt:variant>
      <vt:variant>
        <vt:i4>332</vt:i4>
      </vt:variant>
      <vt:variant>
        <vt:i4>0</vt:i4>
      </vt:variant>
      <vt:variant>
        <vt:i4>5</vt:i4>
      </vt:variant>
      <vt:variant>
        <vt:lpwstr/>
      </vt:variant>
      <vt:variant>
        <vt:lpwstr>_Toc380051832</vt:lpwstr>
      </vt:variant>
      <vt:variant>
        <vt:i4>1900606</vt:i4>
      </vt:variant>
      <vt:variant>
        <vt:i4>326</vt:i4>
      </vt:variant>
      <vt:variant>
        <vt:i4>0</vt:i4>
      </vt:variant>
      <vt:variant>
        <vt:i4>5</vt:i4>
      </vt:variant>
      <vt:variant>
        <vt:lpwstr/>
      </vt:variant>
      <vt:variant>
        <vt:lpwstr>_Toc380051831</vt:lpwstr>
      </vt:variant>
      <vt:variant>
        <vt:i4>1900606</vt:i4>
      </vt:variant>
      <vt:variant>
        <vt:i4>320</vt:i4>
      </vt:variant>
      <vt:variant>
        <vt:i4>0</vt:i4>
      </vt:variant>
      <vt:variant>
        <vt:i4>5</vt:i4>
      </vt:variant>
      <vt:variant>
        <vt:lpwstr/>
      </vt:variant>
      <vt:variant>
        <vt:lpwstr>_Toc380051830</vt:lpwstr>
      </vt:variant>
      <vt:variant>
        <vt:i4>1835070</vt:i4>
      </vt:variant>
      <vt:variant>
        <vt:i4>314</vt:i4>
      </vt:variant>
      <vt:variant>
        <vt:i4>0</vt:i4>
      </vt:variant>
      <vt:variant>
        <vt:i4>5</vt:i4>
      </vt:variant>
      <vt:variant>
        <vt:lpwstr/>
      </vt:variant>
      <vt:variant>
        <vt:lpwstr>_Toc380051829</vt:lpwstr>
      </vt:variant>
      <vt:variant>
        <vt:i4>1835070</vt:i4>
      </vt:variant>
      <vt:variant>
        <vt:i4>308</vt:i4>
      </vt:variant>
      <vt:variant>
        <vt:i4>0</vt:i4>
      </vt:variant>
      <vt:variant>
        <vt:i4>5</vt:i4>
      </vt:variant>
      <vt:variant>
        <vt:lpwstr/>
      </vt:variant>
      <vt:variant>
        <vt:lpwstr>_Toc380051828</vt:lpwstr>
      </vt:variant>
      <vt:variant>
        <vt:i4>1835070</vt:i4>
      </vt:variant>
      <vt:variant>
        <vt:i4>302</vt:i4>
      </vt:variant>
      <vt:variant>
        <vt:i4>0</vt:i4>
      </vt:variant>
      <vt:variant>
        <vt:i4>5</vt:i4>
      </vt:variant>
      <vt:variant>
        <vt:lpwstr/>
      </vt:variant>
      <vt:variant>
        <vt:lpwstr>_Toc380051827</vt:lpwstr>
      </vt:variant>
      <vt:variant>
        <vt:i4>1835070</vt:i4>
      </vt:variant>
      <vt:variant>
        <vt:i4>296</vt:i4>
      </vt:variant>
      <vt:variant>
        <vt:i4>0</vt:i4>
      </vt:variant>
      <vt:variant>
        <vt:i4>5</vt:i4>
      </vt:variant>
      <vt:variant>
        <vt:lpwstr/>
      </vt:variant>
      <vt:variant>
        <vt:lpwstr>_Toc380051826</vt:lpwstr>
      </vt:variant>
      <vt:variant>
        <vt:i4>1835070</vt:i4>
      </vt:variant>
      <vt:variant>
        <vt:i4>290</vt:i4>
      </vt:variant>
      <vt:variant>
        <vt:i4>0</vt:i4>
      </vt:variant>
      <vt:variant>
        <vt:i4>5</vt:i4>
      </vt:variant>
      <vt:variant>
        <vt:lpwstr/>
      </vt:variant>
      <vt:variant>
        <vt:lpwstr>_Toc380051825</vt:lpwstr>
      </vt:variant>
      <vt:variant>
        <vt:i4>1835070</vt:i4>
      </vt:variant>
      <vt:variant>
        <vt:i4>284</vt:i4>
      </vt:variant>
      <vt:variant>
        <vt:i4>0</vt:i4>
      </vt:variant>
      <vt:variant>
        <vt:i4>5</vt:i4>
      </vt:variant>
      <vt:variant>
        <vt:lpwstr/>
      </vt:variant>
      <vt:variant>
        <vt:lpwstr>_Toc380051824</vt:lpwstr>
      </vt:variant>
      <vt:variant>
        <vt:i4>1835070</vt:i4>
      </vt:variant>
      <vt:variant>
        <vt:i4>278</vt:i4>
      </vt:variant>
      <vt:variant>
        <vt:i4>0</vt:i4>
      </vt:variant>
      <vt:variant>
        <vt:i4>5</vt:i4>
      </vt:variant>
      <vt:variant>
        <vt:lpwstr/>
      </vt:variant>
      <vt:variant>
        <vt:lpwstr>_Toc380051823</vt:lpwstr>
      </vt:variant>
      <vt:variant>
        <vt:i4>1835070</vt:i4>
      </vt:variant>
      <vt:variant>
        <vt:i4>272</vt:i4>
      </vt:variant>
      <vt:variant>
        <vt:i4>0</vt:i4>
      </vt:variant>
      <vt:variant>
        <vt:i4>5</vt:i4>
      </vt:variant>
      <vt:variant>
        <vt:lpwstr/>
      </vt:variant>
      <vt:variant>
        <vt:lpwstr>_Toc380051822</vt:lpwstr>
      </vt:variant>
      <vt:variant>
        <vt:i4>1835070</vt:i4>
      </vt:variant>
      <vt:variant>
        <vt:i4>266</vt:i4>
      </vt:variant>
      <vt:variant>
        <vt:i4>0</vt:i4>
      </vt:variant>
      <vt:variant>
        <vt:i4>5</vt:i4>
      </vt:variant>
      <vt:variant>
        <vt:lpwstr/>
      </vt:variant>
      <vt:variant>
        <vt:lpwstr>_Toc380051821</vt:lpwstr>
      </vt:variant>
      <vt:variant>
        <vt:i4>1835070</vt:i4>
      </vt:variant>
      <vt:variant>
        <vt:i4>260</vt:i4>
      </vt:variant>
      <vt:variant>
        <vt:i4>0</vt:i4>
      </vt:variant>
      <vt:variant>
        <vt:i4>5</vt:i4>
      </vt:variant>
      <vt:variant>
        <vt:lpwstr/>
      </vt:variant>
      <vt:variant>
        <vt:lpwstr>_Toc380051820</vt:lpwstr>
      </vt:variant>
      <vt:variant>
        <vt:i4>2031678</vt:i4>
      </vt:variant>
      <vt:variant>
        <vt:i4>254</vt:i4>
      </vt:variant>
      <vt:variant>
        <vt:i4>0</vt:i4>
      </vt:variant>
      <vt:variant>
        <vt:i4>5</vt:i4>
      </vt:variant>
      <vt:variant>
        <vt:lpwstr/>
      </vt:variant>
      <vt:variant>
        <vt:lpwstr>_Toc380051819</vt:lpwstr>
      </vt:variant>
      <vt:variant>
        <vt:i4>2031678</vt:i4>
      </vt:variant>
      <vt:variant>
        <vt:i4>248</vt:i4>
      </vt:variant>
      <vt:variant>
        <vt:i4>0</vt:i4>
      </vt:variant>
      <vt:variant>
        <vt:i4>5</vt:i4>
      </vt:variant>
      <vt:variant>
        <vt:lpwstr/>
      </vt:variant>
      <vt:variant>
        <vt:lpwstr>_Toc380051818</vt:lpwstr>
      </vt:variant>
      <vt:variant>
        <vt:i4>2031678</vt:i4>
      </vt:variant>
      <vt:variant>
        <vt:i4>242</vt:i4>
      </vt:variant>
      <vt:variant>
        <vt:i4>0</vt:i4>
      </vt:variant>
      <vt:variant>
        <vt:i4>5</vt:i4>
      </vt:variant>
      <vt:variant>
        <vt:lpwstr/>
      </vt:variant>
      <vt:variant>
        <vt:lpwstr>_Toc380051817</vt:lpwstr>
      </vt:variant>
      <vt:variant>
        <vt:i4>2031678</vt:i4>
      </vt:variant>
      <vt:variant>
        <vt:i4>236</vt:i4>
      </vt:variant>
      <vt:variant>
        <vt:i4>0</vt:i4>
      </vt:variant>
      <vt:variant>
        <vt:i4>5</vt:i4>
      </vt:variant>
      <vt:variant>
        <vt:lpwstr/>
      </vt:variant>
      <vt:variant>
        <vt:lpwstr>_Toc380051816</vt:lpwstr>
      </vt:variant>
      <vt:variant>
        <vt:i4>2031678</vt:i4>
      </vt:variant>
      <vt:variant>
        <vt:i4>230</vt:i4>
      </vt:variant>
      <vt:variant>
        <vt:i4>0</vt:i4>
      </vt:variant>
      <vt:variant>
        <vt:i4>5</vt:i4>
      </vt:variant>
      <vt:variant>
        <vt:lpwstr/>
      </vt:variant>
      <vt:variant>
        <vt:lpwstr>_Toc380051815</vt:lpwstr>
      </vt:variant>
      <vt:variant>
        <vt:i4>2031678</vt:i4>
      </vt:variant>
      <vt:variant>
        <vt:i4>224</vt:i4>
      </vt:variant>
      <vt:variant>
        <vt:i4>0</vt:i4>
      </vt:variant>
      <vt:variant>
        <vt:i4>5</vt:i4>
      </vt:variant>
      <vt:variant>
        <vt:lpwstr/>
      </vt:variant>
      <vt:variant>
        <vt:lpwstr>_Toc380051814</vt:lpwstr>
      </vt:variant>
      <vt:variant>
        <vt:i4>2031678</vt:i4>
      </vt:variant>
      <vt:variant>
        <vt:i4>218</vt:i4>
      </vt:variant>
      <vt:variant>
        <vt:i4>0</vt:i4>
      </vt:variant>
      <vt:variant>
        <vt:i4>5</vt:i4>
      </vt:variant>
      <vt:variant>
        <vt:lpwstr/>
      </vt:variant>
      <vt:variant>
        <vt:lpwstr>_Toc380051813</vt:lpwstr>
      </vt:variant>
      <vt:variant>
        <vt:i4>2031678</vt:i4>
      </vt:variant>
      <vt:variant>
        <vt:i4>212</vt:i4>
      </vt:variant>
      <vt:variant>
        <vt:i4>0</vt:i4>
      </vt:variant>
      <vt:variant>
        <vt:i4>5</vt:i4>
      </vt:variant>
      <vt:variant>
        <vt:lpwstr/>
      </vt:variant>
      <vt:variant>
        <vt:lpwstr>_Toc380051812</vt:lpwstr>
      </vt:variant>
      <vt:variant>
        <vt:i4>2031678</vt:i4>
      </vt:variant>
      <vt:variant>
        <vt:i4>206</vt:i4>
      </vt:variant>
      <vt:variant>
        <vt:i4>0</vt:i4>
      </vt:variant>
      <vt:variant>
        <vt:i4>5</vt:i4>
      </vt:variant>
      <vt:variant>
        <vt:lpwstr/>
      </vt:variant>
      <vt:variant>
        <vt:lpwstr>_Toc380051811</vt:lpwstr>
      </vt:variant>
      <vt:variant>
        <vt:i4>2031678</vt:i4>
      </vt:variant>
      <vt:variant>
        <vt:i4>200</vt:i4>
      </vt:variant>
      <vt:variant>
        <vt:i4>0</vt:i4>
      </vt:variant>
      <vt:variant>
        <vt:i4>5</vt:i4>
      </vt:variant>
      <vt:variant>
        <vt:lpwstr/>
      </vt:variant>
      <vt:variant>
        <vt:lpwstr>_Toc380051810</vt:lpwstr>
      </vt:variant>
      <vt:variant>
        <vt:i4>1966142</vt:i4>
      </vt:variant>
      <vt:variant>
        <vt:i4>194</vt:i4>
      </vt:variant>
      <vt:variant>
        <vt:i4>0</vt:i4>
      </vt:variant>
      <vt:variant>
        <vt:i4>5</vt:i4>
      </vt:variant>
      <vt:variant>
        <vt:lpwstr/>
      </vt:variant>
      <vt:variant>
        <vt:lpwstr>_Toc380051809</vt:lpwstr>
      </vt:variant>
      <vt:variant>
        <vt:i4>1966142</vt:i4>
      </vt:variant>
      <vt:variant>
        <vt:i4>188</vt:i4>
      </vt:variant>
      <vt:variant>
        <vt:i4>0</vt:i4>
      </vt:variant>
      <vt:variant>
        <vt:i4>5</vt:i4>
      </vt:variant>
      <vt:variant>
        <vt:lpwstr/>
      </vt:variant>
      <vt:variant>
        <vt:lpwstr>_Toc380051808</vt:lpwstr>
      </vt:variant>
      <vt:variant>
        <vt:i4>1966142</vt:i4>
      </vt:variant>
      <vt:variant>
        <vt:i4>182</vt:i4>
      </vt:variant>
      <vt:variant>
        <vt:i4>0</vt:i4>
      </vt:variant>
      <vt:variant>
        <vt:i4>5</vt:i4>
      </vt:variant>
      <vt:variant>
        <vt:lpwstr/>
      </vt:variant>
      <vt:variant>
        <vt:lpwstr>_Toc380051807</vt:lpwstr>
      </vt:variant>
      <vt:variant>
        <vt:i4>1966142</vt:i4>
      </vt:variant>
      <vt:variant>
        <vt:i4>176</vt:i4>
      </vt:variant>
      <vt:variant>
        <vt:i4>0</vt:i4>
      </vt:variant>
      <vt:variant>
        <vt:i4>5</vt:i4>
      </vt:variant>
      <vt:variant>
        <vt:lpwstr/>
      </vt:variant>
      <vt:variant>
        <vt:lpwstr>_Toc380051806</vt:lpwstr>
      </vt:variant>
      <vt:variant>
        <vt:i4>1966142</vt:i4>
      </vt:variant>
      <vt:variant>
        <vt:i4>170</vt:i4>
      </vt:variant>
      <vt:variant>
        <vt:i4>0</vt:i4>
      </vt:variant>
      <vt:variant>
        <vt:i4>5</vt:i4>
      </vt:variant>
      <vt:variant>
        <vt:lpwstr/>
      </vt:variant>
      <vt:variant>
        <vt:lpwstr>_Toc380051805</vt:lpwstr>
      </vt:variant>
      <vt:variant>
        <vt:i4>1966142</vt:i4>
      </vt:variant>
      <vt:variant>
        <vt:i4>164</vt:i4>
      </vt:variant>
      <vt:variant>
        <vt:i4>0</vt:i4>
      </vt:variant>
      <vt:variant>
        <vt:i4>5</vt:i4>
      </vt:variant>
      <vt:variant>
        <vt:lpwstr/>
      </vt:variant>
      <vt:variant>
        <vt:lpwstr>_Toc380051804</vt:lpwstr>
      </vt:variant>
      <vt:variant>
        <vt:i4>1966142</vt:i4>
      </vt:variant>
      <vt:variant>
        <vt:i4>158</vt:i4>
      </vt:variant>
      <vt:variant>
        <vt:i4>0</vt:i4>
      </vt:variant>
      <vt:variant>
        <vt:i4>5</vt:i4>
      </vt:variant>
      <vt:variant>
        <vt:lpwstr/>
      </vt:variant>
      <vt:variant>
        <vt:lpwstr>_Toc380051803</vt:lpwstr>
      </vt:variant>
      <vt:variant>
        <vt:i4>1966142</vt:i4>
      </vt:variant>
      <vt:variant>
        <vt:i4>152</vt:i4>
      </vt:variant>
      <vt:variant>
        <vt:i4>0</vt:i4>
      </vt:variant>
      <vt:variant>
        <vt:i4>5</vt:i4>
      </vt:variant>
      <vt:variant>
        <vt:lpwstr/>
      </vt:variant>
      <vt:variant>
        <vt:lpwstr>_Toc380051802</vt:lpwstr>
      </vt:variant>
      <vt:variant>
        <vt:i4>1966142</vt:i4>
      </vt:variant>
      <vt:variant>
        <vt:i4>146</vt:i4>
      </vt:variant>
      <vt:variant>
        <vt:i4>0</vt:i4>
      </vt:variant>
      <vt:variant>
        <vt:i4>5</vt:i4>
      </vt:variant>
      <vt:variant>
        <vt:lpwstr/>
      </vt:variant>
      <vt:variant>
        <vt:lpwstr>_Toc380051801</vt:lpwstr>
      </vt:variant>
      <vt:variant>
        <vt:i4>1966142</vt:i4>
      </vt:variant>
      <vt:variant>
        <vt:i4>140</vt:i4>
      </vt:variant>
      <vt:variant>
        <vt:i4>0</vt:i4>
      </vt:variant>
      <vt:variant>
        <vt:i4>5</vt:i4>
      </vt:variant>
      <vt:variant>
        <vt:lpwstr/>
      </vt:variant>
      <vt:variant>
        <vt:lpwstr>_Toc380051800</vt:lpwstr>
      </vt:variant>
      <vt:variant>
        <vt:i4>1507377</vt:i4>
      </vt:variant>
      <vt:variant>
        <vt:i4>134</vt:i4>
      </vt:variant>
      <vt:variant>
        <vt:i4>0</vt:i4>
      </vt:variant>
      <vt:variant>
        <vt:i4>5</vt:i4>
      </vt:variant>
      <vt:variant>
        <vt:lpwstr/>
      </vt:variant>
      <vt:variant>
        <vt:lpwstr>_Toc380051799</vt:lpwstr>
      </vt:variant>
      <vt:variant>
        <vt:i4>1507377</vt:i4>
      </vt:variant>
      <vt:variant>
        <vt:i4>128</vt:i4>
      </vt:variant>
      <vt:variant>
        <vt:i4>0</vt:i4>
      </vt:variant>
      <vt:variant>
        <vt:i4>5</vt:i4>
      </vt:variant>
      <vt:variant>
        <vt:lpwstr/>
      </vt:variant>
      <vt:variant>
        <vt:lpwstr>_Toc380051798</vt:lpwstr>
      </vt:variant>
      <vt:variant>
        <vt:i4>1507377</vt:i4>
      </vt:variant>
      <vt:variant>
        <vt:i4>122</vt:i4>
      </vt:variant>
      <vt:variant>
        <vt:i4>0</vt:i4>
      </vt:variant>
      <vt:variant>
        <vt:i4>5</vt:i4>
      </vt:variant>
      <vt:variant>
        <vt:lpwstr/>
      </vt:variant>
      <vt:variant>
        <vt:lpwstr>_Toc380051797</vt:lpwstr>
      </vt:variant>
      <vt:variant>
        <vt:i4>1507377</vt:i4>
      </vt:variant>
      <vt:variant>
        <vt:i4>116</vt:i4>
      </vt:variant>
      <vt:variant>
        <vt:i4>0</vt:i4>
      </vt:variant>
      <vt:variant>
        <vt:i4>5</vt:i4>
      </vt:variant>
      <vt:variant>
        <vt:lpwstr/>
      </vt:variant>
      <vt:variant>
        <vt:lpwstr>_Toc380051796</vt:lpwstr>
      </vt:variant>
      <vt:variant>
        <vt:i4>1507377</vt:i4>
      </vt:variant>
      <vt:variant>
        <vt:i4>110</vt:i4>
      </vt:variant>
      <vt:variant>
        <vt:i4>0</vt:i4>
      </vt:variant>
      <vt:variant>
        <vt:i4>5</vt:i4>
      </vt:variant>
      <vt:variant>
        <vt:lpwstr/>
      </vt:variant>
      <vt:variant>
        <vt:lpwstr>_Toc380051795</vt:lpwstr>
      </vt:variant>
      <vt:variant>
        <vt:i4>1507377</vt:i4>
      </vt:variant>
      <vt:variant>
        <vt:i4>104</vt:i4>
      </vt:variant>
      <vt:variant>
        <vt:i4>0</vt:i4>
      </vt:variant>
      <vt:variant>
        <vt:i4>5</vt:i4>
      </vt:variant>
      <vt:variant>
        <vt:lpwstr/>
      </vt:variant>
      <vt:variant>
        <vt:lpwstr>_Toc380051794</vt:lpwstr>
      </vt:variant>
      <vt:variant>
        <vt:i4>1507377</vt:i4>
      </vt:variant>
      <vt:variant>
        <vt:i4>98</vt:i4>
      </vt:variant>
      <vt:variant>
        <vt:i4>0</vt:i4>
      </vt:variant>
      <vt:variant>
        <vt:i4>5</vt:i4>
      </vt:variant>
      <vt:variant>
        <vt:lpwstr/>
      </vt:variant>
      <vt:variant>
        <vt:lpwstr>_Toc380051793</vt:lpwstr>
      </vt:variant>
      <vt:variant>
        <vt:i4>1507377</vt:i4>
      </vt:variant>
      <vt:variant>
        <vt:i4>92</vt:i4>
      </vt:variant>
      <vt:variant>
        <vt:i4>0</vt:i4>
      </vt:variant>
      <vt:variant>
        <vt:i4>5</vt:i4>
      </vt:variant>
      <vt:variant>
        <vt:lpwstr/>
      </vt:variant>
      <vt:variant>
        <vt:lpwstr>_Toc380051792</vt:lpwstr>
      </vt:variant>
      <vt:variant>
        <vt:i4>1507377</vt:i4>
      </vt:variant>
      <vt:variant>
        <vt:i4>86</vt:i4>
      </vt:variant>
      <vt:variant>
        <vt:i4>0</vt:i4>
      </vt:variant>
      <vt:variant>
        <vt:i4>5</vt:i4>
      </vt:variant>
      <vt:variant>
        <vt:lpwstr/>
      </vt:variant>
      <vt:variant>
        <vt:lpwstr>_Toc380051791</vt:lpwstr>
      </vt:variant>
      <vt:variant>
        <vt:i4>1507377</vt:i4>
      </vt:variant>
      <vt:variant>
        <vt:i4>80</vt:i4>
      </vt:variant>
      <vt:variant>
        <vt:i4>0</vt:i4>
      </vt:variant>
      <vt:variant>
        <vt:i4>5</vt:i4>
      </vt:variant>
      <vt:variant>
        <vt:lpwstr/>
      </vt:variant>
      <vt:variant>
        <vt:lpwstr>_Toc380051790</vt:lpwstr>
      </vt:variant>
      <vt:variant>
        <vt:i4>1441841</vt:i4>
      </vt:variant>
      <vt:variant>
        <vt:i4>74</vt:i4>
      </vt:variant>
      <vt:variant>
        <vt:i4>0</vt:i4>
      </vt:variant>
      <vt:variant>
        <vt:i4>5</vt:i4>
      </vt:variant>
      <vt:variant>
        <vt:lpwstr/>
      </vt:variant>
      <vt:variant>
        <vt:lpwstr>_Toc380051789</vt:lpwstr>
      </vt:variant>
      <vt:variant>
        <vt:i4>1441841</vt:i4>
      </vt:variant>
      <vt:variant>
        <vt:i4>68</vt:i4>
      </vt:variant>
      <vt:variant>
        <vt:i4>0</vt:i4>
      </vt:variant>
      <vt:variant>
        <vt:i4>5</vt:i4>
      </vt:variant>
      <vt:variant>
        <vt:lpwstr/>
      </vt:variant>
      <vt:variant>
        <vt:lpwstr>_Toc380051788</vt:lpwstr>
      </vt:variant>
      <vt:variant>
        <vt:i4>1441841</vt:i4>
      </vt:variant>
      <vt:variant>
        <vt:i4>62</vt:i4>
      </vt:variant>
      <vt:variant>
        <vt:i4>0</vt:i4>
      </vt:variant>
      <vt:variant>
        <vt:i4>5</vt:i4>
      </vt:variant>
      <vt:variant>
        <vt:lpwstr/>
      </vt:variant>
      <vt:variant>
        <vt:lpwstr>_Toc380051787</vt:lpwstr>
      </vt:variant>
      <vt:variant>
        <vt:i4>1441841</vt:i4>
      </vt:variant>
      <vt:variant>
        <vt:i4>56</vt:i4>
      </vt:variant>
      <vt:variant>
        <vt:i4>0</vt:i4>
      </vt:variant>
      <vt:variant>
        <vt:i4>5</vt:i4>
      </vt:variant>
      <vt:variant>
        <vt:lpwstr/>
      </vt:variant>
      <vt:variant>
        <vt:lpwstr>_Toc380051786</vt:lpwstr>
      </vt:variant>
      <vt:variant>
        <vt:i4>1441841</vt:i4>
      </vt:variant>
      <vt:variant>
        <vt:i4>50</vt:i4>
      </vt:variant>
      <vt:variant>
        <vt:i4>0</vt:i4>
      </vt:variant>
      <vt:variant>
        <vt:i4>5</vt:i4>
      </vt:variant>
      <vt:variant>
        <vt:lpwstr/>
      </vt:variant>
      <vt:variant>
        <vt:lpwstr>_Toc380051785</vt:lpwstr>
      </vt:variant>
      <vt:variant>
        <vt:i4>1441841</vt:i4>
      </vt:variant>
      <vt:variant>
        <vt:i4>44</vt:i4>
      </vt:variant>
      <vt:variant>
        <vt:i4>0</vt:i4>
      </vt:variant>
      <vt:variant>
        <vt:i4>5</vt:i4>
      </vt:variant>
      <vt:variant>
        <vt:lpwstr/>
      </vt:variant>
      <vt:variant>
        <vt:lpwstr>_Toc380051784</vt:lpwstr>
      </vt:variant>
      <vt:variant>
        <vt:i4>1441841</vt:i4>
      </vt:variant>
      <vt:variant>
        <vt:i4>38</vt:i4>
      </vt:variant>
      <vt:variant>
        <vt:i4>0</vt:i4>
      </vt:variant>
      <vt:variant>
        <vt:i4>5</vt:i4>
      </vt:variant>
      <vt:variant>
        <vt:lpwstr/>
      </vt:variant>
      <vt:variant>
        <vt:lpwstr>_Toc380051783</vt:lpwstr>
      </vt:variant>
      <vt:variant>
        <vt:i4>1441841</vt:i4>
      </vt:variant>
      <vt:variant>
        <vt:i4>32</vt:i4>
      </vt:variant>
      <vt:variant>
        <vt:i4>0</vt:i4>
      </vt:variant>
      <vt:variant>
        <vt:i4>5</vt:i4>
      </vt:variant>
      <vt:variant>
        <vt:lpwstr/>
      </vt:variant>
      <vt:variant>
        <vt:lpwstr>_Toc380051782</vt:lpwstr>
      </vt:variant>
      <vt:variant>
        <vt:i4>1441841</vt:i4>
      </vt:variant>
      <vt:variant>
        <vt:i4>26</vt:i4>
      </vt:variant>
      <vt:variant>
        <vt:i4>0</vt:i4>
      </vt:variant>
      <vt:variant>
        <vt:i4>5</vt:i4>
      </vt:variant>
      <vt:variant>
        <vt:lpwstr/>
      </vt:variant>
      <vt:variant>
        <vt:lpwstr>_Toc380051781</vt:lpwstr>
      </vt:variant>
      <vt:variant>
        <vt:i4>1441841</vt:i4>
      </vt:variant>
      <vt:variant>
        <vt:i4>20</vt:i4>
      </vt:variant>
      <vt:variant>
        <vt:i4>0</vt:i4>
      </vt:variant>
      <vt:variant>
        <vt:i4>5</vt:i4>
      </vt:variant>
      <vt:variant>
        <vt:lpwstr/>
      </vt:variant>
      <vt:variant>
        <vt:lpwstr>_Toc380051780</vt:lpwstr>
      </vt:variant>
      <vt:variant>
        <vt:i4>1638449</vt:i4>
      </vt:variant>
      <vt:variant>
        <vt:i4>14</vt:i4>
      </vt:variant>
      <vt:variant>
        <vt:i4>0</vt:i4>
      </vt:variant>
      <vt:variant>
        <vt:i4>5</vt:i4>
      </vt:variant>
      <vt:variant>
        <vt:lpwstr/>
      </vt:variant>
      <vt:variant>
        <vt:lpwstr>_Toc380051779</vt:lpwstr>
      </vt:variant>
      <vt:variant>
        <vt:i4>1638449</vt:i4>
      </vt:variant>
      <vt:variant>
        <vt:i4>8</vt:i4>
      </vt:variant>
      <vt:variant>
        <vt:i4>0</vt:i4>
      </vt:variant>
      <vt:variant>
        <vt:i4>5</vt:i4>
      </vt:variant>
      <vt:variant>
        <vt:lpwstr/>
      </vt:variant>
      <vt:variant>
        <vt:lpwstr>_Toc380051778</vt:lpwstr>
      </vt:variant>
      <vt:variant>
        <vt:i4>1638449</vt:i4>
      </vt:variant>
      <vt:variant>
        <vt:i4>2</vt:i4>
      </vt:variant>
      <vt:variant>
        <vt:i4>0</vt:i4>
      </vt:variant>
      <vt:variant>
        <vt:i4>5</vt:i4>
      </vt:variant>
      <vt:variant>
        <vt:lpwstr/>
      </vt:variant>
      <vt:variant>
        <vt:lpwstr>_Toc380051777</vt:lpwstr>
      </vt:variant>
      <vt:variant>
        <vt:i4>4325417</vt:i4>
      </vt:variant>
      <vt:variant>
        <vt:i4>0</vt:i4>
      </vt:variant>
      <vt:variant>
        <vt:i4>0</vt:i4>
      </vt:variant>
      <vt:variant>
        <vt:i4>5</vt:i4>
      </vt:variant>
      <vt:variant>
        <vt:lpwstr>http://en.wikipedia.org/wiki/Heat_index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Braithwait</dc:creator>
  <cp:lastModifiedBy>Dan Hansen</cp:lastModifiedBy>
  <cp:revision>17</cp:revision>
  <cp:lastPrinted>2019-03-11T15:43:00Z</cp:lastPrinted>
  <dcterms:created xsi:type="dcterms:W3CDTF">2019-03-15T21:15:00Z</dcterms:created>
  <dcterms:modified xsi:type="dcterms:W3CDTF">2019-03-27T16:29:00Z</dcterms:modified>
</cp:coreProperties>
</file>