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3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12657"/>
        <w:gridCol w:w="993"/>
        <w:gridCol w:w="3050"/>
        <w:gridCol w:w="4408"/>
      </w:tblGrid>
      <w:tr w:rsidR="00FE2D96" w:rsidRPr="002015E9" w14:paraId="6E9AAD00" w14:textId="77777777" w:rsidTr="00005381">
        <w:tc>
          <w:tcPr>
            <w:tcW w:w="23040" w:type="dxa"/>
            <w:gridSpan w:val="5"/>
            <w:vAlign w:val="center"/>
          </w:tcPr>
          <w:p w14:paraId="1A7DFE8A" w14:textId="77777777" w:rsidR="00FE2D96" w:rsidRPr="002015E9" w:rsidRDefault="00FE2D96" w:rsidP="005A050F">
            <w:pPr>
              <w:jc w:val="center"/>
              <w:rPr>
                <w:rFonts w:ascii="Calibri" w:eastAsia="Times New Roman" w:hAnsi="Calibri" w:cs="Times New Roman"/>
                <w:b/>
                <w:bCs/>
                <w:color w:val="000000"/>
                <w:kern w:val="2"/>
                <w:sz w:val="26"/>
                <w:szCs w:val="26"/>
              </w:rPr>
            </w:pPr>
            <w:r w:rsidRPr="002015E9">
              <w:rPr>
                <w:rFonts w:ascii="Calibri" w:eastAsia="Times New Roman" w:hAnsi="Calibri" w:cs="Times New Roman"/>
                <w:b/>
                <w:bCs/>
                <w:color w:val="000000"/>
                <w:kern w:val="2"/>
                <w:sz w:val="26"/>
                <w:szCs w:val="26"/>
              </w:rPr>
              <w:t>Response to Recommendations (RTR) in Impact, Process, and Market Assessment Studies</w:t>
            </w:r>
          </w:p>
        </w:tc>
      </w:tr>
      <w:tr w:rsidR="00FE2D96" w:rsidRPr="002015E9" w14:paraId="0CCCB420" w14:textId="77777777" w:rsidTr="00005381">
        <w:tc>
          <w:tcPr>
            <w:tcW w:w="1932" w:type="dxa"/>
            <w:vAlign w:val="center"/>
          </w:tcPr>
          <w:p w14:paraId="3EEBD408" w14:textId="77777777" w:rsidR="00FE2D96" w:rsidRPr="002015E9" w:rsidRDefault="00FE2D96" w:rsidP="005A050F">
            <w:pPr>
              <w:rPr>
                <w:rFonts w:ascii="Calibri" w:eastAsia="Times New Roman" w:hAnsi="Calibri" w:cs="Times New Roman"/>
                <w:b/>
                <w:bCs/>
                <w:color w:val="000000"/>
                <w:kern w:val="2"/>
                <w:sz w:val="26"/>
                <w:szCs w:val="26"/>
              </w:rPr>
            </w:pPr>
          </w:p>
        </w:tc>
        <w:tc>
          <w:tcPr>
            <w:tcW w:w="12657" w:type="dxa"/>
            <w:vAlign w:val="center"/>
          </w:tcPr>
          <w:p w14:paraId="78321AA2" w14:textId="77777777" w:rsidR="00FE2D96" w:rsidRPr="002015E9" w:rsidRDefault="00FE2D96" w:rsidP="005A050F">
            <w:pPr>
              <w:rPr>
                <w:rFonts w:ascii="Calibri" w:eastAsia="Times New Roman" w:hAnsi="Calibri" w:cs="Times New Roman"/>
                <w:kern w:val="2"/>
                <w:sz w:val="26"/>
                <w:szCs w:val="26"/>
              </w:rPr>
            </w:pPr>
          </w:p>
        </w:tc>
        <w:tc>
          <w:tcPr>
            <w:tcW w:w="993" w:type="dxa"/>
            <w:vAlign w:val="center"/>
          </w:tcPr>
          <w:p w14:paraId="3534AFFD" w14:textId="77777777" w:rsidR="00FE2D96" w:rsidRPr="002015E9" w:rsidRDefault="00FE2D96" w:rsidP="005A050F">
            <w:pPr>
              <w:rPr>
                <w:rFonts w:ascii="Calibri" w:eastAsia="Times New Roman" w:hAnsi="Calibri" w:cs="Times New Roman"/>
                <w:kern w:val="2"/>
                <w:sz w:val="26"/>
                <w:szCs w:val="26"/>
              </w:rPr>
            </w:pPr>
          </w:p>
        </w:tc>
        <w:tc>
          <w:tcPr>
            <w:tcW w:w="3050" w:type="dxa"/>
            <w:vAlign w:val="center"/>
          </w:tcPr>
          <w:p w14:paraId="41504F8E" w14:textId="77777777" w:rsidR="00FE2D96" w:rsidRPr="002015E9" w:rsidRDefault="00FE2D96" w:rsidP="005A050F">
            <w:pPr>
              <w:rPr>
                <w:rFonts w:ascii="Calibri" w:eastAsia="Times New Roman" w:hAnsi="Calibri" w:cs="Times New Roman"/>
                <w:kern w:val="2"/>
                <w:sz w:val="26"/>
                <w:szCs w:val="26"/>
              </w:rPr>
            </w:pPr>
          </w:p>
        </w:tc>
        <w:tc>
          <w:tcPr>
            <w:tcW w:w="4408" w:type="dxa"/>
            <w:vAlign w:val="center"/>
          </w:tcPr>
          <w:p w14:paraId="4108E1D6" w14:textId="77777777" w:rsidR="00FE2D96" w:rsidRPr="002015E9" w:rsidRDefault="00FE2D96" w:rsidP="005A050F">
            <w:pPr>
              <w:rPr>
                <w:rFonts w:ascii="Calibri" w:eastAsia="Times New Roman" w:hAnsi="Calibri" w:cs="Times New Roman"/>
                <w:kern w:val="2"/>
                <w:sz w:val="26"/>
                <w:szCs w:val="26"/>
              </w:rPr>
            </w:pPr>
          </w:p>
        </w:tc>
      </w:tr>
      <w:tr w:rsidR="009F5073" w:rsidRPr="002015E9" w14:paraId="3D1F722B" w14:textId="77777777" w:rsidTr="00005381">
        <w:trPr>
          <w:gridAfter w:val="3"/>
          <w:wAfter w:w="8451" w:type="dxa"/>
        </w:trPr>
        <w:tc>
          <w:tcPr>
            <w:tcW w:w="1932" w:type="dxa"/>
            <w:vAlign w:val="center"/>
          </w:tcPr>
          <w:p w14:paraId="2426D9E3" w14:textId="77777777" w:rsidR="009F5073" w:rsidRPr="002015E9" w:rsidRDefault="009F5073" w:rsidP="005A050F">
            <w:pPr>
              <w:rPr>
                <w:rFonts w:ascii="Calibri" w:eastAsia="Times New Roman" w:hAnsi="Calibri" w:cs="Times New Roman"/>
                <w:b/>
                <w:bCs/>
                <w:color w:val="000000"/>
                <w:kern w:val="2"/>
                <w:sz w:val="26"/>
                <w:szCs w:val="26"/>
              </w:rPr>
            </w:pPr>
            <w:r w:rsidRPr="002015E9">
              <w:rPr>
                <w:rFonts w:ascii="Calibri" w:eastAsia="Times New Roman" w:hAnsi="Calibri" w:cs="Times New Roman"/>
                <w:b/>
                <w:bCs/>
                <w:color w:val="000000"/>
                <w:sz w:val="26"/>
                <w:szCs w:val="26"/>
              </w:rPr>
              <w:t xml:space="preserve">Study Title: </w:t>
            </w:r>
          </w:p>
        </w:tc>
        <w:tc>
          <w:tcPr>
            <w:tcW w:w="12657" w:type="dxa"/>
          </w:tcPr>
          <w:p w14:paraId="01819E07" w14:textId="4FC831A1" w:rsidR="009F5073" w:rsidRPr="002015E9" w:rsidRDefault="00CF618F" w:rsidP="005A050F">
            <w:pPr>
              <w:rPr>
                <w:rFonts w:ascii="Calibri" w:eastAsia="Times New Roman" w:hAnsi="Calibri" w:cs="Times New Roman"/>
                <w:b/>
                <w:bCs/>
                <w:color w:val="000000"/>
                <w:kern w:val="2"/>
                <w:sz w:val="26"/>
                <w:szCs w:val="26"/>
              </w:rPr>
            </w:pPr>
            <w:r>
              <w:rPr>
                <w:sz w:val="26"/>
                <w:szCs w:val="26"/>
              </w:rPr>
              <w:t>SOMAH Vendor Assessment</w:t>
            </w:r>
          </w:p>
        </w:tc>
      </w:tr>
      <w:tr w:rsidR="009F5073" w:rsidRPr="002015E9" w14:paraId="55A5D619" w14:textId="77777777" w:rsidTr="00005381">
        <w:trPr>
          <w:gridAfter w:val="3"/>
          <w:wAfter w:w="8451" w:type="dxa"/>
          <w:trHeight w:val="74"/>
        </w:trPr>
        <w:tc>
          <w:tcPr>
            <w:tcW w:w="1932" w:type="dxa"/>
            <w:vAlign w:val="center"/>
          </w:tcPr>
          <w:p w14:paraId="7A6BBE00" w14:textId="77777777" w:rsidR="009F5073" w:rsidRPr="002015E9" w:rsidRDefault="009F5073" w:rsidP="005A050F">
            <w:pPr>
              <w:rPr>
                <w:rFonts w:ascii="Calibri" w:eastAsia="Times New Roman" w:hAnsi="Calibri" w:cs="Times New Roman"/>
                <w:kern w:val="2"/>
                <w:sz w:val="26"/>
                <w:szCs w:val="26"/>
              </w:rPr>
            </w:pPr>
            <w:r w:rsidRPr="002015E9">
              <w:rPr>
                <w:rFonts w:ascii="Calibri" w:eastAsia="Times New Roman" w:hAnsi="Calibri" w:cs="Times New Roman"/>
                <w:b/>
                <w:bCs/>
                <w:color w:val="000000"/>
                <w:sz w:val="26"/>
                <w:szCs w:val="26"/>
              </w:rPr>
              <w:t xml:space="preserve">Program: </w:t>
            </w:r>
          </w:p>
        </w:tc>
        <w:tc>
          <w:tcPr>
            <w:tcW w:w="12657" w:type="dxa"/>
          </w:tcPr>
          <w:p w14:paraId="1264F2CD" w14:textId="5C951515" w:rsidR="009F5073" w:rsidRPr="002015E9" w:rsidRDefault="00D874B2" w:rsidP="005A050F">
            <w:pPr>
              <w:rPr>
                <w:rFonts w:ascii="Calibri" w:eastAsia="Times New Roman" w:hAnsi="Calibri" w:cs="Times New Roman"/>
                <w:b/>
                <w:bCs/>
                <w:color w:val="000000"/>
                <w:kern w:val="2"/>
                <w:sz w:val="26"/>
                <w:szCs w:val="26"/>
              </w:rPr>
            </w:pPr>
            <w:r>
              <w:rPr>
                <w:sz w:val="26"/>
                <w:szCs w:val="26"/>
              </w:rPr>
              <w:t>Solar on Multifamily Affordable Housing (SOMAH)</w:t>
            </w:r>
          </w:p>
        </w:tc>
      </w:tr>
      <w:tr w:rsidR="009F5073" w:rsidRPr="002015E9" w14:paraId="25639FD8" w14:textId="77777777" w:rsidTr="00005381">
        <w:trPr>
          <w:gridAfter w:val="3"/>
          <w:wAfter w:w="8451" w:type="dxa"/>
        </w:trPr>
        <w:tc>
          <w:tcPr>
            <w:tcW w:w="1932" w:type="dxa"/>
            <w:vAlign w:val="center"/>
          </w:tcPr>
          <w:p w14:paraId="561366A8" w14:textId="77777777" w:rsidR="009F5073" w:rsidRPr="002015E9" w:rsidRDefault="009F5073" w:rsidP="005A050F">
            <w:pPr>
              <w:rPr>
                <w:rFonts w:ascii="Calibri" w:eastAsia="Times New Roman" w:hAnsi="Calibri" w:cs="Times New Roman"/>
                <w:kern w:val="2"/>
                <w:sz w:val="26"/>
                <w:szCs w:val="26"/>
              </w:rPr>
            </w:pPr>
            <w:r w:rsidRPr="002015E9">
              <w:rPr>
                <w:rFonts w:ascii="Calibri" w:eastAsia="Times New Roman" w:hAnsi="Calibri" w:cs="Times New Roman"/>
                <w:b/>
                <w:bCs/>
                <w:color w:val="000000"/>
                <w:sz w:val="26"/>
                <w:szCs w:val="26"/>
              </w:rPr>
              <w:t xml:space="preserve">Author: </w:t>
            </w:r>
          </w:p>
        </w:tc>
        <w:tc>
          <w:tcPr>
            <w:tcW w:w="12657" w:type="dxa"/>
          </w:tcPr>
          <w:p w14:paraId="4156123F" w14:textId="5F847D59" w:rsidR="009F5073" w:rsidRPr="00D874B2" w:rsidRDefault="00D874B2" w:rsidP="005A050F">
            <w:pPr>
              <w:rPr>
                <w:rFonts w:ascii="Calibri" w:eastAsia="Times New Roman" w:hAnsi="Calibri" w:cs="Times New Roman"/>
                <w:color w:val="000000"/>
                <w:kern w:val="2"/>
                <w:sz w:val="26"/>
                <w:szCs w:val="26"/>
              </w:rPr>
            </w:pPr>
            <w:r>
              <w:rPr>
                <w:rFonts w:ascii="Calibri" w:eastAsia="Times New Roman" w:hAnsi="Calibri" w:cs="Times New Roman"/>
                <w:color w:val="000000"/>
                <w:kern w:val="2"/>
                <w:sz w:val="26"/>
                <w:szCs w:val="26"/>
              </w:rPr>
              <w:t>Verdant Associates</w:t>
            </w:r>
          </w:p>
        </w:tc>
      </w:tr>
      <w:tr w:rsidR="009F5073" w:rsidRPr="002015E9" w14:paraId="56BCFC7E" w14:textId="77777777" w:rsidTr="00005381">
        <w:trPr>
          <w:gridAfter w:val="3"/>
          <w:wAfter w:w="8451" w:type="dxa"/>
        </w:trPr>
        <w:tc>
          <w:tcPr>
            <w:tcW w:w="1932" w:type="dxa"/>
            <w:vAlign w:val="center"/>
          </w:tcPr>
          <w:p w14:paraId="79F7E5BA" w14:textId="77777777" w:rsidR="009F5073" w:rsidRPr="00244E79" w:rsidRDefault="009F5073" w:rsidP="005A050F">
            <w:pPr>
              <w:rPr>
                <w:rFonts w:ascii="Calibri" w:eastAsia="Times New Roman" w:hAnsi="Calibri" w:cs="Times New Roman"/>
                <w:kern w:val="2"/>
                <w:sz w:val="26"/>
                <w:szCs w:val="26"/>
              </w:rPr>
            </w:pPr>
            <w:proofErr w:type="spellStart"/>
            <w:r w:rsidRPr="00244E79">
              <w:rPr>
                <w:rFonts w:ascii="Calibri" w:eastAsia="Times New Roman" w:hAnsi="Calibri" w:cs="Times New Roman"/>
                <w:b/>
                <w:bCs/>
                <w:color w:val="000000"/>
                <w:sz w:val="26"/>
                <w:szCs w:val="26"/>
              </w:rPr>
              <w:t>Calmac</w:t>
            </w:r>
            <w:proofErr w:type="spellEnd"/>
            <w:r w:rsidRPr="00244E79">
              <w:rPr>
                <w:rFonts w:ascii="Calibri" w:eastAsia="Times New Roman" w:hAnsi="Calibri" w:cs="Times New Roman"/>
                <w:b/>
                <w:bCs/>
                <w:color w:val="000000"/>
                <w:sz w:val="26"/>
                <w:szCs w:val="26"/>
              </w:rPr>
              <w:t xml:space="preserve"> ID:</w:t>
            </w:r>
          </w:p>
        </w:tc>
        <w:tc>
          <w:tcPr>
            <w:tcW w:w="12657" w:type="dxa"/>
            <w:vAlign w:val="bottom"/>
          </w:tcPr>
          <w:p w14:paraId="3634FC9E" w14:textId="4F480F7F" w:rsidR="009F5073" w:rsidRPr="00244E79" w:rsidRDefault="0038674B" w:rsidP="005A050F">
            <w:pPr>
              <w:rPr>
                <w:rFonts w:ascii="Calibri" w:eastAsia="Times New Roman" w:hAnsi="Calibri" w:cs="Times New Roman"/>
                <w:b/>
                <w:bCs/>
                <w:kern w:val="2"/>
                <w:sz w:val="26"/>
                <w:szCs w:val="26"/>
              </w:rPr>
            </w:pPr>
            <w:r w:rsidRPr="00244E79">
              <w:rPr>
                <w:rFonts w:ascii="Calibri" w:eastAsia="Times New Roman" w:hAnsi="Calibri" w:cs="Times New Roman"/>
                <w:b/>
                <w:bCs/>
                <w:kern w:val="2"/>
                <w:sz w:val="26"/>
                <w:szCs w:val="26"/>
              </w:rPr>
              <w:t>CPU0330.06</w:t>
            </w:r>
          </w:p>
        </w:tc>
      </w:tr>
      <w:tr w:rsidR="009F5073" w:rsidRPr="002015E9" w14:paraId="0DA63059" w14:textId="77777777" w:rsidTr="00005381">
        <w:trPr>
          <w:gridAfter w:val="3"/>
          <w:wAfter w:w="8451" w:type="dxa"/>
        </w:trPr>
        <w:tc>
          <w:tcPr>
            <w:tcW w:w="1932" w:type="dxa"/>
            <w:vAlign w:val="center"/>
          </w:tcPr>
          <w:p w14:paraId="2B2F4537" w14:textId="77777777" w:rsidR="009F5073" w:rsidRPr="00244E79" w:rsidRDefault="009F5073" w:rsidP="005A050F">
            <w:pPr>
              <w:rPr>
                <w:rFonts w:ascii="Calibri" w:eastAsia="Times New Roman" w:hAnsi="Calibri" w:cs="Times New Roman"/>
                <w:kern w:val="2"/>
                <w:sz w:val="26"/>
                <w:szCs w:val="26"/>
              </w:rPr>
            </w:pPr>
            <w:r w:rsidRPr="00244E79">
              <w:rPr>
                <w:rFonts w:ascii="Calibri" w:eastAsia="Times New Roman" w:hAnsi="Calibri" w:cs="Times New Roman"/>
                <w:b/>
                <w:bCs/>
                <w:color w:val="000000"/>
                <w:sz w:val="26"/>
                <w:szCs w:val="26"/>
              </w:rPr>
              <w:t xml:space="preserve">ED WO: </w:t>
            </w:r>
          </w:p>
        </w:tc>
        <w:tc>
          <w:tcPr>
            <w:tcW w:w="12657" w:type="dxa"/>
            <w:vAlign w:val="bottom"/>
          </w:tcPr>
          <w:p w14:paraId="4F7F27D8" w14:textId="7A50B73C" w:rsidR="009F5073" w:rsidRPr="00244E79" w:rsidRDefault="00244E79" w:rsidP="005A050F">
            <w:pPr>
              <w:rPr>
                <w:rFonts w:ascii="Calibri" w:eastAsia="Times New Roman" w:hAnsi="Calibri" w:cs="Times New Roman"/>
                <w:bCs/>
                <w:kern w:val="2"/>
                <w:sz w:val="26"/>
                <w:szCs w:val="26"/>
              </w:rPr>
            </w:pPr>
            <w:r w:rsidRPr="00244E79">
              <w:rPr>
                <w:rFonts w:ascii="Calibri" w:eastAsia="Times New Roman" w:hAnsi="Calibri" w:cs="Times New Roman"/>
                <w:bCs/>
                <w:kern w:val="2"/>
                <w:sz w:val="26"/>
                <w:szCs w:val="26"/>
              </w:rPr>
              <w:t>N/A</w:t>
            </w:r>
          </w:p>
        </w:tc>
      </w:tr>
      <w:tr w:rsidR="009F5073" w:rsidRPr="002015E9" w14:paraId="089ED9E5" w14:textId="77777777" w:rsidTr="00005381">
        <w:trPr>
          <w:gridAfter w:val="3"/>
          <w:wAfter w:w="8451" w:type="dxa"/>
        </w:trPr>
        <w:tc>
          <w:tcPr>
            <w:tcW w:w="1932" w:type="dxa"/>
            <w:vAlign w:val="center"/>
          </w:tcPr>
          <w:p w14:paraId="3B9991A3" w14:textId="77777777" w:rsidR="009F5073" w:rsidRPr="002015E9" w:rsidRDefault="009F5073" w:rsidP="005A050F">
            <w:pPr>
              <w:rPr>
                <w:rFonts w:ascii="Calibri" w:eastAsia="Times New Roman" w:hAnsi="Calibri" w:cs="Times New Roman"/>
                <w:color w:val="000000"/>
                <w:kern w:val="2"/>
                <w:sz w:val="26"/>
                <w:szCs w:val="26"/>
              </w:rPr>
            </w:pPr>
            <w:r w:rsidRPr="002015E9">
              <w:rPr>
                <w:rFonts w:ascii="Calibri" w:eastAsia="Times New Roman" w:hAnsi="Calibri" w:cs="Times New Roman"/>
                <w:b/>
                <w:bCs/>
                <w:color w:val="000000"/>
                <w:sz w:val="26"/>
                <w:szCs w:val="26"/>
              </w:rPr>
              <w:t xml:space="preserve">Link to Report: </w:t>
            </w:r>
          </w:p>
        </w:tc>
        <w:tc>
          <w:tcPr>
            <w:tcW w:w="12657" w:type="dxa"/>
          </w:tcPr>
          <w:p w14:paraId="0D74E2C0" w14:textId="50F1884E" w:rsidR="009F5073" w:rsidRPr="004C6093" w:rsidRDefault="004C6093" w:rsidP="005A050F">
            <w:pPr>
              <w:rPr>
                <w:rFonts w:ascii="Century Gothic" w:hAnsi="Century Gothic"/>
                <w:color w:val="000000"/>
              </w:rPr>
            </w:pPr>
            <w:hyperlink r:id="rId11" w:history="1">
              <w:r>
                <w:rPr>
                  <w:rStyle w:val="Hyperlink"/>
                  <w:rFonts w:ascii="Century Gothic" w:hAnsi="Century Gothic"/>
                </w:rPr>
                <w:t>SOMAH Vendor Assessment Evaluation Report</w:t>
              </w:r>
            </w:hyperlink>
            <w:r>
              <w:rPr>
                <w:rFonts w:ascii="Century Gothic" w:hAnsi="Century Gothic"/>
                <w:color w:val="000000"/>
              </w:rPr>
              <w:t xml:space="preserve"> </w:t>
            </w:r>
          </w:p>
        </w:tc>
      </w:tr>
    </w:tbl>
    <w:p w14:paraId="2E95DC3A" w14:textId="77777777" w:rsidR="00FC1EDF" w:rsidRPr="002015E9" w:rsidRDefault="00FC1EDF" w:rsidP="00A71C60">
      <w:pPr>
        <w:rPr>
          <w:rFonts w:ascii="Calibri" w:eastAsia="Times New Roman" w:hAnsi="Calibri" w:cs="Times New Roman"/>
          <w:color w:val="000000"/>
          <w:kern w:val="2"/>
          <w:sz w:val="26"/>
          <w:szCs w:val="26"/>
        </w:rPr>
      </w:pPr>
    </w:p>
    <w:tbl>
      <w:tblPr>
        <w:tblW w:w="5000" w:type="pct"/>
        <w:tblLook w:val="04A0" w:firstRow="1" w:lastRow="0" w:firstColumn="1" w:lastColumn="0" w:noHBand="0" w:noVBand="1"/>
      </w:tblPr>
      <w:tblGrid>
        <w:gridCol w:w="576"/>
        <w:gridCol w:w="719"/>
        <w:gridCol w:w="4994"/>
        <w:gridCol w:w="7680"/>
        <w:gridCol w:w="1110"/>
        <w:gridCol w:w="7956"/>
      </w:tblGrid>
      <w:tr w:rsidR="00124F58" w:rsidRPr="002015E9" w14:paraId="1758F174" w14:textId="77777777" w:rsidTr="3E195337">
        <w:trPr>
          <w:cantSplit/>
          <w:trHeight w:val="377"/>
        </w:trPr>
        <w:tc>
          <w:tcPr>
            <w:tcW w:w="125" w:type="pct"/>
            <w:tcBorders>
              <w:top w:val="nil"/>
              <w:left w:val="nil"/>
              <w:bottom w:val="single" w:sz="4" w:space="0" w:color="auto"/>
              <w:right w:val="nil"/>
            </w:tcBorders>
            <w:shd w:val="clear" w:color="auto" w:fill="auto"/>
            <w:noWrap/>
            <w:vAlign w:val="center"/>
            <w:hideMark/>
          </w:tcPr>
          <w:p w14:paraId="603E1B74" w14:textId="7B36CC5C" w:rsidR="00124F58" w:rsidRPr="002015E9" w:rsidRDefault="00124F58" w:rsidP="00A71C60">
            <w:pPr>
              <w:rPr>
                <w:rFonts w:ascii="Calibri" w:eastAsia="Times New Roman" w:hAnsi="Calibri" w:cs="Times New Roman"/>
                <w:b/>
                <w:bCs/>
                <w:color w:val="000000"/>
                <w:kern w:val="2"/>
                <w:sz w:val="18"/>
                <w:szCs w:val="18"/>
              </w:rPr>
            </w:pPr>
            <w:r w:rsidRPr="002015E9">
              <w:rPr>
                <w:rFonts w:ascii="Calibri" w:eastAsia="Times New Roman" w:hAnsi="Calibri" w:cs="Times New Roman"/>
                <w:b/>
                <w:bCs/>
                <w:color w:val="000000"/>
                <w:kern w:val="2"/>
                <w:sz w:val="18"/>
                <w:szCs w:val="18"/>
              </w:rPr>
              <w:t xml:space="preserve"> </w:t>
            </w:r>
          </w:p>
        </w:tc>
        <w:tc>
          <w:tcPr>
            <w:tcW w:w="156" w:type="pct"/>
            <w:tcBorders>
              <w:top w:val="nil"/>
              <w:left w:val="nil"/>
              <w:bottom w:val="single" w:sz="4" w:space="0" w:color="auto"/>
              <w:right w:val="nil"/>
            </w:tcBorders>
            <w:shd w:val="clear" w:color="auto" w:fill="auto"/>
            <w:noWrap/>
            <w:vAlign w:val="center"/>
            <w:hideMark/>
          </w:tcPr>
          <w:p w14:paraId="49B02B80" w14:textId="5401C0C0" w:rsidR="00124F58" w:rsidRPr="002015E9" w:rsidRDefault="00124F58" w:rsidP="00A71C60">
            <w:pPr>
              <w:rPr>
                <w:rFonts w:ascii="Calibri" w:eastAsia="Times New Roman" w:hAnsi="Calibri" w:cs="Times New Roman"/>
                <w:b/>
                <w:bCs/>
                <w:color w:val="000000"/>
                <w:kern w:val="2"/>
                <w:sz w:val="18"/>
                <w:szCs w:val="18"/>
              </w:rPr>
            </w:pPr>
            <w:r w:rsidRPr="002015E9">
              <w:rPr>
                <w:rFonts w:ascii="Calibri" w:eastAsia="Times New Roman" w:hAnsi="Calibri" w:cs="Times New Roman"/>
                <w:b/>
                <w:bCs/>
                <w:color w:val="000000"/>
                <w:kern w:val="2"/>
                <w:sz w:val="18"/>
                <w:szCs w:val="18"/>
              </w:rPr>
              <w:t xml:space="preserve"> </w:t>
            </w:r>
          </w:p>
        </w:tc>
        <w:tc>
          <w:tcPr>
            <w:tcW w:w="1084" w:type="pct"/>
            <w:tcBorders>
              <w:top w:val="nil"/>
              <w:left w:val="nil"/>
              <w:bottom w:val="single" w:sz="4" w:space="0" w:color="auto"/>
              <w:right w:val="nil"/>
            </w:tcBorders>
            <w:shd w:val="clear" w:color="auto" w:fill="auto"/>
            <w:noWrap/>
            <w:vAlign w:val="center"/>
            <w:hideMark/>
          </w:tcPr>
          <w:p w14:paraId="068198BB" w14:textId="293DC9EC" w:rsidR="00124F58" w:rsidRPr="002015E9" w:rsidRDefault="00124F58" w:rsidP="00A71C60">
            <w:pPr>
              <w:rPr>
                <w:rFonts w:ascii="Calibri" w:eastAsia="Times New Roman" w:hAnsi="Calibri" w:cs="Times New Roman"/>
                <w:b/>
                <w:bCs/>
                <w:color w:val="000000"/>
                <w:kern w:val="2"/>
                <w:sz w:val="18"/>
                <w:szCs w:val="18"/>
              </w:rPr>
            </w:pPr>
            <w:r w:rsidRPr="002015E9">
              <w:rPr>
                <w:rFonts w:ascii="Calibri" w:eastAsia="Times New Roman" w:hAnsi="Calibri" w:cs="Times New Roman"/>
                <w:b/>
                <w:bCs/>
                <w:color w:val="000000"/>
                <w:kern w:val="2"/>
                <w:sz w:val="18"/>
                <w:szCs w:val="18"/>
              </w:rPr>
              <w:t xml:space="preserve"> </w:t>
            </w:r>
          </w:p>
        </w:tc>
        <w:tc>
          <w:tcPr>
            <w:tcW w:w="1667" w:type="pct"/>
            <w:tcBorders>
              <w:top w:val="nil"/>
              <w:left w:val="nil"/>
              <w:bottom w:val="single" w:sz="4" w:space="0" w:color="auto"/>
              <w:right w:val="nil"/>
            </w:tcBorders>
            <w:shd w:val="clear" w:color="auto" w:fill="auto"/>
            <w:noWrap/>
            <w:vAlign w:val="center"/>
            <w:hideMark/>
          </w:tcPr>
          <w:p w14:paraId="34CCFF7F" w14:textId="15887551" w:rsidR="00124F58" w:rsidRPr="002015E9" w:rsidRDefault="00124F58" w:rsidP="00A71C60">
            <w:pPr>
              <w:rPr>
                <w:rFonts w:ascii="Calibri" w:eastAsia="Times New Roman" w:hAnsi="Calibri" w:cs="Times New Roman"/>
                <w:b/>
                <w:bCs/>
                <w:color w:val="000000"/>
                <w:kern w:val="2"/>
                <w:sz w:val="18"/>
                <w:szCs w:val="18"/>
              </w:rPr>
            </w:pPr>
            <w:r w:rsidRPr="002015E9">
              <w:rPr>
                <w:rFonts w:ascii="Calibri" w:eastAsia="Times New Roman" w:hAnsi="Calibri" w:cs="Times New Roman"/>
                <w:b/>
                <w:bCs/>
                <w:color w:val="000000"/>
                <w:kern w:val="2"/>
                <w:sz w:val="18"/>
                <w:szCs w:val="18"/>
              </w:rPr>
              <w:t xml:space="preserve"> </w:t>
            </w:r>
          </w:p>
        </w:tc>
        <w:tc>
          <w:tcPr>
            <w:tcW w:w="1968" w:type="pct"/>
            <w:gridSpan w:val="2"/>
            <w:tcBorders>
              <w:top w:val="single" w:sz="4" w:space="0" w:color="auto"/>
              <w:left w:val="single" w:sz="4" w:space="0" w:color="auto"/>
              <w:bottom w:val="single" w:sz="4" w:space="0" w:color="auto"/>
              <w:right w:val="single" w:sz="4" w:space="0" w:color="auto"/>
            </w:tcBorders>
            <w:shd w:val="clear" w:color="auto" w:fill="FFD579"/>
            <w:vAlign w:val="center"/>
            <w:hideMark/>
          </w:tcPr>
          <w:p w14:paraId="4884CDCB" w14:textId="25F3A72B" w:rsidR="00124F58" w:rsidRPr="002015E9" w:rsidRDefault="00700768" w:rsidP="00A71C60">
            <w:pPr>
              <w:jc w:val="center"/>
              <w:rPr>
                <w:rFonts w:ascii="Calibri" w:eastAsia="Times New Roman" w:hAnsi="Calibri" w:cs="Times New Roman"/>
                <w:b/>
                <w:bCs/>
                <w:color w:val="000000"/>
                <w:kern w:val="2"/>
                <w:sz w:val="18"/>
                <w:szCs w:val="18"/>
              </w:rPr>
            </w:pPr>
            <w:r>
              <w:rPr>
                <w:rFonts w:ascii="Calibri" w:eastAsia="Times New Roman" w:hAnsi="Calibri" w:cs="Times New Roman"/>
                <w:b/>
                <w:bCs/>
                <w:color w:val="000000"/>
                <w:kern w:val="2"/>
                <w:sz w:val="18"/>
                <w:szCs w:val="18"/>
              </w:rPr>
              <w:t>Program Administrator or IOU Name (Add columns as needed)</w:t>
            </w:r>
          </w:p>
        </w:tc>
      </w:tr>
      <w:tr w:rsidR="00E20B20" w:rsidRPr="002015E9" w14:paraId="7980200E" w14:textId="77777777" w:rsidTr="3E195337">
        <w:trPr>
          <w:cantSplit/>
          <w:trHeight w:val="494"/>
        </w:trPr>
        <w:tc>
          <w:tcPr>
            <w:tcW w:w="125" w:type="pct"/>
            <w:tcBorders>
              <w:top w:val="single" w:sz="4" w:space="0" w:color="auto"/>
              <w:left w:val="single" w:sz="4" w:space="0" w:color="auto"/>
              <w:bottom w:val="single" w:sz="4" w:space="0" w:color="auto"/>
              <w:right w:val="single" w:sz="4" w:space="0" w:color="auto"/>
            </w:tcBorders>
            <w:shd w:val="clear" w:color="auto" w:fill="76D6FF"/>
            <w:vAlign w:val="center"/>
            <w:hideMark/>
          </w:tcPr>
          <w:p w14:paraId="4A33B652" w14:textId="77777777"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Item #</w:t>
            </w:r>
          </w:p>
        </w:tc>
        <w:tc>
          <w:tcPr>
            <w:tcW w:w="156" w:type="pct"/>
            <w:tcBorders>
              <w:top w:val="single" w:sz="4" w:space="0" w:color="auto"/>
              <w:left w:val="nil"/>
              <w:bottom w:val="single" w:sz="4" w:space="0" w:color="auto"/>
              <w:right w:val="single" w:sz="4" w:space="0" w:color="auto"/>
            </w:tcBorders>
            <w:shd w:val="clear" w:color="auto" w:fill="76D6FF"/>
            <w:vAlign w:val="center"/>
            <w:hideMark/>
          </w:tcPr>
          <w:p w14:paraId="3CE6570F" w14:textId="4E3C9B33"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Page #</w:t>
            </w:r>
          </w:p>
        </w:tc>
        <w:tc>
          <w:tcPr>
            <w:tcW w:w="1084" w:type="pct"/>
            <w:tcBorders>
              <w:top w:val="single" w:sz="4" w:space="0" w:color="auto"/>
              <w:left w:val="nil"/>
              <w:bottom w:val="single" w:sz="4" w:space="0" w:color="auto"/>
              <w:right w:val="single" w:sz="4" w:space="0" w:color="auto"/>
            </w:tcBorders>
            <w:shd w:val="clear" w:color="auto" w:fill="76D6FF"/>
            <w:vAlign w:val="center"/>
            <w:hideMark/>
          </w:tcPr>
          <w:p w14:paraId="6BA6AA2C" w14:textId="77777777"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Findings</w:t>
            </w:r>
          </w:p>
        </w:tc>
        <w:tc>
          <w:tcPr>
            <w:tcW w:w="1667" w:type="pct"/>
            <w:tcBorders>
              <w:top w:val="single" w:sz="4" w:space="0" w:color="auto"/>
              <w:left w:val="nil"/>
              <w:bottom w:val="single" w:sz="4" w:space="0" w:color="auto"/>
              <w:right w:val="single" w:sz="4" w:space="0" w:color="auto"/>
            </w:tcBorders>
            <w:shd w:val="clear" w:color="auto" w:fill="76D6FF"/>
            <w:vAlign w:val="center"/>
            <w:hideMark/>
          </w:tcPr>
          <w:p w14:paraId="73DB3E03" w14:textId="3FCA7F5C"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 xml:space="preserve">Best Practice / </w:t>
            </w:r>
            <w:r w:rsidRPr="003F18A9">
              <w:rPr>
                <w:rFonts w:ascii="Calibri" w:eastAsia="Times New Roman" w:hAnsi="Calibri" w:cs="Calibri"/>
                <w:b/>
                <w:bCs/>
                <w:kern w:val="2"/>
                <w:sz w:val="18"/>
                <w:szCs w:val="18"/>
              </w:rPr>
              <w:br/>
              <w:t>Recommendations</w:t>
            </w:r>
          </w:p>
        </w:tc>
        <w:tc>
          <w:tcPr>
            <w:tcW w:w="241" w:type="pct"/>
            <w:tcBorders>
              <w:top w:val="single" w:sz="4" w:space="0" w:color="auto"/>
              <w:left w:val="nil"/>
              <w:bottom w:val="single" w:sz="4" w:space="0" w:color="auto"/>
              <w:right w:val="single" w:sz="4" w:space="0" w:color="auto"/>
            </w:tcBorders>
            <w:shd w:val="clear" w:color="auto" w:fill="76D6FF"/>
            <w:vAlign w:val="center"/>
            <w:hideMark/>
          </w:tcPr>
          <w:p w14:paraId="0B08A73E" w14:textId="77777777"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Disposition</w:t>
            </w:r>
          </w:p>
        </w:tc>
        <w:tc>
          <w:tcPr>
            <w:tcW w:w="1727" w:type="pct"/>
            <w:tcBorders>
              <w:top w:val="single" w:sz="4" w:space="0" w:color="auto"/>
              <w:left w:val="nil"/>
              <w:bottom w:val="single" w:sz="4" w:space="0" w:color="auto"/>
              <w:right w:val="single" w:sz="4" w:space="0" w:color="auto"/>
            </w:tcBorders>
            <w:shd w:val="clear" w:color="auto" w:fill="76D6FF"/>
            <w:vAlign w:val="center"/>
            <w:hideMark/>
          </w:tcPr>
          <w:p w14:paraId="6604A1B1" w14:textId="193980B9" w:rsidR="00124F58" w:rsidRPr="003F18A9" w:rsidRDefault="00124F58" w:rsidP="003F18A9">
            <w:pPr>
              <w:jc w:val="center"/>
              <w:rPr>
                <w:rFonts w:ascii="Calibri" w:eastAsia="Times New Roman" w:hAnsi="Calibri" w:cs="Calibri"/>
                <w:b/>
                <w:bCs/>
                <w:kern w:val="2"/>
                <w:sz w:val="18"/>
                <w:szCs w:val="18"/>
              </w:rPr>
            </w:pPr>
            <w:r w:rsidRPr="003F18A9">
              <w:rPr>
                <w:rFonts w:ascii="Calibri" w:eastAsia="Times New Roman" w:hAnsi="Calibri" w:cs="Calibri"/>
                <w:b/>
                <w:bCs/>
                <w:kern w:val="2"/>
                <w:sz w:val="18"/>
                <w:szCs w:val="18"/>
              </w:rPr>
              <w:t>Disposition Notes</w:t>
            </w:r>
          </w:p>
        </w:tc>
      </w:tr>
      <w:tr w:rsidR="00E20B20" w:rsidRPr="002015E9" w14:paraId="03B965FE" w14:textId="77777777" w:rsidTr="3E195337">
        <w:trPr>
          <w:cantSplit/>
          <w:trHeight w:val="728"/>
        </w:trPr>
        <w:tc>
          <w:tcPr>
            <w:tcW w:w="125" w:type="pct"/>
            <w:tcBorders>
              <w:top w:val="single" w:sz="4" w:space="0" w:color="auto"/>
              <w:left w:val="single" w:sz="4" w:space="0" w:color="auto"/>
              <w:bottom w:val="single" w:sz="4" w:space="0" w:color="auto"/>
              <w:right w:val="single" w:sz="4" w:space="0" w:color="auto"/>
            </w:tcBorders>
            <w:shd w:val="clear" w:color="auto" w:fill="73FEFF"/>
            <w:vAlign w:val="center"/>
            <w:hideMark/>
          </w:tcPr>
          <w:p w14:paraId="435ABF95" w14:textId="508016DC" w:rsidR="00124F58" w:rsidRPr="003F18A9" w:rsidRDefault="00124F58" w:rsidP="003F18A9">
            <w:pPr>
              <w:jc w:val="center"/>
              <w:rPr>
                <w:rFonts w:ascii="Calibri" w:eastAsia="Times New Roman" w:hAnsi="Calibri" w:cs="Calibri"/>
                <w:b/>
                <w:bCs/>
                <w:kern w:val="2"/>
                <w:sz w:val="18"/>
                <w:szCs w:val="18"/>
              </w:rPr>
            </w:pPr>
          </w:p>
        </w:tc>
        <w:tc>
          <w:tcPr>
            <w:tcW w:w="156" w:type="pct"/>
            <w:tcBorders>
              <w:top w:val="single" w:sz="4" w:space="0" w:color="auto"/>
              <w:left w:val="nil"/>
              <w:bottom w:val="single" w:sz="4" w:space="0" w:color="auto"/>
              <w:right w:val="single" w:sz="4" w:space="0" w:color="auto"/>
            </w:tcBorders>
            <w:shd w:val="clear" w:color="auto" w:fill="73FEFF"/>
            <w:vAlign w:val="center"/>
            <w:hideMark/>
          </w:tcPr>
          <w:p w14:paraId="0B7492C5" w14:textId="5CF9E33E" w:rsidR="00124F58" w:rsidRPr="003F18A9" w:rsidRDefault="00124F58" w:rsidP="003F18A9">
            <w:pPr>
              <w:jc w:val="center"/>
              <w:rPr>
                <w:rFonts w:ascii="Calibri" w:eastAsia="Times New Roman" w:hAnsi="Calibri" w:cs="Calibri"/>
                <w:b/>
                <w:bCs/>
                <w:kern w:val="2"/>
                <w:sz w:val="18"/>
                <w:szCs w:val="18"/>
              </w:rPr>
            </w:pPr>
          </w:p>
        </w:tc>
        <w:tc>
          <w:tcPr>
            <w:tcW w:w="1084" w:type="pct"/>
            <w:tcBorders>
              <w:top w:val="single" w:sz="4" w:space="0" w:color="auto"/>
              <w:left w:val="nil"/>
              <w:bottom w:val="single" w:sz="4" w:space="0" w:color="auto"/>
              <w:right w:val="single" w:sz="4" w:space="0" w:color="auto"/>
            </w:tcBorders>
            <w:shd w:val="clear" w:color="auto" w:fill="73FEFF"/>
            <w:vAlign w:val="center"/>
            <w:hideMark/>
          </w:tcPr>
          <w:p w14:paraId="122F48AA" w14:textId="798F9BE2" w:rsidR="00124F58" w:rsidRPr="003F18A9" w:rsidRDefault="00124F58" w:rsidP="003F18A9">
            <w:pPr>
              <w:jc w:val="center"/>
              <w:rPr>
                <w:rFonts w:ascii="Calibri" w:eastAsia="Times New Roman" w:hAnsi="Calibri" w:cs="Calibri"/>
                <w:kern w:val="2"/>
                <w:sz w:val="18"/>
                <w:szCs w:val="18"/>
              </w:rPr>
            </w:pPr>
          </w:p>
        </w:tc>
        <w:tc>
          <w:tcPr>
            <w:tcW w:w="1667" w:type="pct"/>
            <w:tcBorders>
              <w:top w:val="single" w:sz="4" w:space="0" w:color="auto"/>
              <w:left w:val="nil"/>
              <w:bottom w:val="single" w:sz="4" w:space="0" w:color="auto"/>
              <w:right w:val="single" w:sz="4" w:space="0" w:color="auto"/>
            </w:tcBorders>
            <w:shd w:val="clear" w:color="auto" w:fill="73FEFF"/>
            <w:vAlign w:val="center"/>
            <w:hideMark/>
          </w:tcPr>
          <w:p w14:paraId="3B0364F8" w14:textId="155C2F8E" w:rsidR="00124F58" w:rsidRPr="003F18A9" w:rsidRDefault="00124F58" w:rsidP="003F18A9">
            <w:pPr>
              <w:jc w:val="center"/>
              <w:rPr>
                <w:rFonts w:ascii="Calibri" w:eastAsia="Times New Roman" w:hAnsi="Calibri" w:cs="Calibri"/>
                <w:kern w:val="2"/>
                <w:sz w:val="18"/>
                <w:szCs w:val="18"/>
              </w:rPr>
            </w:pPr>
          </w:p>
        </w:tc>
        <w:tc>
          <w:tcPr>
            <w:tcW w:w="241" w:type="pct"/>
            <w:tcBorders>
              <w:top w:val="single" w:sz="4" w:space="0" w:color="auto"/>
              <w:left w:val="nil"/>
              <w:bottom w:val="single" w:sz="4" w:space="0" w:color="auto"/>
              <w:right w:val="single" w:sz="4" w:space="0" w:color="auto"/>
            </w:tcBorders>
            <w:shd w:val="clear" w:color="auto" w:fill="73FEFF"/>
            <w:hideMark/>
          </w:tcPr>
          <w:p w14:paraId="7AC8B42B" w14:textId="0C9535F8" w:rsidR="00124F58" w:rsidRPr="003F18A9" w:rsidRDefault="00124F58" w:rsidP="003F18A9">
            <w:pPr>
              <w:jc w:val="center"/>
              <w:rPr>
                <w:rFonts w:ascii="Calibri" w:eastAsia="Times New Roman" w:hAnsi="Calibri" w:cs="Calibri"/>
                <w:kern w:val="2"/>
                <w:sz w:val="18"/>
                <w:szCs w:val="18"/>
              </w:rPr>
            </w:pPr>
            <w:r w:rsidRPr="003F18A9">
              <w:rPr>
                <w:rFonts w:ascii="Calibri" w:eastAsia="Times New Roman" w:hAnsi="Calibri" w:cs="Calibri"/>
                <w:kern w:val="2"/>
                <w:sz w:val="18"/>
                <w:szCs w:val="18"/>
              </w:rPr>
              <w:t xml:space="preserve">Choose: </w:t>
            </w:r>
            <w:r w:rsidRPr="003F18A9">
              <w:rPr>
                <w:rFonts w:ascii="Calibri" w:eastAsia="Times New Roman" w:hAnsi="Calibri" w:cs="Calibri"/>
                <w:kern w:val="2"/>
                <w:sz w:val="18"/>
                <w:szCs w:val="18"/>
              </w:rPr>
              <w:br/>
              <w:t>Accepted, R</w:t>
            </w:r>
            <w:r w:rsidR="00E20B20">
              <w:rPr>
                <w:rFonts w:ascii="Calibri" w:eastAsia="Times New Roman" w:hAnsi="Calibri" w:cs="Calibri"/>
                <w:kern w:val="2"/>
                <w:sz w:val="18"/>
                <w:szCs w:val="18"/>
              </w:rPr>
              <w:t>e</w:t>
            </w:r>
            <w:r w:rsidRPr="003F18A9">
              <w:rPr>
                <w:rFonts w:ascii="Calibri" w:eastAsia="Times New Roman" w:hAnsi="Calibri" w:cs="Calibri"/>
                <w:kern w:val="2"/>
                <w:sz w:val="18"/>
                <w:szCs w:val="18"/>
              </w:rPr>
              <w:t>jected, or Other</w:t>
            </w:r>
          </w:p>
        </w:tc>
        <w:tc>
          <w:tcPr>
            <w:tcW w:w="1727" w:type="pct"/>
            <w:tcBorders>
              <w:top w:val="single" w:sz="4" w:space="0" w:color="auto"/>
              <w:left w:val="nil"/>
              <w:bottom w:val="single" w:sz="4" w:space="0" w:color="auto"/>
              <w:right w:val="single" w:sz="4" w:space="0" w:color="auto"/>
            </w:tcBorders>
            <w:shd w:val="clear" w:color="auto" w:fill="73FEFF"/>
            <w:hideMark/>
          </w:tcPr>
          <w:p w14:paraId="00B4CFE9" w14:textId="04802044" w:rsidR="00124F58" w:rsidRPr="003F18A9" w:rsidRDefault="00124F58" w:rsidP="003F18A9">
            <w:pPr>
              <w:jc w:val="center"/>
              <w:rPr>
                <w:rFonts w:ascii="Calibri" w:eastAsia="Times New Roman" w:hAnsi="Calibri" w:cs="Calibri"/>
                <w:kern w:val="2"/>
                <w:sz w:val="18"/>
                <w:szCs w:val="18"/>
              </w:rPr>
            </w:pPr>
            <w:r w:rsidRPr="003F18A9">
              <w:rPr>
                <w:rFonts w:ascii="Calibri" w:eastAsia="Times New Roman" w:hAnsi="Calibri" w:cs="Calibri"/>
                <w:kern w:val="2"/>
                <w:sz w:val="18"/>
                <w:szCs w:val="18"/>
              </w:rPr>
              <w:t xml:space="preserve">Examples: </w:t>
            </w:r>
            <w:r w:rsidRPr="003F18A9">
              <w:rPr>
                <w:rFonts w:ascii="Calibri" w:eastAsia="Times New Roman" w:hAnsi="Calibri" w:cs="Calibri"/>
                <w:kern w:val="2"/>
                <w:sz w:val="18"/>
                <w:szCs w:val="18"/>
              </w:rPr>
              <w:br/>
              <w:t>Describe specific program change, give reason for rejection, or indicate that it's under further review.</w:t>
            </w:r>
          </w:p>
        </w:tc>
      </w:tr>
      <w:tr w:rsidR="007A5650" w:rsidRPr="002015E9" w14:paraId="6B80ADE6" w14:textId="77777777" w:rsidTr="3E195337">
        <w:trPr>
          <w:cantSplit/>
          <w:trHeight w:val="188"/>
        </w:trPr>
        <w:tc>
          <w:tcPr>
            <w:tcW w:w="125" w:type="pct"/>
            <w:vMerge w:val="restart"/>
            <w:tcBorders>
              <w:top w:val="single" w:sz="4" w:space="0" w:color="auto"/>
              <w:left w:val="single" w:sz="4" w:space="0" w:color="auto"/>
              <w:right w:val="single" w:sz="4" w:space="0" w:color="auto"/>
            </w:tcBorders>
            <w:shd w:val="clear" w:color="auto" w:fill="auto"/>
          </w:tcPr>
          <w:p w14:paraId="08F195C9" w14:textId="2C0535A9" w:rsidR="007A5650" w:rsidRPr="003F18A9" w:rsidRDefault="007A5650" w:rsidP="003F18A9">
            <w:pPr>
              <w:jc w:val="center"/>
              <w:rPr>
                <w:rFonts w:ascii="Calibri" w:eastAsia="Times New Roman" w:hAnsi="Calibri" w:cs="Calibri"/>
                <w:bCs/>
                <w:kern w:val="2"/>
                <w:sz w:val="18"/>
                <w:szCs w:val="18"/>
              </w:rPr>
            </w:pPr>
            <w:r>
              <w:rPr>
                <w:rFonts w:ascii="Calibri" w:eastAsia="Times New Roman" w:hAnsi="Calibri" w:cs="Calibri"/>
                <w:bCs/>
                <w:kern w:val="2"/>
                <w:sz w:val="18"/>
                <w:szCs w:val="18"/>
              </w:rPr>
              <w:t>1</w:t>
            </w:r>
          </w:p>
        </w:tc>
        <w:tc>
          <w:tcPr>
            <w:tcW w:w="156" w:type="pct"/>
            <w:vMerge w:val="restart"/>
            <w:tcBorders>
              <w:top w:val="single" w:sz="4" w:space="0" w:color="auto"/>
              <w:left w:val="nil"/>
              <w:right w:val="single" w:sz="4" w:space="0" w:color="auto"/>
            </w:tcBorders>
            <w:shd w:val="clear" w:color="auto" w:fill="auto"/>
          </w:tcPr>
          <w:p w14:paraId="370BE3D6" w14:textId="2E7AB242" w:rsidR="007A5650" w:rsidRPr="003F18A9" w:rsidRDefault="007A5650" w:rsidP="003F18A9">
            <w:pPr>
              <w:jc w:val="center"/>
              <w:rPr>
                <w:rFonts w:ascii="Calibri" w:eastAsia="Times New Roman" w:hAnsi="Calibri" w:cs="Calibri"/>
                <w:bCs/>
                <w:kern w:val="2"/>
                <w:sz w:val="18"/>
                <w:szCs w:val="18"/>
              </w:rPr>
            </w:pPr>
            <w:r>
              <w:rPr>
                <w:rFonts w:ascii="Calibri" w:eastAsia="Times New Roman" w:hAnsi="Calibri" w:cs="Calibri"/>
                <w:bCs/>
                <w:kern w:val="2"/>
                <w:sz w:val="18"/>
                <w:szCs w:val="18"/>
              </w:rPr>
              <w:t>58</w:t>
            </w:r>
          </w:p>
        </w:tc>
        <w:tc>
          <w:tcPr>
            <w:tcW w:w="1084" w:type="pct"/>
            <w:vMerge w:val="restart"/>
            <w:tcBorders>
              <w:top w:val="single" w:sz="4" w:space="0" w:color="auto"/>
              <w:left w:val="nil"/>
              <w:right w:val="single" w:sz="4" w:space="0" w:color="auto"/>
            </w:tcBorders>
            <w:shd w:val="clear" w:color="auto" w:fill="auto"/>
          </w:tcPr>
          <w:p w14:paraId="5E305BD6" w14:textId="01565D9A" w:rsidR="007A5650" w:rsidRPr="003F18A9" w:rsidRDefault="007A5650" w:rsidP="003F18A9">
            <w:pPr>
              <w:ind w:left="-21"/>
              <w:rPr>
                <w:rFonts w:ascii="Calibri" w:eastAsia="Times New Roman" w:hAnsi="Calibri" w:cs="Calibri"/>
                <w:kern w:val="2"/>
                <w:sz w:val="18"/>
                <w:szCs w:val="18"/>
              </w:rPr>
            </w:pPr>
            <w:r w:rsidRPr="00174A79">
              <w:rPr>
                <w:rFonts w:eastAsiaTheme="minorEastAsia"/>
                <w:color w:val="000000" w:themeColor="text1"/>
                <w:sz w:val="18"/>
                <w:szCs w:val="18"/>
              </w:rPr>
              <w:t>The SOMAH Phase II final report documented the primary barriers that participating and nonparticipating contractors faced to partaking in the SOMAH Program. As part of the Vendor Assessment the</w:t>
            </w:r>
            <w:r w:rsidR="000658DB">
              <w:rPr>
                <w:rFonts w:eastAsiaTheme="minorEastAsia"/>
                <w:color w:val="000000" w:themeColor="text1"/>
                <w:sz w:val="18"/>
                <w:szCs w:val="18"/>
              </w:rPr>
              <w:t xml:space="preserve"> </w:t>
            </w:r>
            <w:r w:rsidRPr="00174A79">
              <w:rPr>
                <w:rFonts w:eastAsiaTheme="minorEastAsia"/>
                <w:color w:val="000000" w:themeColor="text1"/>
                <w:sz w:val="18"/>
                <w:szCs w:val="18"/>
              </w:rPr>
              <w:t xml:space="preserve">contractor and property owner barriers </w:t>
            </w:r>
            <w:r>
              <w:rPr>
                <w:rFonts w:eastAsiaTheme="minorEastAsia"/>
                <w:color w:val="000000" w:themeColor="text1"/>
                <w:sz w:val="18"/>
                <w:szCs w:val="18"/>
              </w:rPr>
              <w:t xml:space="preserve">were mapped to the SOMAH PA </w:t>
            </w:r>
            <w:r w:rsidRPr="00174A79">
              <w:rPr>
                <w:rFonts w:eastAsiaTheme="minorEastAsia"/>
                <w:color w:val="000000" w:themeColor="text1"/>
                <w:sz w:val="18"/>
                <w:szCs w:val="18"/>
              </w:rPr>
              <w:t>tasks</w:t>
            </w:r>
            <w:r>
              <w:rPr>
                <w:rFonts w:eastAsiaTheme="minorEastAsia"/>
                <w:color w:val="000000" w:themeColor="text1"/>
                <w:sz w:val="18"/>
                <w:szCs w:val="18"/>
              </w:rPr>
              <w:t xml:space="preserve"> and associated spending</w:t>
            </w:r>
            <w:r w:rsidRPr="00174A79">
              <w:rPr>
                <w:rFonts w:eastAsiaTheme="minorEastAsia"/>
                <w:color w:val="000000" w:themeColor="text1"/>
                <w:sz w:val="18"/>
                <w:szCs w:val="18"/>
              </w:rPr>
              <w:t xml:space="preserve"> that address these barrier</w:t>
            </w:r>
            <w:r>
              <w:rPr>
                <w:rFonts w:eastAsiaTheme="minorEastAsia"/>
                <w:color w:val="000000" w:themeColor="text1"/>
                <w:sz w:val="18"/>
                <w:szCs w:val="18"/>
              </w:rPr>
              <w:t>s</w:t>
            </w:r>
            <w:r w:rsidR="007C2098">
              <w:rPr>
                <w:rFonts w:eastAsiaTheme="minorEastAsia"/>
                <w:color w:val="000000" w:themeColor="text1"/>
                <w:sz w:val="18"/>
                <w:szCs w:val="18"/>
              </w:rPr>
              <w:t xml:space="preserve"> to identify areas where </w:t>
            </w:r>
            <w:r w:rsidR="00D61DD9">
              <w:rPr>
                <w:rFonts w:eastAsiaTheme="minorEastAsia"/>
                <w:color w:val="000000" w:themeColor="text1"/>
                <w:sz w:val="18"/>
                <w:szCs w:val="18"/>
              </w:rPr>
              <w:t>additional SOMAH PA su</w:t>
            </w:r>
            <w:r w:rsidR="00C008AF">
              <w:rPr>
                <w:rFonts w:eastAsiaTheme="minorEastAsia"/>
                <w:color w:val="000000" w:themeColor="text1"/>
                <w:sz w:val="18"/>
                <w:szCs w:val="18"/>
              </w:rPr>
              <w:t>pport may be necessary</w:t>
            </w:r>
          </w:p>
        </w:tc>
        <w:tc>
          <w:tcPr>
            <w:tcW w:w="1667" w:type="pct"/>
            <w:tcBorders>
              <w:top w:val="single" w:sz="4" w:space="0" w:color="auto"/>
              <w:left w:val="nil"/>
              <w:bottom w:val="single" w:sz="4" w:space="0" w:color="auto"/>
              <w:right w:val="single" w:sz="4" w:space="0" w:color="auto"/>
            </w:tcBorders>
            <w:shd w:val="clear" w:color="auto" w:fill="auto"/>
          </w:tcPr>
          <w:p w14:paraId="0833415C" w14:textId="77777777" w:rsidR="00FA7B39" w:rsidRDefault="007A5650" w:rsidP="00A4335B">
            <w:pPr>
              <w:jc w:val="both"/>
              <w:rPr>
                <w:rFonts w:eastAsiaTheme="minorEastAsia"/>
                <w:color w:val="000000" w:themeColor="text1"/>
                <w:sz w:val="18"/>
                <w:szCs w:val="18"/>
              </w:rPr>
            </w:pPr>
            <w:r w:rsidRPr="00F82900">
              <w:rPr>
                <w:rFonts w:eastAsiaTheme="minorEastAsia"/>
                <w:color w:val="000000" w:themeColor="text1"/>
                <w:sz w:val="18"/>
                <w:szCs w:val="18"/>
              </w:rPr>
              <w:t>Areas identified where the SOMAH PA could do more to address barriers faced to participation include:</w:t>
            </w:r>
          </w:p>
          <w:p w14:paraId="34860380" w14:textId="129833AE" w:rsidR="007A5650" w:rsidRPr="00F82900" w:rsidRDefault="00FA7B39" w:rsidP="00FA7B39">
            <w:pPr>
              <w:jc w:val="both"/>
              <w:rPr>
                <w:sz w:val="18"/>
                <w:szCs w:val="18"/>
              </w:rPr>
            </w:pPr>
            <w:r>
              <w:rPr>
                <w:sz w:val="18"/>
                <w:szCs w:val="18"/>
              </w:rPr>
              <w:t xml:space="preserve">a. </w:t>
            </w:r>
            <w:r w:rsidRPr="005F3F80">
              <w:rPr>
                <w:sz w:val="18"/>
                <w:szCs w:val="18"/>
              </w:rPr>
              <w:t>Application Burden – Increase the support provided to contractors and property owners to minimize the application burden experience</w:t>
            </w:r>
            <w:r w:rsidR="00807C7D">
              <w:rPr>
                <w:sz w:val="18"/>
                <w:szCs w:val="18"/>
              </w:rPr>
              <w:t>d.</w:t>
            </w:r>
            <w:r w:rsidR="007A5650" w:rsidRPr="00F82900">
              <w:rPr>
                <w:rFonts w:eastAsiaTheme="minorEastAsia"/>
                <w:color w:val="000000" w:themeColor="text1"/>
                <w:sz w:val="18"/>
                <w:szCs w:val="18"/>
              </w:rPr>
              <w:t xml:space="preserve">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7D070688" w14:textId="4F6C1FCB" w:rsidR="007A5650" w:rsidRPr="003F18A9" w:rsidRDefault="00521B36" w:rsidP="003F18A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276EA898" w14:textId="4C541A43" w:rsidR="007A5650" w:rsidRDefault="0013623C" w:rsidP="0041412C">
            <w:pPr>
              <w:rPr>
                <w:rFonts w:ascii="Calibri" w:eastAsia="Times New Roman" w:hAnsi="Calibri" w:cs="Calibri"/>
                <w:kern w:val="2"/>
                <w:sz w:val="18"/>
                <w:szCs w:val="18"/>
              </w:rPr>
            </w:pPr>
            <w:r>
              <w:rPr>
                <w:rFonts w:ascii="Calibri" w:eastAsia="Times New Roman" w:hAnsi="Calibri" w:cs="Calibri"/>
                <w:kern w:val="2"/>
                <w:sz w:val="18"/>
                <w:szCs w:val="18"/>
              </w:rPr>
              <w:t>As outlin</w:t>
            </w:r>
            <w:r w:rsidR="00E46223">
              <w:rPr>
                <w:rFonts w:ascii="Calibri" w:eastAsia="Times New Roman" w:hAnsi="Calibri" w:cs="Calibri"/>
                <w:kern w:val="2"/>
                <w:sz w:val="18"/>
                <w:szCs w:val="18"/>
              </w:rPr>
              <w:t>ed</w:t>
            </w:r>
            <w:r w:rsidR="009043B3">
              <w:rPr>
                <w:rFonts w:ascii="Calibri" w:eastAsia="Times New Roman" w:hAnsi="Calibri" w:cs="Calibri"/>
                <w:kern w:val="2"/>
                <w:sz w:val="18"/>
                <w:szCs w:val="18"/>
              </w:rPr>
              <w:t xml:space="preserve"> in the Phase</w:t>
            </w:r>
            <w:r w:rsidR="00E3309E">
              <w:rPr>
                <w:rFonts w:ascii="Calibri" w:eastAsia="Times New Roman" w:hAnsi="Calibri" w:cs="Calibri"/>
                <w:kern w:val="2"/>
                <w:sz w:val="18"/>
                <w:szCs w:val="18"/>
              </w:rPr>
              <w:t xml:space="preserve"> II Evaluation RTR, </w:t>
            </w:r>
            <w:r w:rsidR="00E3309E">
              <w:rPr>
                <w:sz w:val="18"/>
                <w:szCs w:val="18"/>
              </w:rPr>
              <w:t>the SOMAH PA will re-evaluate the processing times and application requirements for the Reservation Request (initial document review, data request, application deposit) to determine the greatest opportunity for time efficiency and relief for the application document burden</w:t>
            </w:r>
            <w:r w:rsidR="00347E4D">
              <w:rPr>
                <w:sz w:val="18"/>
                <w:szCs w:val="18"/>
              </w:rPr>
              <w:t xml:space="preserve"> in Q1 202</w:t>
            </w:r>
            <w:r w:rsidR="00DD1A5E">
              <w:rPr>
                <w:sz w:val="18"/>
                <w:szCs w:val="18"/>
              </w:rPr>
              <w:t>2</w:t>
            </w:r>
            <w:r w:rsidR="00347E4D">
              <w:rPr>
                <w:sz w:val="18"/>
                <w:szCs w:val="18"/>
              </w:rPr>
              <w:t xml:space="preserve">. </w:t>
            </w:r>
            <w:r w:rsidR="00177B76">
              <w:rPr>
                <w:sz w:val="18"/>
                <w:szCs w:val="18"/>
              </w:rPr>
              <w:t xml:space="preserve">The Reservation Request is the most robust application milestone with the greatest opportunity for relief of administrative application burden, but there are </w:t>
            </w:r>
            <w:r w:rsidR="00170C5D">
              <w:rPr>
                <w:sz w:val="18"/>
                <w:szCs w:val="18"/>
              </w:rPr>
              <w:t>likely opportunities in other application</w:t>
            </w:r>
            <w:r w:rsidR="00160FDA">
              <w:rPr>
                <w:sz w:val="18"/>
                <w:szCs w:val="18"/>
              </w:rPr>
              <w:t xml:space="preserve"> </w:t>
            </w:r>
            <w:r w:rsidR="00170C5D">
              <w:rPr>
                <w:sz w:val="18"/>
                <w:szCs w:val="18"/>
              </w:rPr>
              <w:t>milestone</w:t>
            </w:r>
            <w:r w:rsidR="00160FDA">
              <w:rPr>
                <w:sz w:val="18"/>
                <w:szCs w:val="18"/>
              </w:rPr>
              <w:t>s/</w:t>
            </w:r>
            <w:r w:rsidR="00170C5D">
              <w:rPr>
                <w:sz w:val="18"/>
                <w:szCs w:val="18"/>
              </w:rPr>
              <w:t xml:space="preserve">areas as well. </w:t>
            </w:r>
            <w:r w:rsidR="00CD2A81">
              <w:rPr>
                <w:rFonts w:ascii="Calibri" w:eastAsia="Times New Roman" w:hAnsi="Calibri" w:cs="Calibri"/>
                <w:kern w:val="2"/>
                <w:sz w:val="18"/>
                <w:szCs w:val="18"/>
              </w:rPr>
              <w:t xml:space="preserve">The SOMAH PA is actively working to review, plan, and implement changes to application process to streamline the user experience, without sacrificing program requirements that are </w:t>
            </w:r>
            <w:r w:rsidR="00FB7BC2">
              <w:rPr>
                <w:rFonts w:ascii="Calibri" w:eastAsia="Times New Roman" w:hAnsi="Calibri" w:cs="Calibri"/>
                <w:kern w:val="2"/>
                <w:sz w:val="18"/>
                <w:szCs w:val="18"/>
              </w:rPr>
              <w:t>in keeping with</w:t>
            </w:r>
            <w:r w:rsidR="00CD2A81">
              <w:rPr>
                <w:rFonts w:ascii="Calibri" w:eastAsia="Times New Roman" w:hAnsi="Calibri" w:cs="Calibri"/>
                <w:kern w:val="2"/>
                <w:sz w:val="18"/>
                <w:szCs w:val="18"/>
              </w:rPr>
              <w:t xml:space="preserve"> program benefits, including energy efficiency, paid job training, direct economic benefits to tenants, performance, and permanency requirements, etc. In most cases, SOMAH incentives are in the hundreds of thousands of dollars, and the SOMAH PA is committed to balancing the need for a streamlined process with the need to ensure the intended benefits are upheld for 20 years after installation through our due diligence.</w:t>
            </w:r>
            <w:r w:rsidR="008F6660">
              <w:rPr>
                <w:rFonts w:ascii="Calibri" w:eastAsia="Times New Roman" w:hAnsi="Calibri" w:cs="Calibri"/>
                <w:kern w:val="2"/>
                <w:sz w:val="18"/>
                <w:szCs w:val="18"/>
              </w:rPr>
              <w:t xml:space="preserve"> The PA believes that </w:t>
            </w:r>
            <w:r w:rsidR="000A2719">
              <w:rPr>
                <w:rFonts w:ascii="Calibri" w:eastAsia="Times New Roman" w:hAnsi="Calibri" w:cs="Calibri"/>
                <w:kern w:val="2"/>
                <w:sz w:val="18"/>
                <w:szCs w:val="18"/>
              </w:rPr>
              <w:t>streamlining efforts for the application process will provide the largest and most immediate impact to contractors and property owners to minimize the application burden and recognizes the opportunity the expanded support services for program areas like Tenant Education and Technical Assistance to help support applicant tasks and participant requirements.</w:t>
            </w:r>
            <w:r w:rsidR="0034599A">
              <w:rPr>
                <w:rFonts w:ascii="Calibri" w:eastAsia="Times New Roman" w:hAnsi="Calibri" w:cs="Calibri"/>
                <w:kern w:val="2"/>
                <w:sz w:val="18"/>
                <w:szCs w:val="18"/>
              </w:rPr>
              <w:t xml:space="preserve"> Additional</w:t>
            </w:r>
            <w:r w:rsidR="0034599A" w:rsidRPr="0034599A">
              <w:rPr>
                <w:rFonts w:ascii="Calibri" w:eastAsia="Times New Roman" w:hAnsi="Calibri" w:cs="Calibri"/>
                <w:kern w:val="2"/>
                <w:sz w:val="18"/>
                <w:szCs w:val="18"/>
              </w:rPr>
              <w:t xml:space="preserve"> details on app</w:t>
            </w:r>
            <w:r w:rsidR="0034599A">
              <w:rPr>
                <w:rFonts w:ascii="Calibri" w:eastAsia="Times New Roman" w:hAnsi="Calibri" w:cs="Calibri"/>
                <w:kern w:val="2"/>
                <w:sz w:val="18"/>
                <w:szCs w:val="18"/>
              </w:rPr>
              <w:t>lication</w:t>
            </w:r>
            <w:r w:rsidR="0034599A" w:rsidRPr="0034599A">
              <w:rPr>
                <w:rFonts w:ascii="Calibri" w:eastAsia="Times New Roman" w:hAnsi="Calibri" w:cs="Calibri"/>
                <w:kern w:val="2"/>
                <w:sz w:val="18"/>
                <w:szCs w:val="18"/>
              </w:rPr>
              <w:t xml:space="preserve"> streamlining will be shared and circulated for feedback through stakeholder consultation and P</w:t>
            </w:r>
            <w:r w:rsidR="0034599A">
              <w:rPr>
                <w:rFonts w:ascii="Calibri" w:eastAsia="Times New Roman" w:hAnsi="Calibri" w:cs="Calibri"/>
                <w:kern w:val="2"/>
                <w:sz w:val="18"/>
                <w:szCs w:val="18"/>
              </w:rPr>
              <w:t xml:space="preserve">ublic </w:t>
            </w:r>
            <w:r w:rsidR="0034599A" w:rsidRPr="0034599A">
              <w:rPr>
                <w:rFonts w:ascii="Calibri" w:eastAsia="Times New Roman" w:hAnsi="Calibri" w:cs="Calibri"/>
                <w:kern w:val="2"/>
                <w:sz w:val="18"/>
                <w:szCs w:val="18"/>
              </w:rPr>
              <w:t>F</w:t>
            </w:r>
            <w:r w:rsidR="0034599A">
              <w:rPr>
                <w:rFonts w:ascii="Calibri" w:eastAsia="Times New Roman" w:hAnsi="Calibri" w:cs="Calibri"/>
                <w:kern w:val="2"/>
                <w:sz w:val="18"/>
                <w:szCs w:val="18"/>
              </w:rPr>
              <w:t>orum</w:t>
            </w:r>
            <w:r w:rsidR="0034599A" w:rsidRPr="0034599A">
              <w:rPr>
                <w:rFonts w:ascii="Calibri" w:eastAsia="Times New Roman" w:hAnsi="Calibri" w:cs="Calibri"/>
                <w:kern w:val="2"/>
                <w:sz w:val="18"/>
                <w:szCs w:val="18"/>
              </w:rPr>
              <w:t xml:space="preserve"> content</w:t>
            </w:r>
            <w:r w:rsidR="0034599A">
              <w:rPr>
                <w:rFonts w:ascii="Calibri" w:eastAsia="Times New Roman" w:hAnsi="Calibri" w:cs="Calibri"/>
                <w:kern w:val="2"/>
                <w:sz w:val="18"/>
                <w:szCs w:val="18"/>
              </w:rPr>
              <w:t xml:space="preserve"> forthcoming</w:t>
            </w:r>
            <w:r w:rsidR="0034599A" w:rsidRPr="0034599A">
              <w:rPr>
                <w:rFonts w:ascii="Calibri" w:eastAsia="Times New Roman" w:hAnsi="Calibri" w:cs="Calibri"/>
                <w:kern w:val="2"/>
                <w:sz w:val="18"/>
                <w:szCs w:val="18"/>
              </w:rPr>
              <w:t>.</w:t>
            </w:r>
          </w:p>
          <w:p w14:paraId="6CF86856" w14:textId="77777777" w:rsidR="00B52AD1" w:rsidRDefault="00B52AD1" w:rsidP="0041412C">
            <w:pPr>
              <w:rPr>
                <w:rFonts w:ascii="Calibri" w:eastAsia="Times New Roman" w:hAnsi="Calibri" w:cs="Calibri"/>
                <w:kern w:val="2"/>
                <w:sz w:val="18"/>
                <w:szCs w:val="18"/>
              </w:rPr>
            </w:pPr>
          </w:p>
          <w:p w14:paraId="074FBA80" w14:textId="5CA5A25F" w:rsidR="00B52AD1" w:rsidRDefault="73728360" w:rsidP="0041412C">
            <w:pPr>
              <w:rPr>
                <w:rFonts w:ascii="Calibri" w:eastAsia="Times New Roman" w:hAnsi="Calibri" w:cs="Calibri"/>
                <w:kern w:val="2"/>
                <w:sz w:val="18"/>
                <w:szCs w:val="18"/>
              </w:rPr>
            </w:pPr>
            <w:r w:rsidRPr="73728360">
              <w:rPr>
                <w:rFonts w:ascii="Calibri" w:eastAsia="Times New Roman" w:hAnsi="Calibri" w:cs="Calibri"/>
                <w:sz w:val="18"/>
                <w:szCs w:val="18"/>
              </w:rPr>
              <w:t xml:space="preserve">Areas of improvement may be addressed through the Advice Letter process with the </w:t>
            </w:r>
            <w:r w:rsidR="00AB74AA">
              <w:rPr>
                <w:rFonts w:ascii="Calibri" w:eastAsia="Times New Roman" w:hAnsi="Calibri" w:cs="Calibri"/>
                <w:sz w:val="18"/>
                <w:szCs w:val="18"/>
              </w:rPr>
              <w:t xml:space="preserve">currently </w:t>
            </w:r>
            <w:r w:rsidRPr="73728360">
              <w:rPr>
                <w:rFonts w:ascii="Calibri" w:eastAsia="Times New Roman" w:hAnsi="Calibri" w:cs="Calibri"/>
                <w:sz w:val="18"/>
                <w:szCs w:val="18"/>
              </w:rPr>
              <w:t>proposed Handbook changes</w:t>
            </w:r>
            <w:r w:rsidR="00895074">
              <w:rPr>
                <w:rFonts w:ascii="Calibri" w:eastAsia="Times New Roman" w:hAnsi="Calibri" w:cs="Calibri"/>
                <w:sz w:val="18"/>
                <w:szCs w:val="18"/>
              </w:rPr>
              <w:t xml:space="preserve"> (Handbook 5.0)</w:t>
            </w:r>
            <w:r w:rsidR="00FB7BC2">
              <w:rPr>
                <w:rFonts w:ascii="Calibri" w:eastAsia="Times New Roman" w:hAnsi="Calibri" w:cs="Calibri"/>
                <w:sz w:val="18"/>
                <w:szCs w:val="18"/>
              </w:rPr>
              <w:t>,</w:t>
            </w:r>
            <w:r w:rsidRPr="73728360">
              <w:rPr>
                <w:rFonts w:ascii="Calibri" w:eastAsia="Times New Roman" w:hAnsi="Calibri" w:cs="Calibri"/>
                <w:sz w:val="18"/>
                <w:szCs w:val="18"/>
              </w:rPr>
              <w:t xml:space="preserve"> includ</w:t>
            </w:r>
            <w:r w:rsidR="00FB7BC2">
              <w:rPr>
                <w:rFonts w:ascii="Calibri" w:eastAsia="Times New Roman" w:hAnsi="Calibri" w:cs="Calibri"/>
                <w:sz w:val="18"/>
                <w:szCs w:val="18"/>
              </w:rPr>
              <w:t>ing</w:t>
            </w:r>
            <w:r w:rsidRPr="73728360">
              <w:rPr>
                <w:rFonts w:ascii="Calibri" w:eastAsia="Times New Roman" w:hAnsi="Calibri" w:cs="Calibri"/>
                <w:sz w:val="18"/>
                <w:szCs w:val="18"/>
              </w:rPr>
              <w:t xml:space="preserve"> application deposit waivers for priority groups</w:t>
            </w:r>
            <w:r w:rsidR="00D33E52">
              <w:rPr>
                <w:rFonts w:ascii="Calibri" w:eastAsia="Times New Roman" w:hAnsi="Calibri" w:cs="Calibri"/>
                <w:sz w:val="18"/>
                <w:szCs w:val="18"/>
              </w:rPr>
              <w:t xml:space="preserve">, </w:t>
            </w:r>
            <w:r w:rsidRPr="73728360">
              <w:rPr>
                <w:rFonts w:ascii="Calibri" w:eastAsia="Times New Roman" w:hAnsi="Calibri" w:cs="Calibri"/>
                <w:sz w:val="18"/>
                <w:szCs w:val="18"/>
              </w:rPr>
              <w:t>clarification of the application deposit refund and reassignment (form requirements and process flow)</w:t>
            </w:r>
            <w:r w:rsidR="00D33E52">
              <w:rPr>
                <w:rFonts w:ascii="Calibri" w:eastAsia="Times New Roman" w:hAnsi="Calibri" w:cs="Calibri"/>
                <w:sz w:val="18"/>
                <w:szCs w:val="18"/>
              </w:rPr>
              <w:t>, and the opportunity to submit</w:t>
            </w:r>
            <w:r w:rsidR="00492BA6">
              <w:rPr>
                <w:rFonts w:ascii="Calibri" w:eastAsia="Times New Roman" w:hAnsi="Calibri" w:cs="Calibri"/>
                <w:sz w:val="18"/>
                <w:szCs w:val="18"/>
              </w:rPr>
              <w:t xml:space="preserve"> select milestones in tandem to reduce admin</w:t>
            </w:r>
            <w:r w:rsidR="00FB7BC2">
              <w:rPr>
                <w:rFonts w:ascii="Calibri" w:eastAsia="Times New Roman" w:hAnsi="Calibri" w:cs="Calibri"/>
                <w:sz w:val="18"/>
                <w:szCs w:val="18"/>
              </w:rPr>
              <w:t>istrative</w:t>
            </w:r>
            <w:r w:rsidR="00492BA6">
              <w:rPr>
                <w:rFonts w:ascii="Calibri" w:eastAsia="Times New Roman" w:hAnsi="Calibri" w:cs="Calibri"/>
                <w:sz w:val="18"/>
                <w:szCs w:val="18"/>
              </w:rPr>
              <w:t xml:space="preserve"> fatigue at multiple engagement points where projects have already progressed with the necessary requirements</w:t>
            </w:r>
            <w:r w:rsidRPr="73728360">
              <w:rPr>
                <w:rFonts w:ascii="Calibri" w:eastAsia="Times New Roman" w:hAnsi="Calibri" w:cs="Calibri"/>
                <w:sz w:val="18"/>
                <w:szCs w:val="18"/>
              </w:rPr>
              <w:t>.</w:t>
            </w:r>
          </w:p>
          <w:p w14:paraId="3DB44855" w14:textId="77777777" w:rsidR="00CD2A81" w:rsidRDefault="00CD2A81" w:rsidP="0041412C">
            <w:pPr>
              <w:rPr>
                <w:rFonts w:ascii="Calibri" w:eastAsia="Times New Roman" w:hAnsi="Calibri" w:cs="Calibri"/>
                <w:kern w:val="2"/>
                <w:sz w:val="18"/>
                <w:szCs w:val="18"/>
              </w:rPr>
            </w:pPr>
          </w:p>
          <w:p w14:paraId="4D064EBD" w14:textId="225474C2" w:rsidR="00CD2A81" w:rsidRDefault="00B05946" w:rsidP="0041412C">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sidRPr="000860BF">
              <w:rPr>
                <w:rFonts w:ascii="Calibri" w:eastAsia="Times New Roman" w:hAnsi="Calibri" w:cs="Calibri"/>
                <w:b/>
                <w:bCs/>
                <w:kern w:val="2"/>
                <w:sz w:val="18"/>
                <w:szCs w:val="18"/>
              </w:rPr>
              <w:t>:</w:t>
            </w:r>
            <w:r w:rsidR="0057500C">
              <w:rPr>
                <w:rFonts w:ascii="Calibri" w:eastAsia="Times New Roman" w:hAnsi="Calibri" w:cs="Calibri"/>
                <w:kern w:val="2"/>
                <w:sz w:val="18"/>
                <w:szCs w:val="18"/>
              </w:rPr>
              <w:t xml:space="preserve"> Applicants </w:t>
            </w:r>
            <w:r w:rsidR="007C0FC3">
              <w:rPr>
                <w:rFonts w:ascii="Calibri" w:eastAsia="Times New Roman" w:hAnsi="Calibri" w:cs="Calibri"/>
                <w:kern w:val="2"/>
                <w:sz w:val="18"/>
                <w:szCs w:val="18"/>
              </w:rPr>
              <w:t>–</w:t>
            </w:r>
            <w:r w:rsidR="0057500C">
              <w:rPr>
                <w:rFonts w:ascii="Calibri" w:eastAsia="Times New Roman" w:hAnsi="Calibri" w:cs="Calibri"/>
                <w:kern w:val="2"/>
                <w:sz w:val="18"/>
                <w:szCs w:val="18"/>
              </w:rPr>
              <w:t xml:space="preserve"> </w:t>
            </w:r>
            <w:r w:rsidR="007C0FC3">
              <w:rPr>
                <w:rFonts w:ascii="Calibri" w:eastAsia="Times New Roman" w:hAnsi="Calibri" w:cs="Calibri"/>
                <w:kern w:val="2"/>
                <w:sz w:val="18"/>
                <w:szCs w:val="18"/>
              </w:rPr>
              <w:t>Contractors and Property Owners</w:t>
            </w:r>
          </w:p>
          <w:p w14:paraId="119295E8" w14:textId="3068822F" w:rsidR="00CD2A81" w:rsidRPr="0041412C" w:rsidRDefault="00CD2A81" w:rsidP="0041412C">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sidR="00347E4D">
              <w:rPr>
                <w:rFonts w:ascii="Calibri" w:eastAsia="Times New Roman" w:hAnsi="Calibri" w:cs="Calibri"/>
                <w:kern w:val="2"/>
                <w:sz w:val="18"/>
                <w:szCs w:val="18"/>
              </w:rPr>
              <w:t xml:space="preserve"> Q1</w:t>
            </w:r>
            <w:r w:rsidR="0057500C">
              <w:rPr>
                <w:rFonts w:ascii="Calibri" w:eastAsia="Times New Roman" w:hAnsi="Calibri" w:cs="Calibri"/>
                <w:kern w:val="2"/>
                <w:sz w:val="18"/>
                <w:szCs w:val="18"/>
              </w:rPr>
              <w:t xml:space="preserve"> </w:t>
            </w:r>
            <w:r w:rsidR="00B52AD1">
              <w:rPr>
                <w:rFonts w:ascii="Calibri" w:eastAsia="Times New Roman" w:hAnsi="Calibri" w:cs="Calibri"/>
                <w:kern w:val="2"/>
                <w:sz w:val="18"/>
                <w:szCs w:val="18"/>
              </w:rPr>
              <w:t xml:space="preserve">&amp; Q2 </w:t>
            </w:r>
            <w:r w:rsidR="0057500C">
              <w:rPr>
                <w:rFonts w:ascii="Calibri" w:eastAsia="Times New Roman" w:hAnsi="Calibri" w:cs="Calibri"/>
                <w:kern w:val="2"/>
                <w:sz w:val="18"/>
                <w:szCs w:val="18"/>
              </w:rPr>
              <w:t>202</w:t>
            </w:r>
            <w:r w:rsidR="00197275">
              <w:rPr>
                <w:rFonts w:ascii="Calibri" w:eastAsia="Times New Roman" w:hAnsi="Calibri" w:cs="Calibri"/>
                <w:kern w:val="2"/>
                <w:sz w:val="18"/>
                <w:szCs w:val="18"/>
              </w:rPr>
              <w:t>2</w:t>
            </w:r>
          </w:p>
        </w:tc>
      </w:tr>
      <w:tr w:rsidR="00FA7B39" w:rsidRPr="002015E9" w14:paraId="42B16EDD" w14:textId="77777777" w:rsidTr="3E195337">
        <w:trPr>
          <w:cantSplit/>
          <w:trHeight w:val="188"/>
        </w:trPr>
        <w:tc>
          <w:tcPr>
            <w:tcW w:w="125" w:type="pct"/>
            <w:vMerge/>
          </w:tcPr>
          <w:p w14:paraId="126A0209" w14:textId="77777777" w:rsidR="00FA7B39" w:rsidRDefault="00FA7B39" w:rsidP="00FA7B39">
            <w:pPr>
              <w:jc w:val="center"/>
              <w:rPr>
                <w:rFonts w:ascii="Calibri" w:eastAsia="Times New Roman" w:hAnsi="Calibri" w:cs="Calibri"/>
                <w:bCs/>
                <w:kern w:val="2"/>
                <w:sz w:val="18"/>
                <w:szCs w:val="18"/>
              </w:rPr>
            </w:pPr>
          </w:p>
        </w:tc>
        <w:tc>
          <w:tcPr>
            <w:tcW w:w="156" w:type="pct"/>
            <w:vMerge/>
          </w:tcPr>
          <w:p w14:paraId="07DCCB18" w14:textId="77777777" w:rsidR="00FA7B39" w:rsidRDefault="00FA7B39" w:rsidP="00FA7B39">
            <w:pPr>
              <w:jc w:val="center"/>
              <w:rPr>
                <w:rFonts w:ascii="Calibri" w:eastAsia="Times New Roman" w:hAnsi="Calibri" w:cs="Calibri"/>
                <w:bCs/>
                <w:kern w:val="2"/>
                <w:sz w:val="18"/>
                <w:szCs w:val="18"/>
              </w:rPr>
            </w:pPr>
          </w:p>
        </w:tc>
        <w:tc>
          <w:tcPr>
            <w:tcW w:w="1084" w:type="pct"/>
            <w:vMerge/>
          </w:tcPr>
          <w:p w14:paraId="3C68178F" w14:textId="77777777" w:rsidR="00FA7B39" w:rsidRPr="00454CE5" w:rsidRDefault="00FA7B39" w:rsidP="00FA7B39">
            <w:pPr>
              <w:jc w:val="both"/>
              <w:rPr>
                <w:sz w:val="18"/>
                <w:szCs w:val="18"/>
              </w:rPr>
            </w:pPr>
          </w:p>
        </w:tc>
        <w:tc>
          <w:tcPr>
            <w:tcW w:w="1667" w:type="pct"/>
            <w:tcBorders>
              <w:top w:val="single" w:sz="4" w:space="0" w:color="auto"/>
              <w:left w:val="nil"/>
              <w:bottom w:val="single" w:sz="4" w:space="0" w:color="auto"/>
              <w:right w:val="single" w:sz="4" w:space="0" w:color="auto"/>
            </w:tcBorders>
            <w:shd w:val="clear" w:color="auto" w:fill="auto"/>
          </w:tcPr>
          <w:p w14:paraId="005C9980" w14:textId="623327FC" w:rsidR="00FA7B39" w:rsidRPr="00454CE5" w:rsidRDefault="00FA7B39" w:rsidP="00FA7B39">
            <w:pPr>
              <w:pStyle w:val="ListBullet"/>
              <w:numPr>
                <w:ilvl w:val="0"/>
                <w:numId w:val="0"/>
              </w:numPr>
              <w:contextualSpacing w:val="0"/>
              <w:jc w:val="both"/>
              <w:rPr>
                <w:sz w:val="18"/>
                <w:szCs w:val="18"/>
              </w:rPr>
            </w:pPr>
            <w:r>
              <w:rPr>
                <w:sz w:val="18"/>
                <w:szCs w:val="18"/>
              </w:rPr>
              <w:t xml:space="preserve">b. </w:t>
            </w:r>
            <w:r w:rsidRPr="005F3F80">
              <w:rPr>
                <w:sz w:val="18"/>
                <w:szCs w:val="18"/>
              </w:rPr>
              <w:t xml:space="preserve">Generating Project Leads – Increase engagement with </w:t>
            </w:r>
            <w:r w:rsidR="00807C7D">
              <w:rPr>
                <w:sz w:val="18"/>
                <w:szCs w:val="18"/>
              </w:rPr>
              <w:t xml:space="preserve">SOMAH-eligible </w:t>
            </w:r>
            <w:r w:rsidRPr="005F3F80">
              <w:rPr>
                <w:sz w:val="18"/>
                <w:szCs w:val="18"/>
              </w:rPr>
              <w:t xml:space="preserve">property owners to help build a robust pipeline of future </w:t>
            </w:r>
            <w:r w:rsidR="008F3CD4">
              <w:rPr>
                <w:sz w:val="18"/>
                <w:szCs w:val="18"/>
              </w:rPr>
              <w:t xml:space="preserve">SOMAH </w:t>
            </w:r>
            <w:r w:rsidRPr="005F3F80">
              <w:rPr>
                <w:sz w:val="18"/>
                <w:szCs w:val="18"/>
              </w:rPr>
              <w:t xml:space="preserve">projects.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7B798116" w14:textId="5EA92D8D" w:rsidR="00FA7B39" w:rsidRPr="003F18A9" w:rsidRDefault="00521B3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632EB6A4" w14:textId="59530F85" w:rsidR="00FA7B39" w:rsidRDefault="00CD2A81" w:rsidP="00FA7B39">
            <w:pPr>
              <w:rPr>
                <w:rFonts w:ascii="Calibri" w:eastAsia="Times New Roman" w:hAnsi="Calibri" w:cs="Calibri"/>
                <w:kern w:val="2"/>
                <w:sz w:val="18"/>
                <w:szCs w:val="18"/>
              </w:rPr>
            </w:pPr>
            <w:r>
              <w:rPr>
                <w:rFonts w:ascii="Calibri" w:eastAsia="Times New Roman" w:hAnsi="Calibri" w:cs="Calibri"/>
                <w:kern w:val="2"/>
                <w:sz w:val="18"/>
                <w:szCs w:val="18"/>
              </w:rPr>
              <w:t xml:space="preserve">The SOMAH PA’s 2022 ME&amp;O Plan includes detailed information regarding plans to build a robust </w:t>
            </w:r>
            <w:r w:rsidR="00294FEE">
              <w:rPr>
                <w:rFonts w:ascii="Calibri" w:eastAsia="Times New Roman" w:hAnsi="Calibri" w:cs="Calibri"/>
                <w:kern w:val="2"/>
                <w:sz w:val="18"/>
                <w:szCs w:val="18"/>
              </w:rPr>
              <w:t xml:space="preserve">project </w:t>
            </w:r>
            <w:r>
              <w:rPr>
                <w:rFonts w:ascii="Calibri" w:eastAsia="Times New Roman" w:hAnsi="Calibri" w:cs="Calibri"/>
                <w:kern w:val="2"/>
                <w:sz w:val="18"/>
                <w:szCs w:val="18"/>
              </w:rPr>
              <w:t>pipeline to meet SOMAH’s overarching program goal</w:t>
            </w:r>
            <w:r w:rsidR="00294FEE">
              <w:rPr>
                <w:rFonts w:ascii="Calibri" w:eastAsia="Times New Roman" w:hAnsi="Calibri" w:cs="Calibri"/>
                <w:kern w:val="2"/>
                <w:sz w:val="18"/>
                <w:szCs w:val="18"/>
              </w:rPr>
              <w:t xml:space="preserve"> of </w:t>
            </w:r>
            <w:r w:rsidR="00294FEE" w:rsidRPr="00294FEE">
              <w:rPr>
                <w:rFonts w:ascii="Calibri" w:eastAsia="Times New Roman" w:hAnsi="Calibri" w:cs="Calibri"/>
                <w:kern w:val="2"/>
                <w:sz w:val="18"/>
                <w:szCs w:val="18"/>
              </w:rPr>
              <w:t xml:space="preserve">300 </w:t>
            </w:r>
            <w:r w:rsidR="00294FEE">
              <w:rPr>
                <w:rFonts w:ascii="Calibri" w:eastAsia="Times New Roman" w:hAnsi="Calibri" w:cs="Calibri"/>
                <w:kern w:val="2"/>
                <w:sz w:val="18"/>
                <w:szCs w:val="18"/>
              </w:rPr>
              <w:t>MW</w:t>
            </w:r>
            <w:r w:rsidR="00294FEE" w:rsidRPr="00294FEE">
              <w:rPr>
                <w:rFonts w:ascii="Calibri" w:eastAsia="Times New Roman" w:hAnsi="Calibri" w:cs="Calibri"/>
                <w:kern w:val="2"/>
                <w:sz w:val="18"/>
                <w:szCs w:val="18"/>
              </w:rPr>
              <w:t xml:space="preserve"> of solar generating capacity by 2030</w:t>
            </w:r>
            <w:r>
              <w:rPr>
                <w:rFonts w:ascii="Calibri" w:eastAsia="Times New Roman" w:hAnsi="Calibri" w:cs="Calibri"/>
                <w:kern w:val="2"/>
                <w:sz w:val="18"/>
                <w:szCs w:val="18"/>
              </w:rPr>
              <w:t>. The SOMAH PA is committed to conducting outreach to at least 200 affordable housing organizations in 2022. Direct outreach efforts will be tailored by property owner organization</w:t>
            </w:r>
            <w:r w:rsidR="00EE65EE">
              <w:rPr>
                <w:rFonts w:ascii="Calibri" w:eastAsia="Times New Roman" w:hAnsi="Calibri" w:cs="Calibri"/>
                <w:kern w:val="2"/>
                <w:sz w:val="18"/>
                <w:szCs w:val="18"/>
              </w:rPr>
              <w:t>s</w:t>
            </w:r>
            <w:r>
              <w:rPr>
                <w:rFonts w:ascii="Calibri" w:eastAsia="Times New Roman" w:hAnsi="Calibri" w:cs="Calibri"/>
                <w:kern w:val="2"/>
                <w:sz w:val="18"/>
                <w:szCs w:val="18"/>
              </w:rPr>
              <w:t xml:space="preserve"> as well as a variety of other factors</w:t>
            </w:r>
            <w:r w:rsidR="00294FEE">
              <w:rPr>
                <w:rFonts w:ascii="Calibri" w:eastAsia="Times New Roman" w:hAnsi="Calibri" w:cs="Calibri"/>
                <w:kern w:val="2"/>
                <w:sz w:val="18"/>
                <w:szCs w:val="18"/>
              </w:rPr>
              <w:t>,</w:t>
            </w:r>
            <w:r w:rsidR="00EE65EE">
              <w:rPr>
                <w:rFonts w:ascii="Calibri" w:eastAsia="Times New Roman" w:hAnsi="Calibri" w:cs="Calibri"/>
                <w:kern w:val="2"/>
                <w:sz w:val="18"/>
                <w:szCs w:val="18"/>
              </w:rPr>
              <w:t xml:space="preserve"> including</w:t>
            </w:r>
            <w:r>
              <w:rPr>
                <w:rFonts w:ascii="Calibri" w:eastAsia="Times New Roman" w:hAnsi="Calibri" w:cs="Calibri"/>
                <w:kern w:val="2"/>
                <w:sz w:val="18"/>
                <w:szCs w:val="18"/>
              </w:rPr>
              <w:t xml:space="preserve"> geographic region, SOMAH enrollment status, number of identified potentially eligible properties, etc. Furthermore, the SOMAH PA is committed to creating resources designed to address and mitigate barriers to participation</w:t>
            </w:r>
            <w:r w:rsidR="00F16954">
              <w:rPr>
                <w:rFonts w:ascii="Calibri" w:eastAsia="Times New Roman" w:hAnsi="Calibri" w:cs="Calibri"/>
                <w:kern w:val="2"/>
                <w:sz w:val="18"/>
                <w:szCs w:val="18"/>
              </w:rPr>
              <w:t>,</w:t>
            </w:r>
            <w:r>
              <w:rPr>
                <w:rFonts w:ascii="Calibri" w:eastAsia="Times New Roman" w:hAnsi="Calibri" w:cs="Calibri"/>
                <w:kern w:val="2"/>
                <w:sz w:val="18"/>
                <w:szCs w:val="18"/>
              </w:rPr>
              <w:t xml:space="preserve"> such as informational webinars on topics </w:t>
            </w:r>
            <w:r w:rsidR="00F16954">
              <w:rPr>
                <w:rFonts w:ascii="Calibri" w:eastAsia="Times New Roman" w:hAnsi="Calibri" w:cs="Calibri"/>
                <w:kern w:val="2"/>
                <w:sz w:val="18"/>
                <w:szCs w:val="18"/>
              </w:rPr>
              <w:t>like</w:t>
            </w:r>
            <w:r>
              <w:rPr>
                <w:rFonts w:ascii="Calibri" w:eastAsia="Times New Roman" w:hAnsi="Calibri" w:cs="Calibri"/>
                <w:kern w:val="2"/>
                <w:sz w:val="18"/>
                <w:szCs w:val="18"/>
              </w:rPr>
              <w:t xml:space="preserve"> an overview of solar and third-party solar financing offerings. Lastly, the SOMAH PA will continue to develop and foster relationships with key affordable housing partners</w:t>
            </w:r>
            <w:r w:rsidR="00F16954">
              <w:rPr>
                <w:rFonts w:ascii="Calibri" w:eastAsia="Times New Roman" w:hAnsi="Calibri" w:cs="Calibri"/>
                <w:kern w:val="2"/>
                <w:sz w:val="18"/>
                <w:szCs w:val="18"/>
              </w:rPr>
              <w:t>,</w:t>
            </w:r>
            <w:r>
              <w:rPr>
                <w:rFonts w:ascii="Calibri" w:eastAsia="Times New Roman" w:hAnsi="Calibri" w:cs="Calibri"/>
                <w:kern w:val="2"/>
                <w:sz w:val="18"/>
                <w:szCs w:val="18"/>
              </w:rPr>
              <w:t xml:space="preserve"> such as affordable housing associations</w:t>
            </w:r>
            <w:r w:rsidR="00F16954">
              <w:rPr>
                <w:rFonts w:ascii="Calibri" w:eastAsia="Times New Roman" w:hAnsi="Calibri" w:cs="Calibri"/>
                <w:kern w:val="2"/>
                <w:sz w:val="18"/>
                <w:szCs w:val="18"/>
              </w:rPr>
              <w:t>,</w:t>
            </w:r>
            <w:r>
              <w:rPr>
                <w:rFonts w:ascii="Calibri" w:eastAsia="Times New Roman" w:hAnsi="Calibri" w:cs="Calibri"/>
                <w:kern w:val="2"/>
                <w:sz w:val="18"/>
                <w:szCs w:val="18"/>
              </w:rPr>
              <w:t xml:space="preserve"> to ensure that property owners across the state are aware of SOMAH. </w:t>
            </w:r>
          </w:p>
          <w:p w14:paraId="2E0AC13B" w14:textId="77777777" w:rsidR="00CD2A81" w:rsidRDefault="00CD2A81" w:rsidP="00FA7B39">
            <w:pPr>
              <w:rPr>
                <w:rFonts w:ascii="Calibri" w:eastAsia="Times New Roman" w:hAnsi="Calibri" w:cs="Calibri"/>
                <w:kern w:val="2"/>
                <w:sz w:val="18"/>
                <w:szCs w:val="18"/>
              </w:rPr>
            </w:pPr>
          </w:p>
          <w:p w14:paraId="7C9722E8" w14:textId="4235D2ED" w:rsidR="00CD2A81" w:rsidRDefault="00CD2A81" w:rsidP="00FA7B39">
            <w:pPr>
              <w:rPr>
                <w:rFonts w:ascii="Calibri" w:eastAsia="Times New Roman" w:hAnsi="Calibri" w:cs="Calibri"/>
                <w:kern w:val="2"/>
                <w:sz w:val="18"/>
                <w:szCs w:val="18"/>
              </w:rPr>
            </w:pPr>
            <w:r>
              <w:rPr>
                <w:rFonts w:ascii="Calibri" w:eastAsia="Times New Roman" w:hAnsi="Calibri" w:cs="Calibri"/>
                <w:kern w:val="2"/>
                <w:sz w:val="18"/>
                <w:szCs w:val="18"/>
              </w:rPr>
              <w:t>The SOMAH PA team is also aware that more structural program</w:t>
            </w:r>
            <w:r w:rsidR="00B6625F">
              <w:rPr>
                <w:rFonts w:ascii="Calibri" w:eastAsia="Times New Roman" w:hAnsi="Calibri" w:cs="Calibri"/>
                <w:kern w:val="2"/>
                <w:sz w:val="18"/>
                <w:szCs w:val="18"/>
              </w:rPr>
              <w:t xml:space="preserve"> </w:t>
            </w:r>
            <w:r w:rsidR="00AF2D7B">
              <w:rPr>
                <w:rFonts w:ascii="Calibri" w:eastAsia="Times New Roman" w:hAnsi="Calibri" w:cs="Calibri"/>
                <w:kern w:val="2"/>
                <w:sz w:val="18"/>
                <w:szCs w:val="18"/>
              </w:rPr>
              <w:t>and incentive design</w:t>
            </w:r>
            <w:r>
              <w:rPr>
                <w:rFonts w:ascii="Calibri" w:eastAsia="Times New Roman" w:hAnsi="Calibri" w:cs="Calibri"/>
                <w:kern w:val="2"/>
                <w:sz w:val="18"/>
                <w:szCs w:val="18"/>
              </w:rPr>
              <w:t xml:space="preserve"> changes may be warranted to ensure the program is successful in attracting sufficient participation to meet its ambitious goal and will get feedback on and announce proposed changes through public forums and other venues.</w:t>
            </w:r>
          </w:p>
          <w:p w14:paraId="1E33D551" w14:textId="77777777" w:rsidR="00247F2B" w:rsidRDefault="00247F2B" w:rsidP="00FA7B39">
            <w:pPr>
              <w:rPr>
                <w:rFonts w:ascii="Calibri" w:eastAsia="Times New Roman" w:hAnsi="Calibri" w:cs="Calibri"/>
                <w:kern w:val="2"/>
                <w:sz w:val="18"/>
                <w:szCs w:val="18"/>
              </w:rPr>
            </w:pPr>
          </w:p>
          <w:p w14:paraId="121A712B" w14:textId="63F60C15" w:rsidR="00247F2B" w:rsidRDefault="73728360" w:rsidP="00FA7B39">
            <w:pPr>
              <w:rPr>
                <w:rFonts w:ascii="Calibri" w:eastAsia="Times New Roman" w:hAnsi="Calibri" w:cs="Calibri"/>
                <w:kern w:val="2"/>
                <w:sz w:val="18"/>
                <w:szCs w:val="18"/>
              </w:rPr>
            </w:pPr>
            <w:r w:rsidRPr="73728360">
              <w:rPr>
                <w:rFonts w:ascii="Calibri" w:eastAsia="Times New Roman" w:hAnsi="Calibri" w:cs="Calibri"/>
                <w:sz w:val="18"/>
                <w:szCs w:val="18"/>
              </w:rPr>
              <w:t xml:space="preserve">The Eligible SOMAH Properties Map is also a well-received resource for helping identify potentially eligible projects to support pipeline maintenance across the state. </w:t>
            </w:r>
          </w:p>
          <w:p w14:paraId="56A314D0" w14:textId="77777777" w:rsidR="00CD2A81" w:rsidRDefault="00CD2A81" w:rsidP="00FA7B39">
            <w:pPr>
              <w:rPr>
                <w:rFonts w:ascii="Calibri" w:eastAsia="Times New Roman" w:hAnsi="Calibri" w:cs="Calibri"/>
                <w:kern w:val="2"/>
                <w:sz w:val="18"/>
                <w:szCs w:val="18"/>
              </w:rPr>
            </w:pPr>
          </w:p>
          <w:p w14:paraId="496242E2" w14:textId="4E6A10F5" w:rsidR="00CD2A81" w:rsidRDefault="00A73C4B"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sidRPr="000860BF">
              <w:rPr>
                <w:rFonts w:ascii="Calibri" w:eastAsia="Times New Roman" w:hAnsi="Calibri" w:cs="Calibri"/>
                <w:b/>
                <w:bCs/>
                <w:kern w:val="2"/>
                <w:sz w:val="18"/>
                <w:szCs w:val="18"/>
              </w:rPr>
              <w:t>:</w:t>
            </w:r>
            <w:r w:rsidR="00AB6DCF">
              <w:rPr>
                <w:rFonts w:ascii="Calibri" w:eastAsia="Times New Roman" w:hAnsi="Calibri" w:cs="Calibri"/>
                <w:kern w:val="2"/>
                <w:sz w:val="18"/>
                <w:szCs w:val="18"/>
              </w:rPr>
              <w:t xml:space="preserve"> Property Owners</w:t>
            </w:r>
          </w:p>
          <w:p w14:paraId="7F5A3508" w14:textId="74D0C695" w:rsidR="00CD2A81" w:rsidRPr="0041412C" w:rsidRDefault="00CD2A81"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sidR="00BC5EC8">
              <w:rPr>
                <w:rFonts w:ascii="Calibri" w:eastAsia="Times New Roman" w:hAnsi="Calibri" w:cs="Calibri"/>
                <w:kern w:val="2"/>
                <w:sz w:val="18"/>
                <w:szCs w:val="18"/>
              </w:rPr>
              <w:t xml:space="preserve"> Ongoing 2022 and beyond</w:t>
            </w:r>
          </w:p>
        </w:tc>
      </w:tr>
      <w:tr w:rsidR="00FA7B39" w:rsidRPr="002015E9" w14:paraId="30867A76" w14:textId="77777777" w:rsidTr="3E195337">
        <w:trPr>
          <w:cantSplit/>
          <w:trHeight w:val="188"/>
        </w:trPr>
        <w:tc>
          <w:tcPr>
            <w:tcW w:w="125" w:type="pct"/>
            <w:vMerge/>
          </w:tcPr>
          <w:p w14:paraId="02593D09" w14:textId="77777777" w:rsidR="00FA7B39" w:rsidRDefault="00FA7B39" w:rsidP="00FA7B39">
            <w:pPr>
              <w:jc w:val="center"/>
              <w:rPr>
                <w:rFonts w:ascii="Calibri" w:eastAsia="Times New Roman" w:hAnsi="Calibri" w:cs="Calibri"/>
                <w:bCs/>
                <w:kern w:val="2"/>
                <w:sz w:val="18"/>
                <w:szCs w:val="18"/>
              </w:rPr>
            </w:pPr>
          </w:p>
        </w:tc>
        <w:tc>
          <w:tcPr>
            <w:tcW w:w="156" w:type="pct"/>
            <w:vMerge/>
          </w:tcPr>
          <w:p w14:paraId="348737D8" w14:textId="77777777" w:rsidR="00FA7B39" w:rsidRDefault="00FA7B39" w:rsidP="00FA7B39">
            <w:pPr>
              <w:jc w:val="center"/>
              <w:rPr>
                <w:rFonts w:ascii="Calibri" w:eastAsia="Times New Roman" w:hAnsi="Calibri" w:cs="Calibri"/>
                <w:bCs/>
                <w:kern w:val="2"/>
                <w:sz w:val="18"/>
                <w:szCs w:val="18"/>
              </w:rPr>
            </w:pPr>
          </w:p>
        </w:tc>
        <w:tc>
          <w:tcPr>
            <w:tcW w:w="1084" w:type="pct"/>
            <w:vMerge/>
          </w:tcPr>
          <w:p w14:paraId="42762E71" w14:textId="77777777" w:rsidR="00FA7B39" w:rsidRPr="00454CE5" w:rsidRDefault="00FA7B39" w:rsidP="00FA7B39">
            <w:pPr>
              <w:jc w:val="both"/>
              <w:rPr>
                <w:sz w:val="18"/>
                <w:szCs w:val="18"/>
              </w:rPr>
            </w:pPr>
          </w:p>
        </w:tc>
        <w:tc>
          <w:tcPr>
            <w:tcW w:w="1667" w:type="pct"/>
            <w:tcBorders>
              <w:top w:val="single" w:sz="4" w:space="0" w:color="auto"/>
              <w:left w:val="nil"/>
              <w:bottom w:val="single" w:sz="4" w:space="0" w:color="auto"/>
              <w:right w:val="single" w:sz="4" w:space="0" w:color="auto"/>
            </w:tcBorders>
            <w:shd w:val="clear" w:color="auto" w:fill="auto"/>
          </w:tcPr>
          <w:p w14:paraId="4AE06EC8" w14:textId="6EBDF07A" w:rsidR="00FA7B39" w:rsidRPr="00454CE5" w:rsidRDefault="00FA7B39" w:rsidP="00FA7B39">
            <w:pPr>
              <w:pStyle w:val="ListBullet"/>
              <w:numPr>
                <w:ilvl w:val="0"/>
                <w:numId w:val="0"/>
              </w:numPr>
              <w:contextualSpacing w:val="0"/>
              <w:jc w:val="both"/>
              <w:rPr>
                <w:sz w:val="18"/>
                <w:szCs w:val="18"/>
              </w:rPr>
            </w:pPr>
            <w:r>
              <w:rPr>
                <w:sz w:val="18"/>
                <w:szCs w:val="18"/>
              </w:rPr>
              <w:t xml:space="preserve">c. </w:t>
            </w:r>
            <w:r w:rsidRPr="005F3F80">
              <w:rPr>
                <w:sz w:val="18"/>
                <w:szCs w:val="18"/>
              </w:rPr>
              <w:t xml:space="preserve">Project Financing – Provide additional support to property owners and contractors to ensure they are aware of all available ownership options, including those that facilitate the installation of solar at no cost to the affordable housing property owner.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1F06BE4F" w14:textId="5539A85C" w:rsidR="00FA7B39" w:rsidRPr="003F18A9" w:rsidRDefault="00AC206B"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4366E0F9" w14:textId="26206111" w:rsidR="00FA7B39" w:rsidRDefault="005C60A7" w:rsidP="00FA7B39">
            <w:pPr>
              <w:rPr>
                <w:rFonts w:ascii="Calibri" w:eastAsia="Times New Roman" w:hAnsi="Calibri" w:cs="Calibri"/>
                <w:kern w:val="2"/>
                <w:sz w:val="18"/>
                <w:szCs w:val="18"/>
              </w:rPr>
            </w:pPr>
            <w:r>
              <w:rPr>
                <w:rFonts w:ascii="Calibri" w:eastAsia="Times New Roman" w:hAnsi="Calibri" w:cs="Calibri"/>
                <w:kern w:val="2"/>
                <w:sz w:val="18"/>
                <w:szCs w:val="18"/>
              </w:rPr>
              <w:t xml:space="preserve">As noted in the PA response in Phase II </w:t>
            </w:r>
            <w:r w:rsidR="00BC5EC8">
              <w:rPr>
                <w:rFonts w:ascii="Calibri" w:eastAsia="Times New Roman" w:hAnsi="Calibri" w:cs="Calibri"/>
                <w:kern w:val="2"/>
                <w:sz w:val="18"/>
                <w:szCs w:val="18"/>
              </w:rPr>
              <w:t xml:space="preserve">Evaluation </w:t>
            </w:r>
            <w:r>
              <w:rPr>
                <w:rFonts w:ascii="Calibri" w:eastAsia="Times New Roman" w:hAnsi="Calibri" w:cs="Calibri"/>
                <w:kern w:val="2"/>
                <w:sz w:val="18"/>
                <w:szCs w:val="18"/>
              </w:rPr>
              <w:t>RTR, the PA will implement welcome calls for newly participating owners to ensure they understand all types of financing options</w:t>
            </w:r>
            <w:r w:rsidR="00AC206B">
              <w:rPr>
                <w:rFonts w:ascii="Calibri" w:eastAsia="Times New Roman" w:hAnsi="Calibri" w:cs="Calibri"/>
                <w:kern w:val="2"/>
                <w:sz w:val="18"/>
                <w:szCs w:val="18"/>
              </w:rPr>
              <w:t>,</w:t>
            </w:r>
            <w:r>
              <w:rPr>
                <w:rFonts w:ascii="Calibri" w:eastAsia="Times New Roman" w:hAnsi="Calibri" w:cs="Calibri"/>
                <w:kern w:val="2"/>
                <w:sz w:val="18"/>
                <w:szCs w:val="18"/>
              </w:rPr>
              <w:t xml:space="preserve"> build</w:t>
            </w:r>
            <w:r w:rsidR="00A0157C">
              <w:rPr>
                <w:rFonts w:ascii="Calibri" w:eastAsia="Times New Roman" w:hAnsi="Calibri" w:cs="Calibri"/>
                <w:kern w:val="2"/>
                <w:sz w:val="18"/>
                <w:szCs w:val="18"/>
              </w:rPr>
              <w:t xml:space="preserve"> </w:t>
            </w:r>
            <w:r>
              <w:rPr>
                <w:rFonts w:ascii="Calibri" w:eastAsia="Times New Roman" w:hAnsi="Calibri" w:cs="Calibri"/>
                <w:kern w:val="2"/>
                <w:sz w:val="18"/>
                <w:szCs w:val="18"/>
              </w:rPr>
              <w:t xml:space="preserve">out </w:t>
            </w:r>
            <w:r w:rsidR="00A0157C">
              <w:rPr>
                <w:rFonts w:ascii="Calibri" w:eastAsia="Times New Roman" w:hAnsi="Calibri" w:cs="Calibri"/>
                <w:kern w:val="2"/>
                <w:sz w:val="18"/>
                <w:szCs w:val="18"/>
              </w:rPr>
              <w:t xml:space="preserve">the </w:t>
            </w:r>
            <w:r>
              <w:rPr>
                <w:rFonts w:ascii="Calibri" w:eastAsia="Times New Roman" w:hAnsi="Calibri" w:cs="Calibri"/>
                <w:kern w:val="2"/>
                <w:sz w:val="18"/>
                <w:szCs w:val="18"/>
              </w:rPr>
              <w:t>TA report information on finance options</w:t>
            </w:r>
            <w:r w:rsidR="00AC206B">
              <w:rPr>
                <w:rFonts w:ascii="Calibri" w:eastAsia="Times New Roman" w:hAnsi="Calibri" w:cs="Calibri"/>
                <w:kern w:val="2"/>
                <w:sz w:val="18"/>
                <w:szCs w:val="18"/>
              </w:rPr>
              <w:t>,</w:t>
            </w:r>
            <w:r>
              <w:rPr>
                <w:rFonts w:ascii="Calibri" w:eastAsia="Times New Roman" w:hAnsi="Calibri" w:cs="Calibri"/>
                <w:kern w:val="2"/>
                <w:sz w:val="18"/>
                <w:szCs w:val="18"/>
              </w:rPr>
              <w:t xml:space="preserve"> identify and provide listings for bridge and gap loan providers that work with SOMAH (without recommending or endorsing specific products or financial service providers)</w:t>
            </w:r>
            <w:r w:rsidR="008E4A0B">
              <w:rPr>
                <w:rFonts w:ascii="Calibri" w:eastAsia="Times New Roman" w:hAnsi="Calibri" w:cs="Calibri"/>
                <w:kern w:val="2"/>
                <w:sz w:val="18"/>
                <w:szCs w:val="18"/>
              </w:rPr>
              <w:t>,</w:t>
            </w:r>
            <w:r>
              <w:rPr>
                <w:rFonts w:ascii="Calibri" w:eastAsia="Times New Roman" w:hAnsi="Calibri" w:cs="Calibri"/>
                <w:kern w:val="2"/>
                <w:sz w:val="18"/>
                <w:szCs w:val="18"/>
              </w:rPr>
              <w:t xml:space="preserve"> and work to increase awareness about progress payments. The SOMAH PA, however, will not explicitly endorse </w:t>
            </w:r>
            <w:r w:rsidR="00B34BC9">
              <w:rPr>
                <w:rFonts w:ascii="Calibri" w:eastAsia="Times New Roman" w:hAnsi="Calibri" w:cs="Calibri"/>
                <w:kern w:val="2"/>
                <w:sz w:val="18"/>
                <w:szCs w:val="18"/>
              </w:rPr>
              <w:t xml:space="preserve">any particular </w:t>
            </w:r>
            <w:r w:rsidR="00B4745D">
              <w:rPr>
                <w:rFonts w:ascii="Calibri" w:eastAsia="Times New Roman" w:hAnsi="Calibri" w:cs="Calibri"/>
                <w:kern w:val="2"/>
                <w:sz w:val="18"/>
                <w:szCs w:val="18"/>
              </w:rPr>
              <w:t>methodology</w:t>
            </w:r>
            <w:r w:rsidR="006450B2">
              <w:rPr>
                <w:rFonts w:ascii="Calibri" w:eastAsia="Times New Roman" w:hAnsi="Calibri" w:cs="Calibri"/>
                <w:kern w:val="2"/>
                <w:sz w:val="18"/>
                <w:szCs w:val="18"/>
              </w:rPr>
              <w:t xml:space="preserve">, including cash purchases, </w:t>
            </w:r>
            <w:r>
              <w:rPr>
                <w:rFonts w:ascii="Calibri" w:eastAsia="Times New Roman" w:hAnsi="Calibri" w:cs="Calibri"/>
                <w:kern w:val="2"/>
                <w:sz w:val="18"/>
                <w:szCs w:val="18"/>
              </w:rPr>
              <w:t>PPAs or other third-party finance options</w:t>
            </w:r>
            <w:r w:rsidR="006450B2">
              <w:rPr>
                <w:rFonts w:ascii="Calibri" w:eastAsia="Times New Roman" w:hAnsi="Calibri" w:cs="Calibri"/>
                <w:kern w:val="2"/>
                <w:sz w:val="18"/>
                <w:szCs w:val="18"/>
              </w:rPr>
              <w:t>.</w:t>
            </w:r>
          </w:p>
          <w:p w14:paraId="6B82D07F" w14:textId="77777777" w:rsidR="00CD2A81" w:rsidRDefault="00CD2A81" w:rsidP="00FA7B39">
            <w:pPr>
              <w:rPr>
                <w:rFonts w:ascii="Calibri" w:eastAsia="Times New Roman" w:hAnsi="Calibri" w:cs="Calibri"/>
                <w:kern w:val="2"/>
                <w:sz w:val="18"/>
                <w:szCs w:val="18"/>
              </w:rPr>
            </w:pPr>
          </w:p>
          <w:p w14:paraId="148595DF" w14:textId="08977BAA" w:rsidR="00CD2A81" w:rsidRDefault="00A73C4B"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5B2320">
              <w:rPr>
                <w:rFonts w:ascii="Calibri" w:eastAsia="Times New Roman" w:hAnsi="Calibri" w:cs="Calibri"/>
                <w:kern w:val="2"/>
                <w:sz w:val="18"/>
                <w:szCs w:val="18"/>
              </w:rPr>
              <w:t xml:space="preserve"> Applicants – Contractors and Property Owners</w:t>
            </w:r>
          </w:p>
          <w:p w14:paraId="60BF9365" w14:textId="1D51D5F2" w:rsidR="00CD2A81" w:rsidRPr="0041412C" w:rsidRDefault="00CD2A81"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297410">
              <w:rPr>
                <w:rFonts w:ascii="Calibri" w:eastAsia="Times New Roman" w:hAnsi="Calibri" w:cs="Calibri"/>
                <w:kern w:val="2"/>
                <w:sz w:val="18"/>
                <w:szCs w:val="18"/>
              </w:rPr>
              <w:t xml:space="preserve"> </w:t>
            </w:r>
            <w:r w:rsidR="00695EDB">
              <w:rPr>
                <w:rFonts w:ascii="Calibri" w:eastAsia="Times New Roman" w:hAnsi="Calibri" w:cs="Calibri"/>
                <w:kern w:val="2"/>
                <w:sz w:val="18"/>
                <w:szCs w:val="18"/>
              </w:rPr>
              <w:t>Q1 – Q2 2022 and ongoing</w:t>
            </w:r>
          </w:p>
        </w:tc>
      </w:tr>
      <w:tr w:rsidR="00FA7B39" w:rsidRPr="002015E9" w14:paraId="11E261B6" w14:textId="77777777" w:rsidTr="3E195337">
        <w:trPr>
          <w:cantSplit/>
          <w:trHeight w:val="188"/>
        </w:trPr>
        <w:tc>
          <w:tcPr>
            <w:tcW w:w="125" w:type="pct"/>
            <w:vMerge/>
          </w:tcPr>
          <w:p w14:paraId="3F3715A1" w14:textId="77777777" w:rsidR="00FA7B39" w:rsidRDefault="00FA7B39" w:rsidP="00FA7B39">
            <w:pPr>
              <w:jc w:val="center"/>
              <w:rPr>
                <w:rFonts w:ascii="Calibri" w:eastAsia="Times New Roman" w:hAnsi="Calibri" w:cs="Calibri"/>
                <w:bCs/>
                <w:kern w:val="2"/>
                <w:sz w:val="18"/>
                <w:szCs w:val="18"/>
              </w:rPr>
            </w:pPr>
          </w:p>
        </w:tc>
        <w:tc>
          <w:tcPr>
            <w:tcW w:w="156" w:type="pct"/>
            <w:vMerge/>
          </w:tcPr>
          <w:p w14:paraId="3F4594E2" w14:textId="77777777" w:rsidR="00FA7B39" w:rsidRDefault="00FA7B39" w:rsidP="00FA7B39">
            <w:pPr>
              <w:jc w:val="center"/>
              <w:rPr>
                <w:rFonts w:ascii="Calibri" w:eastAsia="Times New Roman" w:hAnsi="Calibri" w:cs="Calibri"/>
                <w:bCs/>
                <w:kern w:val="2"/>
                <w:sz w:val="18"/>
                <w:szCs w:val="18"/>
              </w:rPr>
            </w:pPr>
          </w:p>
        </w:tc>
        <w:tc>
          <w:tcPr>
            <w:tcW w:w="1084" w:type="pct"/>
            <w:vMerge/>
          </w:tcPr>
          <w:p w14:paraId="6B6D824F" w14:textId="77777777" w:rsidR="00FA7B39" w:rsidRPr="00174A79" w:rsidRDefault="00FA7B39" w:rsidP="00FA7B39">
            <w:pPr>
              <w:ind w:left="-21"/>
              <w:rPr>
                <w:rFonts w:eastAsiaTheme="minorEastAsia"/>
                <w:color w:val="000000" w:themeColor="text1"/>
                <w:sz w:val="18"/>
                <w:szCs w:val="18"/>
              </w:rPr>
            </w:pPr>
          </w:p>
        </w:tc>
        <w:tc>
          <w:tcPr>
            <w:tcW w:w="1667" w:type="pct"/>
            <w:tcBorders>
              <w:top w:val="single" w:sz="4" w:space="0" w:color="auto"/>
              <w:left w:val="nil"/>
              <w:bottom w:val="single" w:sz="4" w:space="0" w:color="auto"/>
              <w:right w:val="single" w:sz="4" w:space="0" w:color="auto"/>
            </w:tcBorders>
            <w:shd w:val="clear" w:color="auto" w:fill="auto"/>
          </w:tcPr>
          <w:p w14:paraId="632CF33A" w14:textId="75987A80" w:rsidR="00FA7B39" w:rsidRPr="00FD0C0B" w:rsidRDefault="00FA7B39" w:rsidP="00FA7B39">
            <w:pPr>
              <w:jc w:val="both"/>
              <w:rPr>
                <w:rFonts w:eastAsiaTheme="minorEastAsia"/>
                <w:b/>
                <w:bCs/>
                <w:color w:val="000000" w:themeColor="text1"/>
                <w:sz w:val="18"/>
                <w:szCs w:val="18"/>
              </w:rPr>
            </w:pPr>
            <w:r>
              <w:rPr>
                <w:sz w:val="18"/>
                <w:szCs w:val="18"/>
              </w:rPr>
              <w:t xml:space="preserve">d. </w:t>
            </w:r>
            <w:r w:rsidRPr="005F3F80">
              <w:rPr>
                <w:sz w:val="18"/>
                <w:szCs w:val="18"/>
              </w:rPr>
              <w:t xml:space="preserve">Utility Coordination – </w:t>
            </w:r>
            <w:r w:rsidR="008F3CD4">
              <w:rPr>
                <w:sz w:val="18"/>
                <w:szCs w:val="18"/>
              </w:rPr>
              <w:t>H</w:t>
            </w:r>
            <w:r w:rsidRPr="005F3F80">
              <w:rPr>
                <w:sz w:val="18"/>
                <w:szCs w:val="18"/>
              </w:rPr>
              <w:t xml:space="preserve">elp </w:t>
            </w:r>
            <w:r w:rsidR="008F3CD4">
              <w:rPr>
                <w:sz w:val="18"/>
                <w:szCs w:val="18"/>
              </w:rPr>
              <w:t xml:space="preserve">to </w:t>
            </w:r>
            <w:r w:rsidRPr="005F3F80">
              <w:rPr>
                <w:sz w:val="18"/>
                <w:szCs w:val="18"/>
              </w:rPr>
              <w:t>ease the burden of program participation for affordable property owners and contractors by providing additional coordination support with the utilities. This could include working with the utilities to help property owners and contractors facilitate access to data critical to program participation (such as tenant meter numbers, property and tenant usage data, interconnection issues, equipment labeling standards, etc.)</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4E7BF2E1" w14:textId="7FC56136" w:rsidR="00FA7B39" w:rsidRPr="003F18A9" w:rsidRDefault="00FA0A04"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4593B9DE" w14:textId="42042511" w:rsidR="00A73C4B" w:rsidRDefault="00623ED5" w:rsidP="00CD2A81">
            <w:pPr>
              <w:rPr>
                <w:rFonts w:ascii="Calibri" w:eastAsia="Times New Roman" w:hAnsi="Calibri" w:cs="Calibri"/>
                <w:kern w:val="2"/>
                <w:sz w:val="18"/>
                <w:szCs w:val="18"/>
              </w:rPr>
            </w:pPr>
            <w:r>
              <w:rPr>
                <w:rFonts w:ascii="Calibri" w:eastAsia="Times New Roman" w:hAnsi="Calibri" w:cs="Calibri"/>
                <w:kern w:val="2"/>
                <w:sz w:val="18"/>
                <w:szCs w:val="18"/>
              </w:rPr>
              <w:t>T</w:t>
            </w:r>
            <w:r w:rsidR="009C2677">
              <w:rPr>
                <w:rFonts w:ascii="Calibri" w:eastAsia="Times New Roman" w:hAnsi="Calibri" w:cs="Calibri"/>
                <w:kern w:val="2"/>
                <w:sz w:val="18"/>
                <w:szCs w:val="18"/>
              </w:rPr>
              <w:t xml:space="preserve">he </w:t>
            </w:r>
            <w:r w:rsidR="0099720B">
              <w:rPr>
                <w:rFonts w:ascii="Calibri" w:eastAsia="Times New Roman" w:hAnsi="Calibri" w:cs="Calibri"/>
                <w:kern w:val="2"/>
                <w:sz w:val="18"/>
                <w:szCs w:val="18"/>
              </w:rPr>
              <w:t xml:space="preserve">SOMAH </w:t>
            </w:r>
            <w:r w:rsidR="009C2677">
              <w:rPr>
                <w:rFonts w:ascii="Calibri" w:eastAsia="Times New Roman" w:hAnsi="Calibri" w:cs="Calibri"/>
                <w:kern w:val="2"/>
                <w:sz w:val="18"/>
                <w:szCs w:val="18"/>
              </w:rPr>
              <w:t>PA</w:t>
            </w:r>
            <w:r w:rsidR="00BC409A">
              <w:rPr>
                <w:rFonts w:ascii="Calibri" w:eastAsia="Times New Roman" w:hAnsi="Calibri" w:cs="Calibri"/>
                <w:kern w:val="2"/>
                <w:sz w:val="18"/>
                <w:szCs w:val="18"/>
              </w:rPr>
              <w:t xml:space="preserve"> will continue</w:t>
            </w:r>
            <w:r w:rsidR="00F8392A">
              <w:rPr>
                <w:rFonts w:ascii="Calibri" w:eastAsia="Times New Roman" w:hAnsi="Calibri" w:cs="Calibri"/>
                <w:kern w:val="2"/>
                <w:sz w:val="18"/>
                <w:szCs w:val="18"/>
              </w:rPr>
              <w:t xml:space="preserve"> to</w:t>
            </w:r>
            <w:r w:rsidR="009C2677">
              <w:rPr>
                <w:rFonts w:ascii="Calibri" w:eastAsia="Times New Roman" w:hAnsi="Calibri" w:cs="Calibri"/>
                <w:kern w:val="2"/>
                <w:sz w:val="18"/>
                <w:szCs w:val="18"/>
              </w:rPr>
              <w:t xml:space="preserve"> r</w:t>
            </w:r>
            <w:r w:rsidR="00D63EAB">
              <w:rPr>
                <w:rFonts w:ascii="Calibri" w:eastAsia="Times New Roman" w:hAnsi="Calibri" w:cs="Calibri"/>
                <w:kern w:val="2"/>
                <w:sz w:val="18"/>
                <w:szCs w:val="18"/>
              </w:rPr>
              <w:t>elay</w:t>
            </w:r>
            <w:r w:rsidR="00721714">
              <w:rPr>
                <w:rFonts w:ascii="Calibri" w:eastAsia="Times New Roman" w:hAnsi="Calibri" w:cs="Calibri"/>
                <w:kern w:val="2"/>
                <w:sz w:val="18"/>
                <w:szCs w:val="18"/>
              </w:rPr>
              <w:t xml:space="preserve"> feedback on challenges and barriers</w:t>
            </w:r>
            <w:r w:rsidR="00B02D39">
              <w:rPr>
                <w:rFonts w:ascii="Calibri" w:eastAsia="Times New Roman" w:hAnsi="Calibri" w:cs="Calibri"/>
                <w:kern w:val="2"/>
                <w:sz w:val="18"/>
                <w:szCs w:val="18"/>
              </w:rPr>
              <w:t xml:space="preserve"> communicated from </w:t>
            </w:r>
            <w:r w:rsidR="009F1A73">
              <w:rPr>
                <w:rFonts w:ascii="Calibri" w:eastAsia="Times New Roman" w:hAnsi="Calibri" w:cs="Calibri"/>
                <w:kern w:val="2"/>
                <w:sz w:val="18"/>
                <w:szCs w:val="18"/>
              </w:rPr>
              <w:t>participants</w:t>
            </w:r>
            <w:r w:rsidR="00721714">
              <w:rPr>
                <w:rFonts w:ascii="Calibri" w:eastAsia="Times New Roman" w:hAnsi="Calibri" w:cs="Calibri"/>
                <w:kern w:val="2"/>
                <w:sz w:val="18"/>
                <w:szCs w:val="18"/>
              </w:rPr>
              <w:t xml:space="preserve"> </w:t>
            </w:r>
            <w:r w:rsidR="00A0157C">
              <w:rPr>
                <w:rFonts w:ascii="Calibri" w:eastAsia="Times New Roman" w:hAnsi="Calibri" w:cs="Calibri"/>
                <w:kern w:val="2"/>
                <w:sz w:val="18"/>
                <w:szCs w:val="18"/>
              </w:rPr>
              <w:t xml:space="preserve">to </w:t>
            </w:r>
            <w:r w:rsidR="00721714">
              <w:rPr>
                <w:rFonts w:ascii="Calibri" w:eastAsia="Times New Roman" w:hAnsi="Calibri" w:cs="Calibri"/>
                <w:kern w:val="2"/>
                <w:sz w:val="18"/>
                <w:szCs w:val="18"/>
              </w:rPr>
              <w:t>the IOUs and Energy Division</w:t>
            </w:r>
            <w:r w:rsidR="004E15A3">
              <w:rPr>
                <w:rFonts w:ascii="Calibri" w:eastAsia="Times New Roman" w:hAnsi="Calibri" w:cs="Calibri"/>
                <w:kern w:val="2"/>
                <w:sz w:val="18"/>
                <w:szCs w:val="18"/>
              </w:rPr>
              <w:t xml:space="preserve"> as needed</w:t>
            </w:r>
            <w:r w:rsidR="00721714">
              <w:rPr>
                <w:rFonts w:ascii="Calibri" w:eastAsia="Times New Roman" w:hAnsi="Calibri" w:cs="Calibri"/>
                <w:kern w:val="2"/>
                <w:sz w:val="18"/>
                <w:szCs w:val="18"/>
              </w:rPr>
              <w:t>.</w:t>
            </w:r>
            <w:r w:rsidR="008F6660">
              <w:rPr>
                <w:rFonts w:ascii="Calibri" w:eastAsia="Times New Roman" w:hAnsi="Calibri" w:cs="Calibri"/>
                <w:kern w:val="2"/>
                <w:sz w:val="18"/>
                <w:szCs w:val="18"/>
              </w:rPr>
              <w:t xml:space="preserve"> Further efforts are being deployed for referral handoff and tracking between program stakeholders and other clean energy programs to facilitate smooth handoffs of potentially eligible SOMAH projects to the SOMAH PA. Additionally, t</w:t>
            </w:r>
            <w:r w:rsidR="004E15A3">
              <w:rPr>
                <w:rFonts w:ascii="Calibri" w:eastAsia="Times New Roman" w:hAnsi="Calibri" w:cs="Calibri"/>
                <w:kern w:val="2"/>
                <w:sz w:val="18"/>
                <w:szCs w:val="18"/>
              </w:rPr>
              <w:t>he SOMAH PA uses the monthly IOU Working Group along with one-on-one</w:t>
            </w:r>
            <w:r w:rsidR="00415BDE">
              <w:rPr>
                <w:rFonts w:ascii="Calibri" w:eastAsia="Times New Roman" w:hAnsi="Calibri" w:cs="Calibri"/>
                <w:kern w:val="2"/>
                <w:sz w:val="18"/>
                <w:szCs w:val="18"/>
              </w:rPr>
              <w:t>/as needed</w:t>
            </w:r>
            <w:r w:rsidR="004E15A3">
              <w:rPr>
                <w:rFonts w:ascii="Calibri" w:eastAsia="Times New Roman" w:hAnsi="Calibri" w:cs="Calibri"/>
                <w:kern w:val="2"/>
                <w:sz w:val="18"/>
                <w:szCs w:val="18"/>
              </w:rPr>
              <w:t xml:space="preserve"> </w:t>
            </w:r>
            <w:r w:rsidR="007549C0">
              <w:rPr>
                <w:rFonts w:ascii="Calibri" w:eastAsia="Times New Roman" w:hAnsi="Calibri" w:cs="Calibri"/>
                <w:kern w:val="2"/>
                <w:sz w:val="18"/>
                <w:szCs w:val="18"/>
              </w:rPr>
              <w:t xml:space="preserve">communications to </w:t>
            </w:r>
            <w:r w:rsidR="00415BDE">
              <w:rPr>
                <w:rFonts w:ascii="Calibri" w:eastAsia="Times New Roman" w:hAnsi="Calibri" w:cs="Calibri"/>
                <w:kern w:val="2"/>
                <w:sz w:val="18"/>
                <w:szCs w:val="18"/>
              </w:rPr>
              <w:t xml:space="preserve">connect with the IOUs on </w:t>
            </w:r>
            <w:r w:rsidR="00A0157C">
              <w:rPr>
                <w:rFonts w:ascii="Calibri" w:eastAsia="Times New Roman" w:hAnsi="Calibri" w:cs="Calibri"/>
                <w:kern w:val="2"/>
                <w:sz w:val="18"/>
                <w:szCs w:val="18"/>
              </w:rPr>
              <w:t xml:space="preserve">topics </w:t>
            </w:r>
            <w:r w:rsidR="00415BDE">
              <w:rPr>
                <w:rFonts w:ascii="Calibri" w:eastAsia="Times New Roman" w:hAnsi="Calibri" w:cs="Calibri"/>
                <w:kern w:val="2"/>
                <w:sz w:val="18"/>
                <w:szCs w:val="18"/>
              </w:rPr>
              <w:t xml:space="preserve">like </w:t>
            </w:r>
            <w:r w:rsidR="00F306CD">
              <w:rPr>
                <w:rFonts w:ascii="Calibri" w:eastAsia="Times New Roman" w:hAnsi="Calibri" w:cs="Calibri"/>
                <w:kern w:val="2"/>
                <w:sz w:val="18"/>
                <w:szCs w:val="18"/>
              </w:rPr>
              <w:t>usage data</w:t>
            </w:r>
            <w:r w:rsidR="007E3B9D">
              <w:rPr>
                <w:rFonts w:ascii="Calibri" w:eastAsia="Times New Roman" w:hAnsi="Calibri" w:cs="Calibri"/>
                <w:kern w:val="2"/>
                <w:sz w:val="18"/>
                <w:szCs w:val="18"/>
              </w:rPr>
              <w:t xml:space="preserve"> and interconnection issues. </w:t>
            </w:r>
            <w:r w:rsidR="00772AE5">
              <w:rPr>
                <w:rFonts w:ascii="Calibri" w:eastAsia="Times New Roman" w:hAnsi="Calibri" w:cs="Calibri"/>
                <w:kern w:val="2"/>
                <w:sz w:val="18"/>
                <w:szCs w:val="18"/>
              </w:rPr>
              <w:t xml:space="preserve">However, </w:t>
            </w:r>
            <w:r w:rsidR="00803C72">
              <w:rPr>
                <w:rFonts w:ascii="Calibri" w:eastAsia="Times New Roman" w:hAnsi="Calibri" w:cs="Calibri"/>
                <w:kern w:val="2"/>
                <w:sz w:val="18"/>
                <w:szCs w:val="18"/>
              </w:rPr>
              <w:t xml:space="preserve">this recommendation will </w:t>
            </w:r>
            <w:r w:rsidR="00A0157C">
              <w:rPr>
                <w:rFonts w:ascii="Calibri" w:eastAsia="Times New Roman" w:hAnsi="Calibri" w:cs="Calibri"/>
                <w:kern w:val="2"/>
                <w:sz w:val="18"/>
                <w:szCs w:val="18"/>
              </w:rPr>
              <w:t xml:space="preserve">require </w:t>
            </w:r>
            <w:r w:rsidR="00803C72">
              <w:rPr>
                <w:rFonts w:ascii="Calibri" w:eastAsia="Times New Roman" w:hAnsi="Calibri" w:cs="Calibri"/>
                <w:kern w:val="2"/>
                <w:sz w:val="18"/>
                <w:szCs w:val="18"/>
              </w:rPr>
              <w:t>CPU</w:t>
            </w:r>
            <w:r w:rsidR="00836635">
              <w:rPr>
                <w:rFonts w:ascii="Calibri" w:eastAsia="Times New Roman" w:hAnsi="Calibri" w:cs="Calibri"/>
                <w:kern w:val="2"/>
                <w:sz w:val="18"/>
                <w:szCs w:val="18"/>
              </w:rPr>
              <w:t xml:space="preserve">C direction for </w:t>
            </w:r>
            <w:r w:rsidR="00284E57">
              <w:rPr>
                <w:rFonts w:ascii="Calibri" w:eastAsia="Times New Roman" w:hAnsi="Calibri" w:cs="Calibri"/>
                <w:kern w:val="2"/>
                <w:sz w:val="18"/>
                <w:szCs w:val="18"/>
              </w:rPr>
              <w:t>additional access to data</w:t>
            </w:r>
            <w:r w:rsidR="00287CBB">
              <w:rPr>
                <w:rFonts w:ascii="Calibri" w:eastAsia="Times New Roman" w:hAnsi="Calibri" w:cs="Calibri"/>
                <w:kern w:val="2"/>
                <w:sz w:val="18"/>
                <w:szCs w:val="18"/>
              </w:rPr>
              <w:t xml:space="preserve"> (ex. Tenant meter numbers)</w:t>
            </w:r>
            <w:r w:rsidR="00284E57">
              <w:rPr>
                <w:rFonts w:ascii="Calibri" w:eastAsia="Times New Roman" w:hAnsi="Calibri" w:cs="Calibri"/>
                <w:kern w:val="2"/>
                <w:sz w:val="18"/>
                <w:szCs w:val="18"/>
              </w:rPr>
              <w:t xml:space="preserve"> that is not currently approved to be collected in the program’s </w:t>
            </w:r>
            <w:r w:rsidR="00287CBB">
              <w:rPr>
                <w:rFonts w:ascii="Calibri" w:eastAsia="Times New Roman" w:hAnsi="Calibri" w:cs="Calibri"/>
                <w:kern w:val="2"/>
                <w:sz w:val="18"/>
                <w:szCs w:val="18"/>
              </w:rPr>
              <w:t xml:space="preserve">Program Implementation Plan (PIP).  </w:t>
            </w:r>
          </w:p>
          <w:p w14:paraId="61D2A3FE" w14:textId="77777777" w:rsidR="00A73C4B" w:rsidRDefault="00A73C4B" w:rsidP="00CD2A81">
            <w:pPr>
              <w:rPr>
                <w:rFonts w:ascii="Calibri" w:eastAsia="Times New Roman" w:hAnsi="Calibri" w:cs="Calibri"/>
                <w:kern w:val="2"/>
                <w:sz w:val="18"/>
                <w:szCs w:val="18"/>
              </w:rPr>
            </w:pPr>
          </w:p>
          <w:p w14:paraId="390C7D88" w14:textId="6197F475" w:rsidR="00CD2A81" w:rsidRDefault="00A73C4B"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sidRPr="000860BF">
              <w:rPr>
                <w:rFonts w:ascii="Calibri" w:eastAsia="Times New Roman" w:hAnsi="Calibri" w:cs="Calibri"/>
                <w:b/>
                <w:bCs/>
                <w:kern w:val="2"/>
                <w:sz w:val="18"/>
                <w:szCs w:val="18"/>
              </w:rPr>
              <w:t>:</w:t>
            </w:r>
            <w:r w:rsidR="009C2677">
              <w:rPr>
                <w:rFonts w:ascii="Calibri" w:eastAsia="Times New Roman" w:hAnsi="Calibri" w:cs="Calibri"/>
                <w:kern w:val="2"/>
                <w:sz w:val="18"/>
                <w:szCs w:val="18"/>
              </w:rPr>
              <w:t xml:space="preserve"> IOUs, </w:t>
            </w:r>
            <w:proofErr w:type="gramStart"/>
            <w:r w:rsidR="009C2677">
              <w:rPr>
                <w:rFonts w:ascii="Calibri" w:eastAsia="Times New Roman" w:hAnsi="Calibri" w:cs="Calibri"/>
                <w:kern w:val="2"/>
                <w:sz w:val="18"/>
                <w:szCs w:val="18"/>
              </w:rPr>
              <w:t>Contractors</w:t>
            </w:r>
            <w:proofErr w:type="gramEnd"/>
            <w:r w:rsidR="009C2677">
              <w:rPr>
                <w:rFonts w:ascii="Calibri" w:eastAsia="Times New Roman" w:hAnsi="Calibri" w:cs="Calibri"/>
                <w:kern w:val="2"/>
                <w:sz w:val="18"/>
                <w:szCs w:val="18"/>
              </w:rPr>
              <w:t xml:space="preserve"> and Property Owners</w:t>
            </w:r>
          </w:p>
          <w:p w14:paraId="0421706B" w14:textId="4AEC1A23" w:rsidR="00FA7B39" w:rsidRPr="0041412C" w:rsidRDefault="00CD2A81"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sidR="007E3B9D">
              <w:rPr>
                <w:rFonts w:ascii="Calibri" w:eastAsia="Times New Roman" w:hAnsi="Calibri" w:cs="Calibri"/>
                <w:kern w:val="2"/>
                <w:sz w:val="18"/>
                <w:szCs w:val="18"/>
              </w:rPr>
              <w:t xml:space="preserve"> </w:t>
            </w:r>
            <w:r w:rsidR="008E335F">
              <w:rPr>
                <w:rFonts w:ascii="Calibri" w:eastAsia="Times New Roman" w:hAnsi="Calibri" w:cs="Calibri"/>
                <w:kern w:val="2"/>
                <w:sz w:val="18"/>
                <w:szCs w:val="18"/>
              </w:rPr>
              <w:t>Q3</w:t>
            </w:r>
            <w:r w:rsidR="00664103">
              <w:rPr>
                <w:rFonts w:ascii="Calibri" w:eastAsia="Times New Roman" w:hAnsi="Calibri" w:cs="Calibri"/>
                <w:kern w:val="2"/>
                <w:sz w:val="18"/>
                <w:szCs w:val="18"/>
              </w:rPr>
              <w:t>-Q4</w:t>
            </w:r>
            <w:r w:rsidR="00111010">
              <w:rPr>
                <w:rFonts w:ascii="Calibri" w:eastAsia="Times New Roman" w:hAnsi="Calibri" w:cs="Calibri"/>
                <w:kern w:val="2"/>
                <w:sz w:val="18"/>
                <w:szCs w:val="18"/>
              </w:rPr>
              <w:t xml:space="preserve"> 2022</w:t>
            </w:r>
            <w:r w:rsidR="00664103">
              <w:rPr>
                <w:rFonts w:ascii="Calibri" w:eastAsia="Times New Roman" w:hAnsi="Calibri" w:cs="Calibri"/>
                <w:kern w:val="2"/>
                <w:sz w:val="18"/>
                <w:szCs w:val="18"/>
              </w:rPr>
              <w:t xml:space="preserve"> (</w:t>
            </w:r>
            <w:r w:rsidR="00260482">
              <w:rPr>
                <w:rFonts w:ascii="Calibri" w:eastAsia="Times New Roman" w:hAnsi="Calibri" w:cs="Calibri"/>
                <w:kern w:val="2"/>
                <w:sz w:val="18"/>
                <w:szCs w:val="18"/>
              </w:rPr>
              <w:t xml:space="preserve">additional </w:t>
            </w:r>
            <w:r w:rsidR="004E214D">
              <w:rPr>
                <w:rFonts w:ascii="Calibri" w:eastAsia="Times New Roman" w:hAnsi="Calibri" w:cs="Calibri"/>
                <w:kern w:val="2"/>
                <w:sz w:val="18"/>
                <w:szCs w:val="18"/>
              </w:rPr>
              <w:t xml:space="preserve">data access) and </w:t>
            </w:r>
            <w:r w:rsidR="00D43653">
              <w:rPr>
                <w:rFonts w:ascii="Calibri" w:eastAsia="Times New Roman" w:hAnsi="Calibri" w:cs="Calibri"/>
                <w:kern w:val="2"/>
                <w:sz w:val="18"/>
                <w:szCs w:val="18"/>
              </w:rPr>
              <w:t>o</w:t>
            </w:r>
            <w:r w:rsidR="007E3B9D">
              <w:rPr>
                <w:rFonts w:ascii="Calibri" w:eastAsia="Times New Roman" w:hAnsi="Calibri" w:cs="Calibri"/>
                <w:kern w:val="2"/>
                <w:sz w:val="18"/>
                <w:szCs w:val="18"/>
              </w:rPr>
              <w:t>ngoing</w:t>
            </w:r>
            <w:r w:rsidR="007F4389">
              <w:rPr>
                <w:rFonts w:ascii="Calibri" w:eastAsia="Times New Roman" w:hAnsi="Calibri" w:cs="Calibri"/>
                <w:kern w:val="2"/>
                <w:sz w:val="18"/>
                <w:szCs w:val="18"/>
              </w:rPr>
              <w:t xml:space="preserve"> </w:t>
            </w:r>
          </w:p>
        </w:tc>
      </w:tr>
      <w:tr w:rsidR="00FA7B39" w:rsidRPr="002015E9" w14:paraId="0347585B"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1B74A3E0" w14:textId="5EE85176"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lastRenderedPageBreak/>
              <w:t>2</w:t>
            </w:r>
          </w:p>
        </w:tc>
        <w:tc>
          <w:tcPr>
            <w:tcW w:w="156" w:type="pct"/>
            <w:tcBorders>
              <w:top w:val="single" w:sz="4" w:space="0" w:color="auto"/>
              <w:left w:val="nil"/>
              <w:bottom w:val="single" w:sz="4" w:space="0" w:color="auto"/>
              <w:right w:val="single" w:sz="4" w:space="0" w:color="auto"/>
            </w:tcBorders>
            <w:shd w:val="clear" w:color="auto" w:fill="auto"/>
          </w:tcPr>
          <w:p w14:paraId="64BF86A3" w14:textId="3214A76E"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58</w:t>
            </w:r>
          </w:p>
        </w:tc>
        <w:tc>
          <w:tcPr>
            <w:tcW w:w="1084" w:type="pct"/>
            <w:tcBorders>
              <w:top w:val="single" w:sz="4" w:space="0" w:color="auto"/>
              <w:left w:val="nil"/>
              <w:bottom w:val="single" w:sz="4" w:space="0" w:color="auto"/>
              <w:right w:val="single" w:sz="4" w:space="0" w:color="auto"/>
            </w:tcBorders>
            <w:shd w:val="clear" w:color="auto" w:fill="auto"/>
          </w:tcPr>
          <w:p w14:paraId="229D193F" w14:textId="3601D776" w:rsidR="00FA7B39" w:rsidRPr="008B6817" w:rsidRDefault="008F3CD4" w:rsidP="00FA7B39">
            <w:pPr>
              <w:ind w:left="-21"/>
              <w:rPr>
                <w:rFonts w:ascii="Calibri" w:eastAsia="Times New Roman" w:hAnsi="Calibri" w:cs="Calibri"/>
                <w:kern w:val="2"/>
                <w:sz w:val="18"/>
                <w:szCs w:val="18"/>
              </w:rPr>
            </w:pPr>
            <w:r>
              <w:rPr>
                <w:rFonts w:eastAsiaTheme="minorEastAsia"/>
                <w:color w:val="000000" w:themeColor="text1"/>
                <w:sz w:val="18"/>
                <w:szCs w:val="18"/>
              </w:rPr>
              <w:t xml:space="preserve">The </w:t>
            </w:r>
            <w:r w:rsidR="00FA7B39">
              <w:rPr>
                <w:rFonts w:eastAsiaTheme="minorEastAsia"/>
                <w:color w:val="000000" w:themeColor="text1"/>
                <w:sz w:val="18"/>
                <w:szCs w:val="18"/>
              </w:rPr>
              <w:t>SOMAH PA</w:t>
            </w:r>
            <w:r>
              <w:rPr>
                <w:rFonts w:eastAsiaTheme="minorEastAsia"/>
                <w:color w:val="000000" w:themeColor="text1"/>
                <w:sz w:val="18"/>
                <w:szCs w:val="18"/>
              </w:rPr>
              <w:t>’s</w:t>
            </w:r>
            <w:r w:rsidR="00FA7B39">
              <w:rPr>
                <w:rFonts w:eastAsiaTheme="minorEastAsia"/>
                <w:color w:val="000000" w:themeColor="text1"/>
                <w:sz w:val="18"/>
                <w:szCs w:val="18"/>
              </w:rPr>
              <w:t xml:space="preserve"> spending </w:t>
            </w:r>
            <w:r>
              <w:rPr>
                <w:rFonts w:eastAsiaTheme="minorEastAsia"/>
                <w:color w:val="000000" w:themeColor="text1"/>
                <w:sz w:val="18"/>
                <w:szCs w:val="18"/>
              </w:rPr>
              <w:t xml:space="preserve">to date </w:t>
            </w:r>
            <w:r w:rsidR="00FA7B39">
              <w:rPr>
                <w:rFonts w:eastAsiaTheme="minorEastAsia"/>
                <w:color w:val="000000" w:themeColor="text1"/>
                <w:sz w:val="18"/>
                <w:szCs w:val="18"/>
              </w:rPr>
              <w:t>on property owner outreach has been well-aligned with forecasted spending</w:t>
            </w:r>
            <w:r w:rsidR="00FA7B39" w:rsidRPr="007573D8">
              <w:rPr>
                <w:rFonts w:eastAsiaTheme="minorEastAsia"/>
                <w:color w:val="000000" w:themeColor="text1"/>
                <w:sz w:val="18"/>
                <w:szCs w:val="18"/>
              </w:rPr>
              <w:t xml:space="preserve">, </w:t>
            </w:r>
            <w:r w:rsidR="00FA7B39">
              <w:rPr>
                <w:rFonts w:eastAsiaTheme="minorEastAsia"/>
                <w:color w:val="000000" w:themeColor="text1"/>
                <w:sz w:val="18"/>
                <w:szCs w:val="18"/>
              </w:rPr>
              <w:t xml:space="preserve">however, </w:t>
            </w:r>
            <w:r w:rsidR="00FA7B39" w:rsidRPr="007573D8">
              <w:rPr>
                <w:rFonts w:eastAsiaTheme="minorEastAsia"/>
                <w:color w:val="000000" w:themeColor="text1"/>
                <w:sz w:val="18"/>
                <w:szCs w:val="18"/>
              </w:rPr>
              <w:t xml:space="preserve">there currently does not appear to be sufficient </w:t>
            </w:r>
            <w:r w:rsidR="00FA7B39">
              <w:rPr>
                <w:rFonts w:eastAsiaTheme="minorEastAsia"/>
                <w:color w:val="000000" w:themeColor="text1"/>
                <w:sz w:val="18"/>
                <w:szCs w:val="18"/>
              </w:rPr>
              <w:t>support</w:t>
            </w:r>
            <w:r w:rsidR="00FA7B39" w:rsidRPr="007573D8">
              <w:rPr>
                <w:rFonts w:eastAsiaTheme="minorEastAsia"/>
                <w:color w:val="000000" w:themeColor="text1"/>
                <w:sz w:val="18"/>
                <w:szCs w:val="18"/>
              </w:rPr>
              <w:t xml:space="preserve"> to help </w:t>
            </w:r>
            <w:r w:rsidR="00927CA0">
              <w:rPr>
                <w:rFonts w:eastAsiaTheme="minorEastAsia"/>
                <w:color w:val="000000" w:themeColor="text1"/>
                <w:sz w:val="18"/>
                <w:szCs w:val="18"/>
              </w:rPr>
              <w:t xml:space="preserve">some </w:t>
            </w:r>
            <w:r w:rsidR="00FA7B39" w:rsidRPr="007573D8">
              <w:rPr>
                <w:rFonts w:eastAsiaTheme="minorEastAsia"/>
                <w:color w:val="000000" w:themeColor="text1"/>
                <w:sz w:val="18"/>
                <w:szCs w:val="18"/>
              </w:rPr>
              <w:t>property owners (primarily smaller organizations) participate in the program.</w:t>
            </w:r>
          </w:p>
        </w:tc>
        <w:tc>
          <w:tcPr>
            <w:tcW w:w="1667" w:type="pct"/>
            <w:tcBorders>
              <w:top w:val="single" w:sz="4" w:space="0" w:color="auto"/>
              <w:left w:val="nil"/>
              <w:bottom w:val="single" w:sz="4" w:space="0" w:color="auto"/>
              <w:right w:val="single" w:sz="4" w:space="0" w:color="auto"/>
            </w:tcBorders>
            <w:shd w:val="clear" w:color="auto" w:fill="auto"/>
          </w:tcPr>
          <w:p w14:paraId="7FDE4D4A" w14:textId="06D4F9AA" w:rsidR="00FA7B39" w:rsidRPr="002E305F" w:rsidRDefault="00FA7B39" w:rsidP="00FA7B39">
            <w:pPr>
              <w:jc w:val="both"/>
              <w:rPr>
                <w:rFonts w:eastAsiaTheme="minorEastAsia"/>
                <w:color w:val="000000" w:themeColor="text1"/>
                <w:sz w:val="18"/>
                <w:szCs w:val="18"/>
              </w:rPr>
            </w:pPr>
            <w:r w:rsidRPr="002E305F">
              <w:rPr>
                <w:rFonts w:eastAsiaTheme="minorEastAsia"/>
                <w:color w:val="000000" w:themeColor="text1"/>
                <w:sz w:val="18"/>
                <w:szCs w:val="18"/>
              </w:rPr>
              <w:t>Increase focus on one-on-one outreach to non-participating property owners</w:t>
            </w:r>
            <w:r>
              <w:rPr>
                <w:rFonts w:eastAsiaTheme="minorEastAsia"/>
                <w:color w:val="000000" w:themeColor="text1"/>
                <w:sz w:val="18"/>
                <w:szCs w:val="18"/>
              </w:rPr>
              <w:t xml:space="preserve"> to increase the pipeline of future SOMAH projects</w:t>
            </w:r>
            <w:r w:rsidRPr="002E305F">
              <w:rPr>
                <w:rFonts w:eastAsiaTheme="minorEastAsia"/>
                <w:color w:val="000000" w:themeColor="text1"/>
                <w:sz w:val="18"/>
                <w:szCs w:val="18"/>
              </w:rPr>
              <w:t xml:space="preserve">. Increasing the level of individual property owner outreach, as well as assistance provided to CBOs to strengthen their outreach activities, can help to ensure the ME&amp;O activities are effectively working to build a project pipeline. Care must be taken to ensure the increased property owner outreach is right-sized and does not leave property owners feeling overwhelmed or harassed by the program.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0E48140F" w14:textId="4F2C6AAC" w:rsidR="00FA7B39" w:rsidRPr="003F18A9" w:rsidRDefault="00521B3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0599D58F" w14:textId="59790B21" w:rsidR="00FA7B39" w:rsidRDefault="005B5E1B" w:rsidP="005B5E1B">
            <w:pPr>
              <w:rPr>
                <w:rFonts w:ascii="Calibri" w:eastAsia="Times New Roman" w:hAnsi="Calibri" w:cs="Calibri"/>
                <w:kern w:val="2"/>
                <w:sz w:val="18"/>
                <w:szCs w:val="18"/>
              </w:rPr>
            </w:pPr>
            <w:r>
              <w:rPr>
                <w:rFonts w:ascii="Calibri" w:eastAsia="Times New Roman" w:hAnsi="Calibri" w:cs="Calibri"/>
                <w:kern w:val="2"/>
                <w:sz w:val="18"/>
                <w:szCs w:val="18"/>
              </w:rPr>
              <w:t xml:space="preserve">The SOMAH PA understands that </w:t>
            </w:r>
            <w:r w:rsidR="73728360" w:rsidRPr="73728360">
              <w:rPr>
                <w:rFonts w:ascii="Calibri" w:eastAsia="Times New Roman" w:hAnsi="Calibri" w:cs="Calibri"/>
                <w:sz w:val="18"/>
                <w:szCs w:val="18"/>
              </w:rPr>
              <w:t xml:space="preserve">property </w:t>
            </w:r>
            <w:r>
              <w:rPr>
                <w:rFonts w:ascii="Calibri" w:eastAsia="Times New Roman" w:hAnsi="Calibri" w:cs="Calibri"/>
                <w:kern w:val="2"/>
                <w:sz w:val="18"/>
                <w:szCs w:val="18"/>
              </w:rPr>
              <w:t>owner</w:t>
            </w:r>
            <w:r w:rsidR="73728360" w:rsidRPr="73728360">
              <w:rPr>
                <w:rFonts w:ascii="Calibri" w:eastAsia="Times New Roman" w:hAnsi="Calibri" w:cs="Calibri"/>
                <w:sz w:val="18"/>
                <w:szCs w:val="18"/>
              </w:rPr>
              <w:t>s</w:t>
            </w:r>
            <w:r>
              <w:rPr>
                <w:rFonts w:ascii="Calibri" w:eastAsia="Times New Roman" w:hAnsi="Calibri" w:cs="Calibri"/>
                <w:kern w:val="2"/>
                <w:sz w:val="18"/>
                <w:szCs w:val="18"/>
              </w:rPr>
              <w:t xml:space="preserve"> require a series of intentional and well-timed touchpoints and follow-ups to garner sufficient participation</w:t>
            </w:r>
            <w:r w:rsidR="005C60A7">
              <w:rPr>
                <w:rFonts w:ascii="Calibri" w:eastAsia="Times New Roman" w:hAnsi="Calibri" w:cs="Calibri"/>
                <w:kern w:val="2"/>
                <w:sz w:val="18"/>
                <w:szCs w:val="18"/>
              </w:rPr>
              <w:t>, without accidentally triggering permanent opt-outs/un-subscriptions</w:t>
            </w:r>
            <w:r>
              <w:rPr>
                <w:rFonts w:ascii="Calibri" w:eastAsia="Times New Roman" w:hAnsi="Calibri" w:cs="Calibri"/>
                <w:kern w:val="2"/>
                <w:sz w:val="18"/>
                <w:szCs w:val="18"/>
              </w:rPr>
              <w:t xml:space="preserve">. </w:t>
            </w:r>
            <w:r w:rsidR="73728360" w:rsidRPr="73728360">
              <w:rPr>
                <w:rFonts w:ascii="Calibri" w:eastAsia="Times New Roman" w:hAnsi="Calibri" w:cs="Calibri"/>
                <w:sz w:val="18"/>
                <w:szCs w:val="18"/>
              </w:rPr>
              <w:t>The PA’s d</w:t>
            </w:r>
            <w:r>
              <w:rPr>
                <w:rFonts w:ascii="Calibri" w:eastAsia="Times New Roman" w:hAnsi="Calibri" w:cs="Calibri"/>
                <w:kern w:val="2"/>
                <w:sz w:val="18"/>
                <w:szCs w:val="18"/>
              </w:rPr>
              <w:t xml:space="preserve">irect outreach </w:t>
            </w:r>
            <w:r w:rsidR="73728360" w:rsidRPr="73728360">
              <w:rPr>
                <w:rFonts w:ascii="Calibri" w:eastAsia="Times New Roman" w:hAnsi="Calibri" w:cs="Calibri"/>
                <w:sz w:val="18"/>
                <w:szCs w:val="18"/>
              </w:rPr>
              <w:t xml:space="preserve">efforts </w:t>
            </w:r>
            <w:r w:rsidR="005C60A7">
              <w:rPr>
                <w:rFonts w:ascii="Calibri" w:eastAsia="Times New Roman" w:hAnsi="Calibri" w:cs="Calibri"/>
                <w:kern w:val="2"/>
                <w:sz w:val="18"/>
                <w:szCs w:val="18"/>
              </w:rPr>
              <w:t xml:space="preserve">build on and </w:t>
            </w:r>
            <w:r>
              <w:rPr>
                <w:rFonts w:ascii="Calibri" w:eastAsia="Times New Roman" w:hAnsi="Calibri" w:cs="Calibri"/>
                <w:kern w:val="2"/>
                <w:sz w:val="18"/>
                <w:szCs w:val="18"/>
              </w:rPr>
              <w:t xml:space="preserve">supplement other marketing efforts, such as conference engagement, webinars, </w:t>
            </w:r>
            <w:r w:rsidR="005C60A7">
              <w:rPr>
                <w:rFonts w:ascii="Calibri" w:eastAsia="Times New Roman" w:hAnsi="Calibri" w:cs="Calibri"/>
                <w:kern w:val="2"/>
                <w:sz w:val="18"/>
                <w:szCs w:val="18"/>
              </w:rPr>
              <w:t>videos, and other media.</w:t>
            </w:r>
          </w:p>
          <w:p w14:paraId="6886D762" w14:textId="77777777" w:rsidR="005C60A7" w:rsidRDefault="005C60A7" w:rsidP="005B5E1B">
            <w:pPr>
              <w:rPr>
                <w:rFonts w:ascii="Calibri" w:eastAsia="Times New Roman" w:hAnsi="Calibri" w:cs="Calibri"/>
                <w:kern w:val="2"/>
                <w:sz w:val="18"/>
                <w:szCs w:val="18"/>
              </w:rPr>
            </w:pPr>
          </w:p>
          <w:p w14:paraId="31374C2D" w14:textId="223F48ED" w:rsidR="005C60A7" w:rsidRDefault="005C60A7" w:rsidP="005B5E1B">
            <w:pPr>
              <w:rPr>
                <w:rFonts w:ascii="Calibri" w:eastAsia="Times New Roman" w:hAnsi="Calibri" w:cs="Calibri"/>
                <w:kern w:val="2"/>
                <w:sz w:val="18"/>
                <w:szCs w:val="18"/>
              </w:rPr>
            </w:pPr>
            <w:r>
              <w:rPr>
                <w:rFonts w:ascii="Calibri" w:eastAsia="Times New Roman" w:hAnsi="Calibri" w:cs="Calibri"/>
                <w:kern w:val="2"/>
                <w:sz w:val="18"/>
                <w:szCs w:val="18"/>
              </w:rPr>
              <w:t xml:space="preserve">The PA is encouraged that, as the state begins to emerge from pandemic-era economic conditions </w:t>
            </w:r>
            <w:r w:rsidR="00536908">
              <w:rPr>
                <w:rFonts w:ascii="Calibri" w:eastAsia="Times New Roman" w:hAnsi="Calibri" w:cs="Calibri"/>
                <w:kern w:val="2"/>
                <w:sz w:val="18"/>
                <w:szCs w:val="18"/>
              </w:rPr>
              <w:t>that</w:t>
            </w:r>
            <w:r>
              <w:rPr>
                <w:rFonts w:ascii="Calibri" w:eastAsia="Times New Roman" w:hAnsi="Calibri" w:cs="Calibri"/>
                <w:kern w:val="2"/>
                <w:sz w:val="18"/>
                <w:szCs w:val="18"/>
              </w:rPr>
              <w:t xml:space="preserve"> demanded owners’ attention and as our number of </w:t>
            </w:r>
            <w:r w:rsidR="73728360" w:rsidRPr="73728360">
              <w:rPr>
                <w:rFonts w:ascii="Calibri" w:eastAsia="Times New Roman" w:hAnsi="Calibri" w:cs="Calibri"/>
                <w:sz w:val="18"/>
                <w:szCs w:val="18"/>
              </w:rPr>
              <w:t xml:space="preserve">completed projects and success stories/case studies </w:t>
            </w:r>
            <w:r>
              <w:rPr>
                <w:rFonts w:ascii="Calibri" w:eastAsia="Times New Roman" w:hAnsi="Calibri" w:cs="Calibri"/>
                <w:kern w:val="2"/>
                <w:sz w:val="18"/>
                <w:szCs w:val="18"/>
              </w:rPr>
              <w:t>grow, direct outreach will become increasingly effect</w:t>
            </w:r>
            <w:r w:rsidR="73728360" w:rsidRPr="73728360">
              <w:rPr>
                <w:rFonts w:ascii="Calibri" w:eastAsia="Times New Roman" w:hAnsi="Calibri" w:cs="Calibri"/>
                <w:sz w:val="18"/>
                <w:szCs w:val="18"/>
              </w:rPr>
              <w:t>ive</w:t>
            </w:r>
            <w:r>
              <w:rPr>
                <w:rFonts w:ascii="Calibri" w:eastAsia="Times New Roman" w:hAnsi="Calibri" w:cs="Calibri"/>
                <w:kern w:val="2"/>
                <w:sz w:val="18"/>
                <w:szCs w:val="18"/>
              </w:rPr>
              <w:t xml:space="preserve"> at not only introducing the program to owners, </w:t>
            </w:r>
            <w:r w:rsidR="00536908">
              <w:rPr>
                <w:rFonts w:ascii="Calibri" w:eastAsia="Times New Roman" w:hAnsi="Calibri" w:cs="Calibri"/>
                <w:kern w:val="2"/>
                <w:sz w:val="18"/>
                <w:szCs w:val="18"/>
              </w:rPr>
              <w:t xml:space="preserve">but in </w:t>
            </w:r>
            <w:r>
              <w:rPr>
                <w:rFonts w:ascii="Calibri" w:eastAsia="Times New Roman" w:hAnsi="Calibri" w:cs="Calibri"/>
                <w:kern w:val="2"/>
                <w:sz w:val="18"/>
                <w:szCs w:val="18"/>
              </w:rPr>
              <w:t xml:space="preserve">encouraging them to participate, given the comfort they will take in early adopters’ success stories. </w:t>
            </w:r>
          </w:p>
          <w:p w14:paraId="15C6820F" w14:textId="124FE5E4" w:rsidR="005C60A7" w:rsidRDefault="005C60A7" w:rsidP="73728360">
            <w:pPr>
              <w:rPr>
                <w:rFonts w:ascii="Calibri" w:eastAsia="Times New Roman" w:hAnsi="Calibri" w:cs="Calibri"/>
                <w:sz w:val="18"/>
                <w:szCs w:val="18"/>
              </w:rPr>
            </w:pPr>
          </w:p>
          <w:p w14:paraId="0229CB11" w14:textId="5296A015" w:rsidR="005C60A7" w:rsidRDefault="73728360" w:rsidP="003741EF">
            <w:pPr>
              <w:rPr>
                <w:rFonts w:ascii="Calibri" w:eastAsia="Times New Roman" w:hAnsi="Calibri" w:cs="Calibri"/>
                <w:kern w:val="2"/>
                <w:sz w:val="18"/>
                <w:szCs w:val="18"/>
              </w:rPr>
            </w:pPr>
            <w:r w:rsidRPr="003741EF">
              <w:rPr>
                <w:rFonts w:ascii="Calibri" w:eastAsia="Times New Roman" w:hAnsi="Calibri" w:cs="Calibri"/>
                <w:kern w:val="2"/>
                <w:sz w:val="18"/>
                <w:szCs w:val="18"/>
              </w:rPr>
              <w:t>The SOMAH PA understands the necessity to tailor marketing and outreach materials to fit the needs of non-participating property owners and has launched a variety of initiatives</w:t>
            </w:r>
            <w:r w:rsidR="00536908">
              <w:rPr>
                <w:rFonts w:ascii="Calibri" w:eastAsia="Times New Roman" w:hAnsi="Calibri" w:cs="Calibri"/>
                <w:kern w:val="2"/>
                <w:sz w:val="18"/>
                <w:szCs w:val="18"/>
              </w:rPr>
              <w:t>,</w:t>
            </w:r>
            <w:r w:rsidRPr="003741EF">
              <w:rPr>
                <w:rFonts w:ascii="Calibri" w:eastAsia="Times New Roman" w:hAnsi="Calibri" w:cs="Calibri"/>
                <w:kern w:val="2"/>
                <w:sz w:val="18"/>
                <w:szCs w:val="18"/>
              </w:rPr>
              <w:t xml:space="preserve"> such as the Solar 101 Institute, a free event that provides a detailed overview of the mechanics and benefits of Solar PV to address key knowledge gaps that may serve as barriers to program participation. Additionally, the SOMAH PA has developed and will continue to </w:t>
            </w:r>
            <w:r w:rsidR="00E97192" w:rsidRPr="003741EF">
              <w:rPr>
                <w:rFonts w:ascii="Calibri" w:eastAsia="Times New Roman" w:hAnsi="Calibri" w:cs="Calibri"/>
                <w:kern w:val="2"/>
                <w:sz w:val="18"/>
                <w:szCs w:val="18"/>
              </w:rPr>
              <w:t xml:space="preserve">build </w:t>
            </w:r>
            <w:r w:rsidRPr="003741EF">
              <w:rPr>
                <w:rFonts w:ascii="Calibri" w:eastAsia="Times New Roman" w:hAnsi="Calibri" w:cs="Calibri"/>
                <w:kern w:val="2"/>
                <w:sz w:val="18"/>
                <w:szCs w:val="18"/>
              </w:rPr>
              <w:t xml:space="preserve">project case studies that showcase the program’s incentives and financial benefits of solar. Additionally, the SOMAH PA is actively conducting one-on-one outreach, with the support of partner CBOs, to non-participating property owners on a consistent basis with various messaging tactics that include invitations to upcoming SOMAH events and information about potentially eligible SOMAH properties in their portfolios. </w:t>
            </w:r>
          </w:p>
          <w:p w14:paraId="72D1E6A9" w14:textId="77777777" w:rsidR="003741EF" w:rsidRPr="003741EF" w:rsidRDefault="003741EF" w:rsidP="003741EF">
            <w:pPr>
              <w:rPr>
                <w:rFonts w:ascii="Calibri" w:eastAsia="Times New Roman" w:hAnsi="Calibri" w:cs="Calibri"/>
                <w:kern w:val="2"/>
                <w:sz w:val="18"/>
                <w:szCs w:val="18"/>
              </w:rPr>
            </w:pPr>
          </w:p>
          <w:p w14:paraId="531EF05F" w14:textId="45AD31A7" w:rsidR="005C60A7" w:rsidRDefault="005C60A7" w:rsidP="005B5E1B">
            <w:pPr>
              <w:rPr>
                <w:rFonts w:ascii="Calibri" w:eastAsia="Times New Roman" w:hAnsi="Calibri" w:cs="Calibri"/>
                <w:kern w:val="2"/>
                <w:sz w:val="18"/>
                <w:szCs w:val="18"/>
              </w:rPr>
            </w:pPr>
            <w:r>
              <w:rPr>
                <w:rFonts w:ascii="Calibri" w:eastAsia="Times New Roman" w:hAnsi="Calibri" w:cs="Calibri"/>
                <w:kern w:val="2"/>
                <w:sz w:val="18"/>
                <w:szCs w:val="18"/>
              </w:rPr>
              <w:t xml:space="preserve">Finally, the SOMAH PA will propose additional program resources that </w:t>
            </w:r>
            <w:r w:rsidR="008437E9">
              <w:rPr>
                <w:rFonts w:ascii="Calibri" w:eastAsia="Times New Roman" w:hAnsi="Calibri" w:cs="Calibri"/>
                <w:kern w:val="2"/>
                <w:sz w:val="18"/>
                <w:szCs w:val="18"/>
              </w:rPr>
              <w:t>enhance property</w:t>
            </w:r>
            <w:r>
              <w:rPr>
                <w:rFonts w:ascii="Calibri" w:eastAsia="Times New Roman" w:hAnsi="Calibri" w:cs="Calibri"/>
                <w:kern w:val="2"/>
                <w:sz w:val="18"/>
                <w:szCs w:val="18"/>
              </w:rPr>
              <w:t xml:space="preserve"> owners’ capacity to participate in </w:t>
            </w:r>
            <w:r w:rsidR="008437E9">
              <w:rPr>
                <w:rFonts w:ascii="Calibri" w:eastAsia="Times New Roman" w:hAnsi="Calibri" w:cs="Calibri"/>
                <w:kern w:val="2"/>
                <w:sz w:val="18"/>
                <w:szCs w:val="18"/>
              </w:rPr>
              <w:t xml:space="preserve">the program, </w:t>
            </w:r>
            <w:r>
              <w:rPr>
                <w:rFonts w:ascii="Calibri" w:eastAsia="Times New Roman" w:hAnsi="Calibri" w:cs="Calibri"/>
                <w:kern w:val="2"/>
                <w:sz w:val="18"/>
                <w:szCs w:val="18"/>
              </w:rPr>
              <w:t xml:space="preserve">such as upcoming webinars designed to address key program barriers </w:t>
            </w:r>
            <w:r w:rsidR="008437E9">
              <w:rPr>
                <w:rFonts w:ascii="Calibri" w:eastAsia="Times New Roman" w:hAnsi="Calibri" w:cs="Calibri"/>
                <w:kern w:val="2"/>
                <w:sz w:val="18"/>
                <w:szCs w:val="18"/>
              </w:rPr>
              <w:t>like</w:t>
            </w:r>
            <w:r>
              <w:rPr>
                <w:rFonts w:ascii="Calibri" w:eastAsia="Times New Roman" w:hAnsi="Calibri" w:cs="Calibri"/>
                <w:kern w:val="2"/>
                <w:sz w:val="18"/>
                <w:szCs w:val="18"/>
              </w:rPr>
              <w:t xml:space="preserve"> financing</w:t>
            </w:r>
            <w:r w:rsidR="008437E9">
              <w:rPr>
                <w:rFonts w:ascii="Calibri" w:eastAsia="Times New Roman" w:hAnsi="Calibri" w:cs="Calibri"/>
                <w:kern w:val="2"/>
                <w:sz w:val="18"/>
                <w:szCs w:val="18"/>
              </w:rPr>
              <w:t>,</w:t>
            </w:r>
            <w:r>
              <w:rPr>
                <w:rFonts w:ascii="Calibri" w:eastAsia="Times New Roman" w:hAnsi="Calibri" w:cs="Calibri"/>
                <w:kern w:val="2"/>
                <w:sz w:val="18"/>
                <w:szCs w:val="18"/>
              </w:rPr>
              <w:t xml:space="preserve"> as well as tailored case studies that </w:t>
            </w:r>
            <w:r w:rsidR="008437E9">
              <w:rPr>
                <w:rFonts w:ascii="Calibri" w:eastAsia="Times New Roman" w:hAnsi="Calibri" w:cs="Calibri"/>
                <w:kern w:val="2"/>
                <w:sz w:val="18"/>
                <w:szCs w:val="18"/>
              </w:rPr>
              <w:t xml:space="preserve">demonstrate </w:t>
            </w:r>
            <w:r>
              <w:rPr>
                <w:rFonts w:ascii="Calibri" w:eastAsia="Times New Roman" w:hAnsi="Calibri" w:cs="Calibri"/>
                <w:kern w:val="2"/>
                <w:sz w:val="18"/>
                <w:szCs w:val="18"/>
              </w:rPr>
              <w:t xml:space="preserve">the tangible benefits </w:t>
            </w:r>
            <w:r w:rsidR="008437E9">
              <w:rPr>
                <w:rFonts w:ascii="Calibri" w:eastAsia="Times New Roman" w:hAnsi="Calibri" w:cs="Calibri"/>
                <w:kern w:val="2"/>
                <w:sz w:val="18"/>
                <w:szCs w:val="18"/>
              </w:rPr>
              <w:t xml:space="preserve">of </w:t>
            </w:r>
            <w:r>
              <w:rPr>
                <w:rFonts w:ascii="Calibri" w:eastAsia="Times New Roman" w:hAnsi="Calibri" w:cs="Calibri"/>
                <w:kern w:val="2"/>
                <w:sz w:val="18"/>
                <w:szCs w:val="18"/>
              </w:rPr>
              <w:t>participati</w:t>
            </w:r>
            <w:r w:rsidR="008437E9">
              <w:rPr>
                <w:rFonts w:ascii="Calibri" w:eastAsia="Times New Roman" w:hAnsi="Calibri" w:cs="Calibri"/>
                <w:kern w:val="2"/>
                <w:sz w:val="18"/>
                <w:szCs w:val="18"/>
              </w:rPr>
              <w:t>ng</w:t>
            </w:r>
            <w:r>
              <w:rPr>
                <w:rFonts w:ascii="Calibri" w:eastAsia="Times New Roman" w:hAnsi="Calibri" w:cs="Calibri"/>
                <w:kern w:val="2"/>
                <w:sz w:val="18"/>
                <w:szCs w:val="18"/>
              </w:rPr>
              <w:t xml:space="preserve"> in SOMAH. </w:t>
            </w:r>
            <w:r w:rsidR="000256DE">
              <w:rPr>
                <w:rFonts w:ascii="Calibri" w:eastAsia="Times New Roman" w:hAnsi="Calibri" w:cs="Calibri"/>
                <w:kern w:val="2"/>
                <w:sz w:val="18"/>
                <w:szCs w:val="18"/>
              </w:rPr>
              <w:t xml:space="preserve">The PA will continue to evaluate the success of ongoing property owner outreach strategies </w:t>
            </w:r>
            <w:r w:rsidR="008F6660">
              <w:rPr>
                <w:rFonts w:ascii="Calibri" w:eastAsia="Times New Roman" w:hAnsi="Calibri" w:cs="Calibri"/>
                <w:kern w:val="2"/>
                <w:sz w:val="18"/>
                <w:szCs w:val="18"/>
              </w:rPr>
              <w:t>on an</w:t>
            </w:r>
            <w:r w:rsidR="000256DE">
              <w:rPr>
                <w:rFonts w:ascii="Calibri" w:eastAsia="Times New Roman" w:hAnsi="Calibri" w:cs="Calibri"/>
                <w:kern w:val="2"/>
                <w:sz w:val="18"/>
                <w:szCs w:val="18"/>
              </w:rPr>
              <w:t xml:space="preserve"> ongoing </w:t>
            </w:r>
            <w:r w:rsidR="008F6660">
              <w:rPr>
                <w:rFonts w:ascii="Calibri" w:eastAsia="Times New Roman" w:hAnsi="Calibri" w:cs="Calibri"/>
                <w:kern w:val="2"/>
                <w:sz w:val="18"/>
                <w:szCs w:val="18"/>
              </w:rPr>
              <w:t>basis</w:t>
            </w:r>
            <w:r w:rsidR="000256DE">
              <w:rPr>
                <w:rFonts w:ascii="Calibri" w:eastAsia="Times New Roman" w:hAnsi="Calibri" w:cs="Calibri"/>
                <w:kern w:val="2"/>
                <w:sz w:val="18"/>
                <w:szCs w:val="18"/>
              </w:rPr>
              <w:t>.</w:t>
            </w:r>
          </w:p>
          <w:p w14:paraId="268CBB64" w14:textId="77777777" w:rsidR="00CD2A81" w:rsidRDefault="00CD2A81" w:rsidP="005B5E1B">
            <w:pPr>
              <w:rPr>
                <w:rFonts w:ascii="Calibri" w:eastAsia="Times New Roman" w:hAnsi="Calibri" w:cs="Calibri"/>
                <w:kern w:val="2"/>
                <w:sz w:val="18"/>
                <w:szCs w:val="18"/>
              </w:rPr>
            </w:pPr>
          </w:p>
          <w:p w14:paraId="7FFDB5A7" w14:textId="71E4B15C" w:rsidR="00CD2A81" w:rsidRDefault="000F23B0"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C04C47">
              <w:rPr>
                <w:rFonts w:ascii="Calibri" w:eastAsia="Times New Roman" w:hAnsi="Calibri" w:cs="Calibri"/>
                <w:kern w:val="2"/>
                <w:sz w:val="18"/>
                <w:szCs w:val="18"/>
              </w:rPr>
              <w:t xml:space="preserve"> Property Owners</w:t>
            </w:r>
          </w:p>
          <w:p w14:paraId="7E3646CE" w14:textId="2955ED54" w:rsidR="00CD2A81" w:rsidRPr="003F18A9" w:rsidRDefault="00CD2A81"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C04C47">
              <w:rPr>
                <w:rFonts w:ascii="Calibri" w:eastAsia="Times New Roman" w:hAnsi="Calibri" w:cs="Calibri"/>
                <w:kern w:val="2"/>
                <w:sz w:val="18"/>
                <w:szCs w:val="18"/>
              </w:rPr>
              <w:t xml:space="preserve"> Q3 2022 and ongoing</w:t>
            </w:r>
          </w:p>
        </w:tc>
      </w:tr>
      <w:tr w:rsidR="00FA7B39" w:rsidRPr="002015E9" w14:paraId="4E2A3A21"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443A9624" w14:textId="336832F6"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3</w:t>
            </w:r>
          </w:p>
        </w:tc>
        <w:tc>
          <w:tcPr>
            <w:tcW w:w="156" w:type="pct"/>
            <w:tcBorders>
              <w:top w:val="single" w:sz="4" w:space="0" w:color="auto"/>
              <w:left w:val="nil"/>
              <w:bottom w:val="single" w:sz="4" w:space="0" w:color="auto"/>
              <w:right w:val="single" w:sz="4" w:space="0" w:color="auto"/>
            </w:tcBorders>
            <w:shd w:val="clear" w:color="auto" w:fill="auto"/>
          </w:tcPr>
          <w:p w14:paraId="169EBEDE" w14:textId="77BA63BF"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59</w:t>
            </w:r>
          </w:p>
        </w:tc>
        <w:tc>
          <w:tcPr>
            <w:tcW w:w="1084" w:type="pct"/>
            <w:tcBorders>
              <w:top w:val="single" w:sz="4" w:space="0" w:color="auto"/>
              <w:left w:val="nil"/>
              <w:bottom w:val="single" w:sz="4" w:space="0" w:color="auto"/>
              <w:right w:val="single" w:sz="4" w:space="0" w:color="auto"/>
            </w:tcBorders>
            <w:shd w:val="clear" w:color="auto" w:fill="auto"/>
          </w:tcPr>
          <w:p w14:paraId="630D11AE" w14:textId="23DFECDD" w:rsidR="00FA7B39" w:rsidRPr="007573D8" w:rsidRDefault="00FA7B39" w:rsidP="00FA7B39">
            <w:pPr>
              <w:jc w:val="both"/>
              <w:rPr>
                <w:rFonts w:eastAsiaTheme="minorEastAsia"/>
                <w:b/>
                <w:bCs/>
                <w:color w:val="000000" w:themeColor="text1"/>
                <w:sz w:val="18"/>
                <w:szCs w:val="18"/>
              </w:rPr>
            </w:pPr>
            <w:r w:rsidRPr="007573D8">
              <w:rPr>
                <w:rFonts w:eastAsiaTheme="minorEastAsia"/>
                <w:color w:val="000000" w:themeColor="text1"/>
                <w:sz w:val="18"/>
                <w:szCs w:val="18"/>
              </w:rPr>
              <w:t xml:space="preserve">CBOs </w:t>
            </w:r>
            <w:r>
              <w:rPr>
                <w:rFonts w:eastAsiaTheme="minorEastAsia"/>
                <w:color w:val="000000" w:themeColor="text1"/>
                <w:sz w:val="18"/>
                <w:szCs w:val="18"/>
              </w:rPr>
              <w:t>currently e</w:t>
            </w:r>
            <w:r w:rsidRPr="007573D8">
              <w:rPr>
                <w:rFonts w:eastAsiaTheme="minorEastAsia"/>
                <w:color w:val="000000" w:themeColor="text1"/>
                <w:sz w:val="18"/>
                <w:szCs w:val="18"/>
              </w:rPr>
              <w:t>ngag</w:t>
            </w:r>
            <w:r>
              <w:rPr>
                <w:rFonts w:eastAsiaTheme="minorEastAsia"/>
                <w:color w:val="000000" w:themeColor="text1"/>
                <w:sz w:val="18"/>
                <w:szCs w:val="18"/>
              </w:rPr>
              <w:t>e</w:t>
            </w:r>
            <w:r w:rsidRPr="007573D8">
              <w:rPr>
                <w:rFonts w:eastAsiaTheme="minorEastAsia"/>
                <w:color w:val="000000" w:themeColor="text1"/>
                <w:sz w:val="18"/>
                <w:szCs w:val="18"/>
              </w:rPr>
              <w:t xml:space="preserve"> with </w:t>
            </w:r>
            <w:r>
              <w:rPr>
                <w:rFonts w:eastAsiaTheme="minorEastAsia"/>
                <w:color w:val="000000" w:themeColor="text1"/>
                <w:sz w:val="18"/>
                <w:szCs w:val="18"/>
              </w:rPr>
              <w:t xml:space="preserve">SOMAH-eligible </w:t>
            </w:r>
            <w:r w:rsidRPr="007573D8">
              <w:rPr>
                <w:rFonts w:eastAsiaTheme="minorEastAsia"/>
                <w:color w:val="000000" w:themeColor="text1"/>
                <w:sz w:val="18"/>
                <w:szCs w:val="18"/>
              </w:rPr>
              <w:t xml:space="preserve">property owners </w:t>
            </w:r>
            <w:r>
              <w:rPr>
                <w:rFonts w:eastAsiaTheme="minorEastAsia"/>
                <w:color w:val="000000" w:themeColor="text1"/>
                <w:sz w:val="18"/>
                <w:szCs w:val="18"/>
              </w:rPr>
              <w:t xml:space="preserve">located in or near the territories where they operate. The CBOs interviewed for the Vendor Assessment reported they would benefit from </w:t>
            </w:r>
            <w:r w:rsidRPr="007573D8">
              <w:rPr>
                <w:rFonts w:eastAsiaTheme="minorEastAsia"/>
                <w:color w:val="000000" w:themeColor="text1"/>
                <w:sz w:val="18"/>
                <w:szCs w:val="18"/>
              </w:rPr>
              <w:t xml:space="preserve">further </w:t>
            </w:r>
            <w:r w:rsidR="00D62DA4">
              <w:rPr>
                <w:rFonts w:eastAsiaTheme="minorEastAsia"/>
                <w:color w:val="000000" w:themeColor="text1"/>
                <w:sz w:val="18"/>
                <w:szCs w:val="18"/>
              </w:rPr>
              <w:t xml:space="preserve">SOMAH PA </w:t>
            </w:r>
            <w:r w:rsidRPr="007573D8">
              <w:rPr>
                <w:rFonts w:eastAsiaTheme="minorEastAsia"/>
                <w:color w:val="000000" w:themeColor="text1"/>
                <w:sz w:val="18"/>
                <w:szCs w:val="18"/>
              </w:rPr>
              <w:t xml:space="preserve">training </w:t>
            </w:r>
            <w:r>
              <w:rPr>
                <w:rFonts w:eastAsiaTheme="minorEastAsia"/>
                <w:color w:val="000000" w:themeColor="text1"/>
                <w:sz w:val="18"/>
                <w:szCs w:val="18"/>
              </w:rPr>
              <w:t xml:space="preserve">and </w:t>
            </w:r>
            <w:r w:rsidRPr="007573D8">
              <w:rPr>
                <w:rFonts w:eastAsiaTheme="minorEastAsia"/>
                <w:color w:val="000000" w:themeColor="text1"/>
                <w:sz w:val="18"/>
                <w:szCs w:val="18"/>
              </w:rPr>
              <w:t xml:space="preserve">support </w:t>
            </w:r>
            <w:r w:rsidR="00D62DA4">
              <w:rPr>
                <w:rFonts w:eastAsiaTheme="minorEastAsia"/>
                <w:color w:val="000000" w:themeColor="text1"/>
                <w:sz w:val="18"/>
                <w:szCs w:val="18"/>
              </w:rPr>
              <w:t>re</w:t>
            </w:r>
            <w:r>
              <w:rPr>
                <w:rFonts w:eastAsiaTheme="minorEastAsia"/>
                <w:color w:val="000000" w:themeColor="text1"/>
                <w:sz w:val="18"/>
                <w:szCs w:val="18"/>
              </w:rPr>
              <w:t>garding interacting with affordable housing property owners to ensure the benefits from these interactions are maximized.</w:t>
            </w:r>
            <w:r w:rsidRPr="007573D8">
              <w:rPr>
                <w:rFonts w:eastAsiaTheme="minorEastAsia"/>
                <w:color w:val="000000" w:themeColor="text1"/>
                <w:sz w:val="18"/>
                <w:szCs w:val="18"/>
              </w:rPr>
              <w:t xml:space="preserve"> </w:t>
            </w:r>
          </w:p>
        </w:tc>
        <w:tc>
          <w:tcPr>
            <w:tcW w:w="1667" w:type="pct"/>
            <w:tcBorders>
              <w:top w:val="single" w:sz="4" w:space="0" w:color="auto"/>
              <w:left w:val="nil"/>
              <w:bottom w:val="single" w:sz="4" w:space="0" w:color="auto"/>
              <w:right w:val="single" w:sz="4" w:space="0" w:color="auto"/>
            </w:tcBorders>
            <w:shd w:val="clear" w:color="auto" w:fill="auto"/>
          </w:tcPr>
          <w:p w14:paraId="076C218C" w14:textId="23F02A3E" w:rsidR="00FA7B39" w:rsidRPr="002E305F" w:rsidRDefault="00FA7B39" w:rsidP="00FA7B39">
            <w:pPr>
              <w:pStyle w:val="ListParagraph"/>
              <w:ind w:left="0"/>
              <w:contextualSpacing w:val="0"/>
              <w:jc w:val="both"/>
              <w:rPr>
                <w:rFonts w:eastAsiaTheme="minorEastAsia"/>
                <w:color w:val="000000" w:themeColor="text1"/>
                <w:sz w:val="18"/>
                <w:szCs w:val="18"/>
              </w:rPr>
            </w:pPr>
            <w:r>
              <w:rPr>
                <w:rFonts w:eastAsiaTheme="minorEastAsia"/>
                <w:color w:val="000000" w:themeColor="text1"/>
                <w:sz w:val="18"/>
                <w:szCs w:val="18"/>
              </w:rPr>
              <w:t xml:space="preserve">The SOMAH PA should ensure </w:t>
            </w:r>
            <w:r w:rsidRPr="002E305F">
              <w:rPr>
                <w:rFonts w:eastAsiaTheme="minorEastAsia"/>
                <w:color w:val="000000" w:themeColor="text1"/>
                <w:sz w:val="18"/>
                <w:szCs w:val="18"/>
              </w:rPr>
              <w:t xml:space="preserve">CBOs </w:t>
            </w:r>
            <w:r>
              <w:rPr>
                <w:rFonts w:eastAsiaTheme="minorEastAsia"/>
                <w:color w:val="000000" w:themeColor="text1"/>
                <w:sz w:val="18"/>
                <w:szCs w:val="18"/>
              </w:rPr>
              <w:t xml:space="preserve">have the necessary training and involvement from the PA to support their </w:t>
            </w:r>
            <w:r w:rsidRPr="002E305F">
              <w:rPr>
                <w:rFonts w:eastAsiaTheme="minorEastAsia"/>
                <w:color w:val="000000" w:themeColor="text1"/>
                <w:sz w:val="18"/>
                <w:szCs w:val="18"/>
              </w:rPr>
              <w:t>property owner engagement</w:t>
            </w:r>
            <w:r>
              <w:rPr>
                <w:rFonts w:eastAsiaTheme="minorEastAsia"/>
                <w:color w:val="000000" w:themeColor="text1"/>
                <w:sz w:val="18"/>
                <w:szCs w:val="18"/>
              </w:rPr>
              <w:t xml:space="preserve"> activities</w:t>
            </w:r>
            <w:r w:rsidRPr="002E305F">
              <w:rPr>
                <w:rFonts w:eastAsiaTheme="minorEastAsia"/>
                <w:color w:val="000000" w:themeColor="text1"/>
                <w:sz w:val="18"/>
                <w:szCs w:val="18"/>
              </w:rPr>
              <w:t>. CBOs typically engage with community members and so while they are comfortable and familiar engaging with tenants, the skills required to engage with property owners could use further development and training support from the SOMAH PA. The CBOs reported that most of the properties they contact have not previously engaged with an eligible SOMAH contractor.</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5A4FA976" w14:textId="3E251A46" w:rsidR="00FA7B39" w:rsidRPr="003F18A9" w:rsidRDefault="00521B3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4806DA6A" w14:textId="173A9D8F" w:rsidR="00FA7B39" w:rsidRDefault="005B5E1B" w:rsidP="005B5E1B">
            <w:pPr>
              <w:rPr>
                <w:rFonts w:ascii="Calibri" w:eastAsia="Times New Roman" w:hAnsi="Calibri" w:cs="Calibri"/>
                <w:kern w:val="2"/>
                <w:sz w:val="18"/>
                <w:szCs w:val="18"/>
              </w:rPr>
            </w:pPr>
            <w:r>
              <w:rPr>
                <w:rFonts w:ascii="Calibri" w:eastAsia="Times New Roman" w:hAnsi="Calibri" w:cs="Calibri"/>
                <w:kern w:val="2"/>
                <w:sz w:val="18"/>
                <w:szCs w:val="18"/>
              </w:rPr>
              <w:t>The SOMAH PA receives regular feedback from CBOs to understand what they need to be effective at property owner o</w:t>
            </w:r>
            <w:r w:rsidR="00A22E1F">
              <w:rPr>
                <w:rFonts w:ascii="Calibri" w:eastAsia="Times New Roman" w:hAnsi="Calibri" w:cs="Calibri"/>
                <w:kern w:val="2"/>
                <w:sz w:val="18"/>
                <w:szCs w:val="18"/>
              </w:rPr>
              <w:t>utreach</w:t>
            </w:r>
            <w:r>
              <w:rPr>
                <w:rFonts w:ascii="Calibri" w:eastAsia="Times New Roman" w:hAnsi="Calibri" w:cs="Calibri"/>
                <w:kern w:val="2"/>
                <w:sz w:val="18"/>
                <w:szCs w:val="18"/>
              </w:rPr>
              <w:t xml:space="preserve">, which is difficult in general, given </w:t>
            </w:r>
            <w:r w:rsidR="006416ED">
              <w:rPr>
                <w:rFonts w:ascii="Calibri" w:eastAsia="Times New Roman" w:hAnsi="Calibri" w:cs="Calibri"/>
                <w:kern w:val="2"/>
                <w:sz w:val="18"/>
                <w:szCs w:val="18"/>
              </w:rPr>
              <w:t xml:space="preserve">the </w:t>
            </w:r>
            <w:r>
              <w:rPr>
                <w:rFonts w:ascii="Calibri" w:eastAsia="Times New Roman" w:hAnsi="Calibri" w:cs="Calibri"/>
                <w:kern w:val="2"/>
                <w:sz w:val="18"/>
                <w:szCs w:val="18"/>
              </w:rPr>
              <w:t xml:space="preserve">layers of management and </w:t>
            </w:r>
            <w:r w:rsidR="005D3B3D">
              <w:rPr>
                <w:rFonts w:ascii="Calibri" w:eastAsia="Times New Roman" w:hAnsi="Calibri" w:cs="Calibri"/>
                <w:kern w:val="2"/>
                <w:sz w:val="18"/>
                <w:szCs w:val="18"/>
              </w:rPr>
              <w:t>umbrella/parent</w:t>
            </w:r>
            <w:r>
              <w:rPr>
                <w:rFonts w:ascii="Calibri" w:eastAsia="Times New Roman" w:hAnsi="Calibri" w:cs="Calibri"/>
                <w:kern w:val="2"/>
                <w:sz w:val="18"/>
                <w:szCs w:val="18"/>
              </w:rPr>
              <w:t xml:space="preserve"> compan</w:t>
            </w:r>
            <w:r w:rsidR="005D3B3D">
              <w:rPr>
                <w:rFonts w:ascii="Calibri" w:eastAsia="Times New Roman" w:hAnsi="Calibri" w:cs="Calibri"/>
                <w:kern w:val="2"/>
                <w:sz w:val="18"/>
                <w:szCs w:val="18"/>
              </w:rPr>
              <w:t>y structures</w:t>
            </w:r>
            <w:r>
              <w:rPr>
                <w:rFonts w:ascii="Calibri" w:eastAsia="Times New Roman" w:hAnsi="Calibri" w:cs="Calibri"/>
                <w:kern w:val="2"/>
                <w:sz w:val="18"/>
                <w:szCs w:val="18"/>
              </w:rPr>
              <w:t xml:space="preserve">, the fact that solar is not the </w:t>
            </w:r>
            <w:r w:rsidR="001D7C78">
              <w:rPr>
                <w:rFonts w:ascii="Calibri" w:eastAsia="Times New Roman" w:hAnsi="Calibri" w:cs="Calibri"/>
                <w:kern w:val="2"/>
                <w:sz w:val="18"/>
                <w:szCs w:val="18"/>
              </w:rPr>
              <w:t xml:space="preserve">property </w:t>
            </w:r>
            <w:r>
              <w:rPr>
                <w:rFonts w:ascii="Calibri" w:eastAsia="Times New Roman" w:hAnsi="Calibri" w:cs="Calibri"/>
                <w:kern w:val="2"/>
                <w:sz w:val="18"/>
                <w:szCs w:val="18"/>
              </w:rPr>
              <w:t>owner’s top priority, timing issues such as rehab/</w:t>
            </w:r>
            <w:proofErr w:type="spellStart"/>
            <w:r>
              <w:rPr>
                <w:rFonts w:ascii="Calibri" w:eastAsia="Times New Roman" w:hAnsi="Calibri" w:cs="Calibri"/>
                <w:kern w:val="2"/>
                <w:sz w:val="18"/>
                <w:szCs w:val="18"/>
              </w:rPr>
              <w:t>rescindication</w:t>
            </w:r>
            <w:proofErr w:type="spellEnd"/>
            <w:r>
              <w:rPr>
                <w:rFonts w:ascii="Calibri" w:eastAsia="Times New Roman" w:hAnsi="Calibri" w:cs="Calibri"/>
                <w:kern w:val="2"/>
                <w:sz w:val="18"/>
                <w:szCs w:val="18"/>
              </w:rPr>
              <w:t xml:space="preserve"> plans, etc. </w:t>
            </w:r>
          </w:p>
          <w:p w14:paraId="78A65671" w14:textId="77777777" w:rsidR="005B5E1B" w:rsidRDefault="005B5E1B" w:rsidP="005B5E1B">
            <w:pPr>
              <w:rPr>
                <w:rFonts w:ascii="Calibri" w:eastAsia="Times New Roman" w:hAnsi="Calibri" w:cs="Calibri"/>
                <w:kern w:val="2"/>
                <w:sz w:val="18"/>
                <w:szCs w:val="18"/>
              </w:rPr>
            </w:pPr>
          </w:p>
          <w:p w14:paraId="73EAB356" w14:textId="44CC63CB" w:rsidR="005B5E1B" w:rsidRDefault="005B5E1B" w:rsidP="005B5E1B">
            <w:pPr>
              <w:rPr>
                <w:rFonts w:ascii="Calibri" w:eastAsia="Times New Roman" w:hAnsi="Calibri" w:cs="Calibri"/>
                <w:kern w:val="2"/>
                <w:sz w:val="18"/>
                <w:szCs w:val="18"/>
              </w:rPr>
            </w:pPr>
            <w:r>
              <w:rPr>
                <w:rFonts w:ascii="Calibri" w:eastAsia="Times New Roman" w:hAnsi="Calibri" w:cs="Calibri"/>
                <w:kern w:val="2"/>
                <w:sz w:val="18"/>
                <w:szCs w:val="18"/>
              </w:rPr>
              <w:t>The PA is collating this feedback</w:t>
            </w:r>
            <w:r w:rsidR="3C965DA7" w:rsidRPr="3C965DA7">
              <w:rPr>
                <w:rFonts w:ascii="Calibri" w:eastAsia="Times New Roman" w:hAnsi="Calibri" w:cs="Calibri"/>
                <w:sz w:val="18"/>
                <w:szCs w:val="18"/>
              </w:rPr>
              <w:t xml:space="preserve"> and </w:t>
            </w:r>
            <w:r w:rsidR="002A6A28">
              <w:rPr>
                <w:rFonts w:ascii="Calibri" w:eastAsia="Times New Roman" w:hAnsi="Calibri" w:cs="Calibri"/>
                <w:sz w:val="18"/>
                <w:szCs w:val="18"/>
              </w:rPr>
              <w:t xml:space="preserve">plans </w:t>
            </w:r>
            <w:r w:rsidR="3C965DA7" w:rsidRPr="3C965DA7">
              <w:rPr>
                <w:rFonts w:ascii="Calibri" w:eastAsia="Times New Roman" w:hAnsi="Calibri" w:cs="Calibri"/>
                <w:sz w:val="18"/>
                <w:szCs w:val="18"/>
              </w:rPr>
              <w:t>to</w:t>
            </w:r>
            <w:r>
              <w:rPr>
                <w:rFonts w:ascii="Calibri" w:eastAsia="Times New Roman" w:hAnsi="Calibri" w:cs="Calibri"/>
                <w:kern w:val="2"/>
                <w:sz w:val="18"/>
                <w:szCs w:val="18"/>
              </w:rPr>
              <w:t xml:space="preserve"> roll</w:t>
            </w:r>
            <w:r w:rsidR="001D7C78">
              <w:rPr>
                <w:rFonts w:ascii="Calibri" w:eastAsia="Times New Roman" w:hAnsi="Calibri" w:cs="Calibri"/>
                <w:kern w:val="2"/>
                <w:sz w:val="18"/>
                <w:szCs w:val="18"/>
              </w:rPr>
              <w:t xml:space="preserve"> </w:t>
            </w:r>
            <w:r>
              <w:rPr>
                <w:rFonts w:ascii="Calibri" w:eastAsia="Times New Roman" w:hAnsi="Calibri" w:cs="Calibri"/>
                <w:kern w:val="2"/>
                <w:sz w:val="18"/>
                <w:szCs w:val="18"/>
              </w:rPr>
              <w:t xml:space="preserve">out new resources to </w:t>
            </w:r>
            <w:r w:rsidR="001D7C78">
              <w:rPr>
                <w:rFonts w:ascii="Calibri" w:eastAsia="Times New Roman" w:hAnsi="Calibri" w:cs="Calibri"/>
                <w:kern w:val="2"/>
                <w:sz w:val="18"/>
                <w:szCs w:val="18"/>
              </w:rPr>
              <w:t xml:space="preserve">enable </w:t>
            </w:r>
            <w:r>
              <w:rPr>
                <w:rFonts w:ascii="Calibri" w:eastAsia="Times New Roman" w:hAnsi="Calibri" w:cs="Calibri"/>
                <w:kern w:val="2"/>
                <w:sz w:val="18"/>
                <w:szCs w:val="18"/>
              </w:rPr>
              <w:t xml:space="preserve">CBOs </w:t>
            </w:r>
            <w:r w:rsidR="001D7C78">
              <w:rPr>
                <w:rFonts w:ascii="Calibri" w:eastAsia="Times New Roman" w:hAnsi="Calibri" w:cs="Calibri"/>
                <w:kern w:val="2"/>
                <w:sz w:val="18"/>
                <w:szCs w:val="18"/>
              </w:rPr>
              <w:t xml:space="preserve">to be </w:t>
            </w:r>
            <w:r>
              <w:rPr>
                <w:rFonts w:ascii="Calibri" w:eastAsia="Times New Roman" w:hAnsi="Calibri" w:cs="Calibri"/>
                <w:kern w:val="2"/>
                <w:sz w:val="18"/>
                <w:szCs w:val="18"/>
              </w:rPr>
              <w:t xml:space="preserve">more effective at </w:t>
            </w:r>
            <w:r w:rsidR="001D7C78">
              <w:rPr>
                <w:rFonts w:ascii="Calibri" w:eastAsia="Times New Roman" w:hAnsi="Calibri" w:cs="Calibri"/>
                <w:kern w:val="2"/>
                <w:sz w:val="18"/>
                <w:szCs w:val="18"/>
              </w:rPr>
              <w:t xml:space="preserve">property </w:t>
            </w:r>
            <w:r>
              <w:rPr>
                <w:rFonts w:ascii="Calibri" w:eastAsia="Times New Roman" w:hAnsi="Calibri" w:cs="Calibri"/>
                <w:kern w:val="2"/>
                <w:sz w:val="18"/>
                <w:szCs w:val="18"/>
              </w:rPr>
              <w:t xml:space="preserve">owner outreach, including customer journey mapping, nurture campaign management, revisions of key messages and materials, leveraging new cases of successful participation by </w:t>
            </w:r>
            <w:r w:rsidR="001D7C78">
              <w:rPr>
                <w:rFonts w:ascii="Calibri" w:eastAsia="Times New Roman" w:hAnsi="Calibri" w:cs="Calibri"/>
                <w:kern w:val="2"/>
                <w:sz w:val="18"/>
                <w:szCs w:val="18"/>
              </w:rPr>
              <w:t xml:space="preserve">property </w:t>
            </w:r>
            <w:r>
              <w:rPr>
                <w:rFonts w:ascii="Calibri" w:eastAsia="Times New Roman" w:hAnsi="Calibri" w:cs="Calibri"/>
                <w:kern w:val="2"/>
                <w:sz w:val="18"/>
                <w:szCs w:val="18"/>
              </w:rPr>
              <w:t xml:space="preserve">owners (to supplement </w:t>
            </w:r>
            <w:r w:rsidR="001D7C78">
              <w:rPr>
                <w:rFonts w:ascii="Calibri" w:eastAsia="Times New Roman" w:hAnsi="Calibri" w:cs="Calibri"/>
                <w:kern w:val="2"/>
                <w:sz w:val="18"/>
                <w:szCs w:val="18"/>
              </w:rPr>
              <w:t xml:space="preserve">the </w:t>
            </w:r>
            <w:r>
              <w:rPr>
                <w:rFonts w:ascii="Calibri" w:eastAsia="Times New Roman" w:hAnsi="Calibri" w:cs="Calibri"/>
                <w:kern w:val="2"/>
                <w:sz w:val="18"/>
                <w:szCs w:val="18"/>
              </w:rPr>
              <w:t>generic intro</w:t>
            </w:r>
            <w:r w:rsidR="001D7C78">
              <w:rPr>
                <w:rFonts w:ascii="Calibri" w:eastAsia="Times New Roman" w:hAnsi="Calibri" w:cs="Calibri"/>
                <w:kern w:val="2"/>
                <w:sz w:val="18"/>
                <w:szCs w:val="18"/>
              </w:rPr>
              <w:t>duction</w:t>
            </w:r>
            <w:r>
              <w:rPr>
                <w:rFonts w:ascii="Calibri" w:eastAsia="Times New Roman" w:hAnsi="Calibri" w:cs="Calibri"/>
                <w:kern w:val="2"/>
                <w:sz w:val="18"/>
                <w:szCs w:val="18"/>
              </w:rPr>
              <w:t xml:space="preserve"> to SOMAH information available at the beginning of the program before </w:t>
            </w:r>
            <w:r w:rsidR="001D7C78">
              <w:rPr>
                <w:rFonts w:ascii="Calibri" w:eastAsia="Times New Roman" w:hAnsi="Calibri" w:cs="Calibri"/>
                <w:kern w:val="2"/>
                <w:sz w:val="18"/>
                <w:szCs w:val="18"/>
              </w:rPr>
              <w:t>any</w:t>
            </w:r>
            <w:r>
              <w:rPr>
                <w:rFonts w:ascii="Calibri" w:eastAsia="Times New Roman" w:hAnsi="Calibri" w:cs="Calibri"/>
                <w:kern w:val="2"/>
                <w:sz w:val="18"/>
                <w:szCs w:val="18"/>
              </w:rPr>
              <w:t>one had yet completed the entire process), improved coordination through targeted owner engagement meetings and Salesforce training, and clear handoff processes to members of the PA responsible for ushering owners through the Upfront TA process.</w:t>
            </w:r>
          </w:p>
          <w:p w14:paraId="1EF30834" w14:textId="77777777" w:rsidR="00CD2A81" w:rsidRDefault="00CD2A81" w:rsidP="005B5E1B">
            <w:pPr>
              <w:rPr>
                <w:rFonts w:ascii="Calibri" w:eastAsia="Times New Roman" w:hAnsi="Calibri" w:cs="Calibri"/>
                <w:kern w:val="2"/>
                <w:sz w:val="18"/>
                <w:szCs w:val="18"/>
              </w:rPr>
            </w:pPr>
          </w:p>
          <w:p w14:paraId="6C8E647E" w14:textId="03343F2F" w:rsidR="00CD2A81" w:rsidRDefault="000F23B0"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6C4EA4">
              <w:rPr>
                <w:rFonts w:ascii="Calibri" w:eastAsia="Times New Roman" w:hAnsi="Calibri" w:cs="Calibri"/>
                <w:kern w:val="2"/>
                <w:sz w:val="18"/>
                <w:szCs w:val="18"/>
              </w:rPr>
              <w:t xml:space="preserve"> CBOs</w:t>
            </w:r>
            <w:r w:rsidR="00277B95">
              <w:rPr>
                <w:rFonts w:ascii="Calibri" w:eastAsia="Times New Roman" w:hAnsi="Calibri" w:cs="Calibri"/>
                <w:kern w:val="2"/>
                <w:sz w:val="18"/>
                <w:szCs w:val="18"/>
              </w:rPr>
              <w:t xml:space="preserve"> and Property Owners</w:t>
            </w:r>
          </w:p>
          <w:p w14:paraId="3D24F726" w14:textId="31FF6717" w:rsidR="00CD2A81" w:rsidRPr="003F18A9" w:rsidRDefault="00CD2A81"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Pr>
                <w:rFonts w:ascii="Calibri" w:eastAsia="Times New Roman" w:hAnsi="Calibri" w:cs="Calibri"/>
                <w:kern w:val="2"/>
                <w:sz w:val="18"/>
                <w:szCs w:val="18"/>
              </w:rPr>
              <w:t>: Q2 2022 and ongoing</w:t>
            </w:r>
          </w:p>
        </w:tc>
      </w:tr>
      <w:tr w:rsidR="00FA7B39" w:rsidRPr="002015E9" w14:paraId="3900F904"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204FF0F0" w14:textId="755DDDE0"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4</w:t>
            </w:r>
          </w:p>
        </w:tc>
        <w:tc>
          <w:tcPr>
            <w:tcW w:w="156" w:type="pct"/>
            <w:tcBorders>
              <w:top w:val="single" w:sz="4" w:space="0" w:color="auto"/>
              <w:left w:val="nil"/>
              <w:bottom w:val="single" w:sz="4" w:space="0" w:color="auto"/>
              <w:right w:val="single" w:sz="4" w:space="0" w:color="auto"/>
            </w:tcBorders>
            <w:shd w:val="clear" w:color="auto" w:fill="auto"/>
          </w:tcPr>
          <w:p w14:paraId="35DAE7C7" w14:textId="21C65F89"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59</w:t>
            </w:r>
          </w:p>
        </w:tc>
        <w:tc>
          <w:tcPr>
            <w:tcW w:w="1084" w:type="pct"/>
            <w:tcBorders>
              <w:top w:val="single" w:sz="4" w:space="0" w:color="auto"/>
              <w:left w:val="nil"/>
              <w:bottom w:val="single" w:sz="4" w:space="0" w:color="auto"/>
              <w:right w:val="single" w:sz="4" w:space="0" w:color="auto"/>
            </w:tcBorders>
            <w:shd w:val="clear" w:color="auto" w:fill="auto"/>
          </w:tcPr>
          <w:p w14:paraId="29FA86CD" w14:textId="52B0ECE7" w:rsidR="00FA7B39" w:rsidRPr="008B6817" w:rsidRDefault="00FA7B39" w:rsidP="00FA7B39">
            <w:pPr>
              <w:ind w:left="-21"/>
              <w:rPr>
                <w:rFonts w:ascii="Calibri" w:eastAsia="Times New Roman" w:hAnsi="Calibri" w:cs="Calibri"/>
                <w:kern w:val="2"/>
                <w:sz w:val="18"/>
                <w:szCs w:val="18"/>
              </w:rPr>
            </w:pPr>
            <w:r w:rsidRPr="00251FC3">
              <w:rPr>
                <w:rFonts w:eastAsiaTheme="minorEastAsia"/>
                <w:color w:val="000000" w:themeColor="text1"/>
                <w:sz w:val="18"/>
                <w:szCs w:val="18"/>
              </w:rPr>
              <w:t>To date 162 individual PA staff have billed time to the SOMAH Program, however 90 percent of SOMAH spending has been conducted by 48 staff members (30 percent). Increased number of staff working on a project increases the level of coordination needed which leads to increased program spending.</w:t>
            </w:r>
          </w:p>
        </w:tc>
        <w:tc>
          <w:tcPr>
            <w:tcW w:w="1667" w:type="pct"/>
            <w:tcBorders>
              <w:top w:val="single" w:sz="4" w:space="0" w:color="auto"/>
              <w:left w:val="nil"/>
              <w:bottom w:val="single" w:sz="4" w:space="0" w:color="auto"/>
              <w:right w:val="single" w:sz="4" w:space="0" w:color="auto"/>
            </w:tcBorders>
            <w:shd w:val="clear" w:color="auto" w:fill="auto"/>
          </w:tcPr>
          <w:p w14:paraId="0B122138" w14:textId="6BC79690" w:rsidR="00FA7B39" w:rsidRPr="00251FC3" w:rsidRDefault="00FA7B39" w:rsidP="00FA7B39">
            <w:pPr>
              <w:jc w:val="both"/>
              <w:rPr>
                <w:rFonts w:eastAsiaTheme="minorEastAsia"/>
                <w:b/>
                <w:bCs/>
                <w:color w:val="000000" w:themeColor="text1"/>
                <w:sz w:val="18"/>
                <w:szCs w:val="18"/>
              </w:rPr>
            </w:pPr>
            <w:r>
              <w:rPr>
                <w:rFonts w:eastAsiaTheme="minorEastAsia"/>
                <w:color w:val="000000" w:themeColor="text1"/>
                <w:sz w:val="18"/>
                <w:szCs w:val="18"/>
              </w:rPr>
              <w:t>The SOMAH PA should consider what are o</w:t>
            </w:r>
            <w:r w:rsidRPr="002F3556">
              <w:rPr>
                <w:rFonts w:eastAsiaTheme="minorEastAsia"/>
                <w:color w:val="000000" w:themeColor="text1"/>
                <w:sz w:val="18"/>
                <w:szCs w:val="18"/>
              </w:rPr>
              <w:t>ptim</w:t>
            </w:r>
            <w:r>
              <w:rPr>
                <w:rFonts w:eastAsiaTheme="minorEastAsia"/>
                <w:color w:val="000000" w:themeColor="text1"/>
                <w:sz w:val="18"/>
                <w:szCs w:val="18"/>
              </w:rPr>
              <w:t>al</w:t>
            </w:r>
            <w:r w:rsidRPr="002F3556">
              <w:rPr>
                <w:rFonts w:eastAsiaTheme="minorEastAsia"/>
                <w:color w:val="000000" w:themeColor="text1"/>
                <w:sz w:val="18"/>
                <w:szCs w:val="18"/>
              </w:rPr>
              <w:t xml:space="preserve"> project staffing levels. The SOMAH PA should ensure the “core” staffing is appropriate for the current stage of the program and that the</w:t>
            </w:r>
            <w:r w:rsidRPr="00251FC3">
              <w:rPr>
                <w:rFonts w:eastAsiaTheme="minorEastAsia"/>
                <w:color w:val="000000" w:themeColor="text1"/>
                <w:sz w:val="18"/>
                <w:szCs w:val="18"/>
              </w:rPr>
              <w:t xml:space="preserve"> use of subject matter experts who are brought into the program’s implementation add appropriate value.</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51912467" w14:textId="2CCE0B8D" w:rsidR="00FA7B39" w:rsidRPr="003F18A9" w:rsidRDefault="29FC799D" w:rsidP="00FA7B39">
            <w:pPr>
              <w:jc w:val="center"/>
              <w:rPr>
                <w:rFonts w:ascii="Calibri" w:eastAsia="Times New Roman" w:hAnsi="Calibri" w:cs="Calibri"/>
                <w:kern w:val="2"/>
                <w:sz w:val="18"/>
                <w:szCs w:val="18"/>
              </w:rPr>
            </w:pPr>
            <w:r w:rsidRPr="29FC799D">
              <w:rPr>
                <w:rFonts w:ascii="Calibri" w:eastAsia="Times New Roman" w:hAnsi="Calibri" w:cs="Calibri"/>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55D54EC2" w14:textId="701D3D68" w:rsidR="002121AE" w:rsidRDefault="005154EF" w:rsidP="00CF0B29">
            <w:pPr>
              <w:ind w:left="-16"/>
              <w:rPr>
                <w:rFonts w:ascii="Calibri" w:eastAsia="Times New Roman" w:hAnsi="Calibri" w:cs="Calibri"/>
                <w:kern w:val="2"/>
                <w:sz w:val="18"/>
                <w:szCs w:val="18"/>
              </w:rPr>
            </w:pPr>
            <w:r>
              <w:rPr>
                <w:rFonts w:ascii="Calibri" w:eastAsia="Times New Roman" w:hAnsi="Calibri" w:cs="Calibri"/>
                <w:kern w:val="2"/>
                <w:sz w:val="18"/>
                <w:szCs w:val="18"/>
              </w:rPr>
              <w:t>Staffing levels are always in flux, and necessarily</w:t>
            </w:r>
            <w:r w:rsidR="005B5E1B">
              <w:rPr>
                <w:rFonts w:ascii="Calibri" w:eastAsia="Times New Roman" w:hAnsi="Calibri" w:cs="Calibri"/>
                <w:kern w:val="2"/>
                <w:sz w:val="18"/>
                <w:szCs w:val="18"/>
              </w:rPr>
              <w:t xml:space="preserve"> </w:t>
            </w:r>
            <w:r>
              <w:rPr>
                <w:rFonts w:ascii="Calibri" w:eastAsia="Times New Roman" w:hAnsi="Calibri" w:cs="Calibri"/>
                <w:kern w:val="2"/>
                <w:sz w:val="18"/>
                <w:szCs w:val="18"/>
              </w:rPr>
              <w:t>so</w:t>
            </w:r>
            <w:r w:rsidR="005B5E1B">
              <w:rPr>
                <w:rFonts w:ascii="Calibri" w:eastAsia="Times New Roman" w:hAnsi="Calibri" w:cs="Calibri"/>
                <w:kern w:val="2"/>
                <w:sz w:val="18"/>
                <w:szCs w:val="18"/>
              </w:rPr>
              <w:t xml:space="preserve"> due to turnover, promotions, specialized needs, time-based needs, and emergent needs,</w:t>
            </w:r>
            <w:r>
              <w:rPr>
                <w:rFonts w:ascii="Calibri" w:eastAsia="Times New Roman" w:hAnsi="Calibri" w:cs="Calibri"/>
                <w:kern w:val="2"/>
                <w:sz w:val="18"/>
                <w:szCs w:val="18"/>
              </w:rPr>
              <w:t xml:space="preserve"> but </w:t>
            </w:r>
            <w:r w:rsidR="0080263F">
              <w:rPr>
                <w:rFonts w:ascii="Calibri" w:eastAsia="Times New Roman" w:hAnsi="Calibri" w:cs="Calibri"/>
                <w:kern w:val="2"/>
                <w:sz w:val="18"/>
                <w:szCs w:val="18"/>
              </w:rPr>
              <w:t xml:space="preserve">the </w:t>
            </w:r>
            <w:r>
              <w:rPr>
                <w:rFonts w:ascii="Calibri" w:eastAsia="Times New Roman" w:hAnsi="Calibri" w:cs="Calibri"/>
                <w:kern w:val="2"/>
                <w:sz w:val="18"/>
                <w:szCs w:val="18"/>
              </w:rPr>
              <w:t>SOMAH PA work</w:t>
            </w:r>
            <w:r w:rsidR="003B168C">
              <w:rPr>
                <w:rFonts w:ascii="Calibri" w:eastAsia="Times New Roman" w:hAnsi="Calibri" w:cs="Calibri"/>
                <w:kern w:val="2"/>
                <w:sz w:val="18"/>
                <w:szCs w:val="18"/>
              </w:rPr>
              <w:t>s diligently</w:t>
            </w:r>
            <w:r>
              <w:rPr>
                <w:rFonts w:ascii="Calibri" w:eastAsia="Times New Roman" w:hAnsi="Calibri" w:cs="Calibri"/>
                <w:kern w:val="2"/>
                <w:sz w:val="18"/>
                <w:szCs w:val="18"/>
              </w:rPr>
              <w:t xml:space="preserve"> to ensure the right people are engaged to meet the needs of the program.</w:t>
            </w:r>
            <w:r w:rsidR="00D361D7">
              <w:rPr>
                <w:rFonts w:ascii="Calibri" w:eastAsia="Times New Roman" w:hAnsi="Calibri" w:cs="Calibri"/>
                <w:kern w:val="2"/>
                <w:sz w:val="18"/>
                <w:szCs w:val="18"/>
              </w:rPr>
              <w:t xml:space="preserve"> The additional staff billing to the program outside of the co</w:t>
            </w:r>
            <w:r w:rsidR="009C0AB3">
              <w:rPr>
                <w:rFonts w:ascii="Calibri" w:eastAsia="Times New Roman" w:hAnsi="Calibri" w:cs="Calibri"/>
                <w:kern w:val="2"/>
                <w:sz w:val="18"/>
                <w:szCs w:val="18"/>
              </w:rPr>
              <w:t>re</w:t>
            </w:r>
            <w:r w:rsidR="006012C2">
              <w:rPr>
                <w:rFonts w:ascii="Calibri" w:eastAsia="Times New Roman" w:hAnsi="Calibri" w:cs="Calibri"/>
                <w:kern w:val="2"/>
                <w:sz w:val="18"/>
                <w:szCs w:val="18"/>
              </w:rPr>
              <w:t xml:space="preserve"> of hi</w:t>
            </w:r>
            <w:r w:rsidR="00931E7A">
              <w:rPr>
                <w:rFonts w:ascii="Calibri" w:eastAsia="Times New Roman" w:hAnsi="Calibri" w:cs="Calibri"/>
                <w:kern w:val="2"/>
                <w:sz w:val="18"/>
                <w:szCs w:val="18"/>
              </w:rPr>
              <w:t xml:space="preserve">gher billers (48 staff members) </w:t>
            </w:r>
            <w:r w:rsidR="004E6969">
              <w:rPr>
                <w:rFonts w:ascii="Calibri" w:eastAsia="Times New Roman" w:hAnsi="Calibri" w:cs="Calibri"/>
                <w:kern w:val="2"/>
                <w:sz w:val="18"/>
                <w:szCs w:val="18"/>
              </w:rPr>
              <w:t>are</w:t>
            </w:r>
            <w:r w:rsidR="00103639">
              <w:rPr>
                <w:rFonts w:ascii="Calibri" w:eastAsia="Times New Roman" w:hAnsi="Calibri" w:cs="Calibri"/>
                <w:kern w:val="2"/>
                <w:sz w:val="18"/>
                <w:szCs w:val="18"/>
              </w:rPr>
              <w:t xml:space="preserve"> thoughtfully</w:t>
            </w:r>
            <w:r w:rsidR="00FC78FC">
              <w:rPr>
                <w:rFonts w:ascii="Calibri" w:eastAsia="Times New Roman" w:hAnsi="Calibri" w:cs="Calibri"/>
                <w:kern w:val="2"/>
                <w:sz w:val="18"/>
                <w:szCs w:val="18"/>
              </w:rPr>
              <w:t xml:space="preserve"> included in program work to ensure </w:t>
            </w:r>
            <w:r w:rsidR="000F7465">
              <w:rPr>
                <w:rFonts w:ascii="Calibri" w:eastAsia="Times New Roman" w:hAnsi="Calibri" w:cs="Calibri"/>
                <w:kern w:val="2"/>
                <w:sz w:val="18"/>
                <w:szCs w:val="18"/>
              </w:rPr>
              <w:t xml:space="preserve">efforts stay on track, </w:t>
            </w:r>
            <w:r w:rsidR="0080263F">
              <w:rPr>
                <w:rFonts w:ascii="Calibri" w:eastAsia="Times New Roman" w:hAnsi="Calibri" w:cs="Calibri"/>
                <w:kern w:val="2"/>
                <w:sz w:val="18"/>
                <w:szCs w:val="18"/>
              </w:rPr>
              <w:t xml:space="preserve">resulting in </w:t>
            </w:r>
            <w:r w:rsidR="000F7465">
              <w:rPr>
                <w:rFonts w:ascii="Calibri" w:eastAsia="Times New Roman" w:hAnsi="Calibri" w:cs="Calibri"/>
                <w:kern w:val="2"/>
                <w:sz w:val="18"/>
                <w:szCs w:val="18"/>
              </w:rPr>
              <w:t xml:space="preserve">a </w:t>
            </w:r>
            <w:r w:rsidR="00010D98">
              <w:rPr>
                <w:rFonts w:ascii="Calibri" w:eastAsia="Times New Roman" w:hAnsi="Calibri" w:cs="Calibri"/>
                <w:kern w:val="2"/>
                <w:sz w:val="18"/>
                <w:szCs w:val="18"/>
              </w:rPr>
              <w:t>high-quality</w:t>
            </w:r>
            <w:r w:rsidR="000F7465">
              <w:rPr>
                <w:rFonts w:ascii="Calibri" w:eastAsia="Times New Roman" w:hAnsi="Calibri" w:cs="Calibri"/>
                <w:kern w:val="2"/>
                <w:sz w:val="18"/>
                <w:szCs w:val="18"/>
              </w:rPr>
              <w:t xml:space="preserve"> work product</w:t>
            </w:r>
            <w:r w:rsidR="001F190E">
              <w:rPr>
                <w:rFonts w:ascii="Calibri" w:eastAsia="Times New Roman" w:hAnsi="Calibri" w:cs="Calibri"/>
                <w:kern w:val="2"/>
                <w:sz w:val="18"/>
                <w:szCs w:val="18"/>
              </w:rPr>
              <w:t xml:space="preserve"> a</w:t>
            </w:r>
            <w:r w:rsidR="001E3807">
              <w:rPr>
                <w:rFonts w:ascii="Calibri" w:eastAsia="Times New Roman" w:hAnsi="Calibri" w:cs="Calibri"/>
                <w:kern w:val="2"/>
                <w:sz w:val="18"/>
                <w:szCs w:val="18"/>
              </w:rPr>
              <w:t>nd timely result</w:t>
            </w:r>
            <w:r w:rsidR="00026A35">
              <w:rPr>
                <w:rFonts w:ascii="Calibri" w:eastAsia="Times New Roman" w:hAnsi="Calibri" w:cs="Calibri"/>
                <w:kern w:val="2"/>
                <w:sz w:val="18"/>
                <w:szCs w:val="18"/>
              </w:rPr>
              <w:t>s</w:t>
            </w:r>
            <w:r w:rsidR="00010D98">
              <w:rPr>
                <w:rFonts w:ascii="Calibri" w:eastAsia="Times New Roman" w:hAnsi="Calibri" w:cs="Calibri"/>
                <w:kern w:val="2"/>
                <w:sz w:val="18"/>
                <w:szCs w:val="18"/>
              </w:rPr>
              <w:t xml:space="preserve">. </w:t>
            </w:r>
            <w:r w:rsidR="007F7F7C">
              <w:rPr>
                <w:rFonts w:ascii="Calibri" w:eastAsia="Times New Roman" w:hAnsi="Calibri" w:cs="Calibri"/>
                <w:kern w:val="2"/>
                <w:sz w:val="18"/>
                <w:szCs w:val="18"/>
              </w:rPr>
              <w:t>Additionally, many of the</w:t>
            </w:r>
            <w:r w:rsidR="00E94B5B">
              <w:rPr>
                <w:rFonts w:ascii="Calibri" w:eastAsia="Times New Roman" w:hAnsi="Calibri" w:cs="Calibri"/>
                <w:kern w:val="2"/>
                <w:sz w:val="18"/>
                <w:szCs w:val="18"/>
              </w:rPr>
              <w:t xml:space="preserve"> </w:t>
            </w:r>
            <w:r w:rsidR="003741EF">
              <w:rPr>
                <w:rFonts w:ascii="Calibri" w:eastAsia="Times New Roman" w:hAnsi="Calibri" w:cs="Calibri"/>
                <w:kern w:val="2"/>
                <w:sz w:val="18"/>
                <w:szCs w:val="18"/>
              </w:rPr>
              <w:t>additional staff</w:t>
            </w:r>
            <w:r w:rsidR="007F7F7C">
              <w:rPr>
                <w:rFonts w:ascii="Calibri" w:eastAsia="Times New Roman" w:hAnsi="Calibri" w:cs="Calibri"/>
                <w:kern w:val="2"/>
                <w:sz w:val="18"/>
                <w:szCs w:val="18"/>
              </w:rPr>
              <w:t xml:space="preserve"> members bring a specific </w:t>
            </w:r>
            <w:r w:rsidR="007F0C1D">
              <w:rPr>
                <w:rFonts w:ascii="Calibri" w:eastAsia="Times New Roman" w:hAnsi="Calibri" w:cs="Calibri"/>
                <w:kern w:val="2"/>
                <w:sz w:val="18"/>
                <w:szCs w:val="18"/>
              </w:rPr>
              <w:t>expertise (</w:t>
            </w:r>
            <w:r w:rsidR="0080263F">
              <w:rPr>
                <w:rFonts w:ascii="Calibri" w:eastAsia="Times New Roman" w:hAnsi="Calibri" w:cs="Calibri"/>
                <w:kern w:val="2"/>
                <w:sz w:val="18"/>
                <w:szCs w:val="18"/>
              </w:rPr>
              <w:t xml:space="preserve">e.g., </w:t>
            </w:r>
            <w:r w:rsidR="007F0C1D">
              <w:rPr>
                <w:rFonts w:ascii="Calibri" w:eastAsia="Times New Roman" w:hAnsi="Calibri" w:cs="Calibri"/>
                <w:kern w:val="2"/>
                <w:sz w:val="18"/>
                <w:szCs w:val="18"/>
              </w:rPr>
              <w:t xml:space="preserve">graphic design, </w:t>
            </w:r>
            <w:proofErr w:type="gramStart"/>
            <w:r w:rsidR="00DF355E">
              <w:rPr>
                <w:rFonts w:ascii="Calibri" w:eastAsia="Times New Roman" w:hAnsi="Calibri" w:cs="Calibri"/>
                <w:kern w:val="2"/>
                <w:sz w:val="18"/>
                <w:szCs w:val="18"/>
              </w:rPr>
              <w:t>research</w:t>
            </w:r>
            <w:proofErr w:type="gramEnd"/>
            <w:r w:rsidR="00DF355E">
              <w:rPr>
                <w:rFonts w:ascii="Calibri" w:eastAsia="Times New Roman" w:hAnsi="Calibri" w:cs="Calibri"/>
                <w:kern w:val="2"/>
                <w:sz w:val="18"/>
                <w:szCs w:val="18"/>
              </w:rPr>
              <w:t xml:space="preserve"> and analysis, etc.)</w:t>
            </w:r>
            <w:r w:rsidR="0080263F">
              <w:rPr>
                <w:rFonts w:ascii="Calibri" w:eastAsia="Times New Roman" w:hAnsi="Calibri" w:cs="Calibri"/>
                <w:kern w:val="2"/>
                <w:sz w:val="18"/>
                <w:szCs w:val="18"/>
              </w:rPr>
              <w:t>,</w:t>
            </w:r>
            <w:r w:rsidR="00E1584B">
              <w:rPr>
                <w:rFonts w:ascii="Calibri" w:eastAsia="Times New Roman" w:hAnsi="Calibri" w:cs="Calibri"/>
                <w:kern w:val="2"/>
                <w:sz w:val="18"/>
                <w:szCs w:val="18"/>
              </w:rPr>
              <w:t xml:space="preserve"> and the program scope does not support a </w:t>
            </w:r>
            <w:r w:rsidR="0097057C">
              <w:rPr>
                <w:rFonts w:ascii="Calibri" w:eastAsia="Times New Roman" w:hAnsi="Calibri" w:cs="Calibri"/>
                <w:kern w:val="2"/>
                <w:sz w:val="18"/>
                <w:szCs w:val="18"/>
              </w:rPr>
              <w:t>full-time</w:t>
            </w:r>
            <w:r w:rsidR="00E1584B">
              <w:rPr>
                <w:rFonts w:ascii="Calibri" w:eastAsia="Times New Roman" w:hAnsi="Calibri" w:cs="Calibri"/>
                <w:kern w:val="2"/>
                <w:sz w:val="18"/>
                <w:szCs w:val="18"/>
              </w:rPr>
              <w:t xml:space="preserve"> </w:t>
            </w:r>
            <w:r w:rsidR="002B3AB0">
              <w:rPr>
                <w:rFonts w:ascii="Calibri" w:eastAsia="Times New Roman" w:hAnsi="Calibri" w:cs="Calibri"/>
                <w:kern w:val="2"/>
                <w:sz w:val="18"/>
                <w:szCs w:val="18"/>
              </w:rPr>
              <w:t xml:space="preserve">allocation. </w:t>
            </w:r>
          </w:p>
          <w:p w14:paraId="53918992" w14:textId="77777777" w:rsidR="00CD2A81" w:rsidRDefault="00CD2A81" w:rsidP="00FA7B39">
            <w:pPr>
              <w:ind w:left="-16"/>
              <w:rPr>
                <w:rFonts w:ascii="Calibri" w:eastAsia="Times New Roman" w:hAnsi="Calibri" w:cs="Calibri"/>
                <w:kern w:val="2"/>
                <w:sz w:val="18"/>
                <w:szCs w:val="18"/>
              </w:rPr>
            </w:pPr>
          </w:p>
          <w:p w14:paraId="11577AF0" w14:textId="704CC85A" w:rsidR="00CD2A81" w:rsidRDefault="000F23B0" w:rsidP="00CD2A81">
            <w:pPr>
              <w:rPr>
                <w:rFonts w:ascii="Calibri" w:eastAsia="Times New Roman" w:hAnsi="Calibri" w:cs="Calibri"/>
                <w:kern w:val="2"/>
                <w:sz w:val="18"/>
                <w:szCs w:val="18"/>
              </w:rPr>
            </w:pPr>
            <w:r w:rsidRPr="000860BF">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DB7757">
              <w:rPr>
                <w:rFonts w:ascii="Calibri" w:eastAsia="Times New Roman" w:hAnsi="Calibri" w:cs="Calibri"/>
                <w:kern w:val="2"/>
                <w:sz w:val="18"/>
                <w:szCs w:val="18"/>
              </w:rPr>
              <w:t xml:space="preserve"> SOMAH PA</w:t>
            </w:r>
          </w:p>
          <w:p w14:paraId="482E7310" w14:textId="5CB9B38E" w:rsidR="00CD2A81" w:rsidRPr="003F18A9" w:rsidRDefault="00CD2A81" w:rsidP="00CD2A81">
            <w:pPr>
              <w:ind w:left="-16"/>
              <w:rPr>
                <w:rFonts w:ascii="Calibri" w:eastAsia="Times New Roman" w:hAnsi="Calibri" w:cs="Calibri"/>
                <w:kern w:val="2"/>
                <w:sz w:val="18"/>
                <w:szCs w:val="18"/>
              </w:rPr>
            </w:pPr>
            <w:r w:rsidRPr="000860BF">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DB7757">
              <w:rPr>
                <w:rFonts w:ascii="Calibri" w:eastAsia="Times New Roman" w:hAnsi="Calibri" w:cs="Calibri"/>
                <w:kern w:val="2"/>
                <w:sz w:val="18"/>
                <w:szCs w:val="18"/>
              </w:rPr>
              <w:t xml:space="preserve"> Ongoing</w:t>
            </w:r>
          </w:p>
        </w:tc>
      </w:tr>
      <w:tr w:rsidR="00FA7B39" w:rsidRPr="002015E9" w14:paraId="60D06F16"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0F6E6366" w14:textId="2D15C8E5"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lastRenderedPageBreak/>
              <w:t>5</w:t>
            </w:r>
          </w:p>
        </w:tc>
        <w:tc>
          <w:tcPr>
            <w:tcW w:w="156" w:type="pct"/>
            <w:tcBorders>
              <w:top w:val="single" w:sz="4" w:space="0" w:color="auto"/>
              <w:left w:val="nil"/>
              <w:bottom w:val="single" w:sz="4" w:space="0" w:color="auto"/>
              <w:right w:val="single" w:sz="4" w:space="0" w:color="auto"/>
            </w:tcBorders>
            <w:shd w:val="clear" w:color="auto" w:fill="auto"/>
          </w:tcPr>
          <w:p w14:paraId="18E809F0" w14:textId="3EBFE935"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59</w:t>
            </w:r>
          </w:p>
        </w:tc>
        <w:tc>
          <w:tcPr>
            <w:tcW w:w="1084" w:type="pct"/>
            <w:tcBorders>
              <w:top w:val="single" w:sz="4" w:space="0" w:color="auto"/>
              <w:left w:val="nil"/>
              <w:bottom w:val="single" w:sz="4" w:space="0" w:color="auto"/>
              <w:right w:val="single" w:sz="4" w:space="0" w:color="auto"/>
            </w:tcBorders>
            <w:shd w:val="clear" w:color="auto" w:fill="auto"/>
          </w:tcPr>
          <w:p w14:paraId="18D1F36A" w14:textId="25DC02D0" w:rsidR="00FA7B39" w:rsidRPr="008B6817" w:rsidRDefault="00FA7B39" w:rsidP="00FA7B39">
            <w:pPr>
              <w:ind w:left="-21"/>
              <w:rPr>
                <w:rFonts w:ascii="Calibri" w:eastAsia="Times New Roman" w:hAnsi="Calibri" w:cs="Calibri"/>
                <w:kern w:val="2"/>
                <w:sz w:val="18"/>
                <w:szCs w:val="18"/>
              </w:rPr>
            </w:pPr>
            <w:r>
              <w:rPr>
                <w:rFonts w:ascii="Calibri" w:eastAsia="Times New Roman" w:hAnsi="Calibri" w:cs="Calibri"/>
                <w:kern w:val="2"/>
                <w:sz w:val="18"/>
                <w:szCs w:val="18"/>
              </w:rPr>
              <w:t>A substantial portion (31%) of SOMAH PA spending was found to have been spent on meetings and calls (over $3M across all spending categories).  The SOMAH PA has begun to assess some reoccurring meetings to ensure they are “right-sized” and occurring at an optimal cadence.</w:t>
            </w:r>
          </w:p>
        </w:tc>
        <w:tc>
          <w:tcPr>
            <w:tcW w:w="1667" w:type="pct"/>
            <w:tcBorders>
              <w:top w:val="single" w:sz="4" w:space="0" w:color="auto"/>
              <w:left w:val="nil"/>
              <w:bottom w:val="single" w:sz="4" w:space="0" w:color="auto"/>
              <w:right w:val="single" w:sz="4" w:space="0" w:color="auto"/>
            </w:tcBorders>
            <w:shd w:val="clear" w:color="auto" w:fill="auto"/>
          </w:tcPr>
          <w:p w14:paraId="4973D7F7" w14:textId="183CCBEF" w:rsidR="00FA7B39" w:rsidRPr="00251FC3" w:rsidRDefault="00FA7B39" w:rsidP="00FA7B39">
            <w:pPr>
              <w:jc w:val="both"/>
              <w:rPr>
                <w:rFonts w:eastAsiaTheme="minorEastAsia"/>
                <w:b/>
                <w:bCs/>
                <w:color w:val="000000" w:themeColor="text1"/>
                <w:sz w:val="18"/>
                <w:szCs w:val="18"/>
              </w:rPr>
            </w:pPr>
            <w:r>
              <w:rPr>
                <w:rFonts w:eastAsiaTheme="minorEastAsia"/>
                <w:color w:val="000000" w:themeColor="text1"/>
                <w:sz w:val="18"/>
                <w:szCs w:val="18"/>
              </w:rPr>
              <w:t>The SOMAH PA should on a</w:t>
            </w:r>
            <w:r w:rsidRPr="002F3556">
              <w:rPr>
                <w:rFonts w:eastAsiaTheme="minorEastAsia"/>
                <w:color w:val="000000" w:themeColor="text1"/>
                <w:sz w:val="18"/>
                <w:szCs w:val="18"/>
              </w:rPr>
              <w:t xml:space="preserve"> bi-annual </w:t>
            </w:r>
            <w:r>
              <w:rPr>
                <w:rFonts w:eastAsiaTheme="minorEastAsia"/>
                <w:color w:val="000000" w:themeColor="text1"/>
                <w:sz w:val="18"/>
                <w:szCs w:val="18"/>
              </w:rPr>
              <w:t xml:space="preserve">basis (at a minimum) </w:t>
            </w:r>
            <w:r w:rsidRPr="002F3556">
              <w:rPr>
                <w:rFonts w:eastAsiaTheme="minorEastAsia"/>
                <w:color w:val="000000" w:themeColor="text1"/>
                <w:sz w:val="18"/>
                <w:szCs w:val="18"/>
              </w:rPr>
              <w:t xml:space="preserve">review all program meetings and requirements </w:t>
            </w:r>
            <w:r>
              <w:rPr>
                <w:rFonts w:eastAsiaTheme="minorEastAsia"/>
                <w:color w:val="000000" w:themeColor="text1"/>
                <w:sz w:val="18"/>
                <w:szCs w:val="18"/>
              </w:rPr>
              <w:t>t</w:t>
            </w:r>
            <w:r w:rsidRPr="002F3556">
              <w:rPr>
                <w:rFonts w:eastAsiaTheme="minorEastAsia"/>
                <w:color w:val="000000" w:themeColor="text1"/>
                <w:sz w:val="18"/>
                <w:szCs w:val="18"/>
              </w:rPr>
              <w:t>o ensure they continue to</w:t>
            </w:r>
            <w:r w:rsidRPr="00251FC3">
              <w:rPr>
                <w:rFonts w:eastAsiaTheme="minorEastAsia"/>
                <w:color w:val="000000" w:themeColor="text1"/>
                <w:sz w:val="18"/>
                <w:szCs w:val="18"/>
              </w:rPr>
              <w:t xml:space="preserve"> be necessary, the frequency with which they occur continues to be appropriate, and they are providing the outcomes desired. This includes check-in meetings with CBOs which should be aligned program activities reporting and management.</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7C30E9E1" w14:textId="5889C251" w:rsidR="00FA7B39" w:rsidRPr="003F18A9" w:rsidRDefault="00A60AC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2190D59D" w14:textId="51746985" w:rsidR="00FA7B39" w:rsidRDefault="005154EF"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Ensuring that staff are both well-coordinated, informed and aligned across a large program and team is critical to the functioning of the program. Reviewing meeting load, cadence, and structure is a regular part of the work o</w:t>
            </w:r>
            <w:r w:rsidR="0080263F">
              <w:rPr>
                <w:rFonts w:ascii="Calibri" w:eastAsia="Times New Roman" w:hAnsi="Calibri" w:cs="Calibri"/>
                <w:kern w:val="2"/>
                <w:sz w:val="18"/>
                <w:szCs w:val="18"/>
              </w:rPr>
              <w:t>f</w:t>
            </w:r>
            <w:r>
              <w:rPr>
                <w:rFonts w:ascii="Calibri" w:eastAsia="Times New Roman" w:hAnsi="Calibri" w:cs="Calibri"/>
                <w:kern w:val="2"/>
                <w:sz w:val="18"/>
                <w:szCs w:val="18"/>
              </w:rPr>
              <w:t xml:space="preserve"> </w:t>
            </w:r>
            <w:r w:rsidR="0080263F">
              <w:rPr>
                <w:rFonts w:ascii="Calibri" w:eastAsia="Times New Roman" w:hAnsi="Calibri" w:cs="Calibri"/>
                <w:kern w:val="2"/>
                <w:sz w:val="18"/>
                <w:szCs w:val="18"/>
              </w:rPr>
              <w:t xml:space="preserve">the </w:t>
            </w:r>
            <w:r>
              <w:rPr>
                <w:rFonts w:ascii="Calibri" w:eastAsia="Times New Roman" w:hAnsi="Calibri" w:cs="Calibri"/>
                <w:kern w:val="2"/>
                <w:sz w:val="18"/>
                <w:szCs w:val="18"/>
              </w:rPr>
              <w:t>SOMAH PA Leadership Subcommittee</w:t>
            </w:r>
            <w:r w:rsidR="29FC799D" w:rsidRPr="29FC799D">
              <w:rPr>
                <w:rFonts w:ascii="Calibri" w:eastAsia="Times New Roman" w:hAnsi="Calibri" w:cs="Calibri"/>
                <w:sz w:val="18"/>
                <w:szCs w:val="18"/>
              </w:rPr>
              <w:t xml:space="preserve"> (</w:t>
            </w:r>
            <w:r w:rsidR="0080263F">
              <w:rPr>
                <w:rFonts w:ascii="Calibri" w:eastAsia="Times New Roman" w:hAnsi="Calibri" w:cs="Calibri"/>
                <w:sz w:val="18"/>
                <w:szCs w:val="18"/>
              </w:rPr>
              <w:t xml:space="preserve">which </w:t>
            </w:r>
            <w:r w:rsidR="29FC799D" w:rsidRPr="29FC799D">
              <w:rPr>
                <w:rFonts w:ascii="Calibri" w:eastAsia="Times New Roman" w:hAnsi="Calibri" w:cs="Calibri"/>
                <w:sz w:val="18"/>
                <w:szCs w:val="18"/>
              </w:rPr>
              <w:t>meets quarterly)</w:t>
            </w:r>
            <w:r>
              <w:rPr>
                <w:rFonts w:ascii="Calibri" w:eastAsia="Times New Roman" w:hAnsi="Calibri" w:cs="Calibri"/>
                <w:kern w:val="2"/>
                <w:sz w:val="18"/>
                <w:szCs w:val="18"/>
              </w:rPr>
              <w:t xml:space="preserve">. </w:t>
            </w:r>
            <w:r w:rsidR="00CD149B">
              <w:rPr>
                <w:rFonts w:ascii="Calibri" w:eastAsia="Times New Roman" w:hAnsi="Calibri" w:cs="Calibri"/>
                <w:kern w:val="2"/>
                <w:sz w:val="18"/>
                <w:szCs w:val="18"/>
              </w:rPr>
              <w:t>I</w:t>
            </w:r>
            <w:r w:rsidR="002221B6">
              <w:rPr>
                <w:rFonts w:ascii="Calibri" w:eastAsia="Times New Roman" w:hAnsi="Calibri" w:cs="Calibri"/>
                <w:kern w:val="2"/>
                <w:sz w:val="18"/>
                <w:szCs w:val="18"/>
              </w:rPr>
              <w:t>n 2020, the SOMAH PA, like many others, transitioned to an entirely remote environment</w:t>
            </w:r>
            <w:r w:rsidR="0080263F">
              <w:rPr>
                <w:rFonts w:ascii="Calibri" w:eastAsia="Times New Roman" w:hAnsi="Calibri" w:cs="Calibri"/>
                <w:kern w:val="2"/>
                <w:sz w:val="18"/>
                <w:szCs w:val="18"/>
              </w:rPr>
              <w:t>,</w:t>
            </w:r>
            <w:r w:rsidR="002221B6">
              <w:rPr>
                <w:rFonts w:ascii="Calibri" w:eastAsia="Times New Roman" w:hAnsi="Calibri" w:cs="Calibri"/>
                <w:kern w:val="2"/>
                <w:sz w:val="18"/>
                <w:szCs w:val="18"/>
              </w:rPr>
              <w:t xml:space="preserve"> which required pivoting </w:t>
            </w:r>
            <w:r w:rsidR="00553AF5">
              <w:rPr>
                <w:rFonts w:ascii="Calibri" w:eastAsia="Times New Roman" w:hAnsi="Calibri" w:cs="Calibri"/>
                <w:kern w:val="2"/>
                <w:sz w:val="18"/>
                <w:szCs w:val="18"/>
              </w:rPr>
              <w:t xml:space="preserve">in many settings </w:t>
            </w:r>
            <w:r w:rsidR="00915E4A">
              <w:rPr>
                <w:rFonts w:ascii="Calibri" w:eastAsia="Times New Roman" w:hAnsi="Calibri" w:cs="Calibri"/>
                <w:kern w:val="2"/>
                <w:sz w:val="18"/>
                <w:szCs w:val="18"/>
              </w:rPr>
              <w:t>and</w:t>
            </w:r>
            <w:r w:rsidR="00553AF5">
              <w:rPr>
                <w:rFonts w:ascii="Calibri" w:eastAsia="Times New Roman" w:hAnsi="Calibri" w:cs="Calibri"/>
                <w:kern w:val="2"/>
                <w:sz w:val="18"/>
                <w:szCs w:val="18"/>
              </w:rPr>
              <w:t xml:space="preserve"> often </w:t>
            </w:r>
            <w:r w:rsidR="00CF0B29">
              <w:rPr>
                <w:rFonts w:ascii="Calibri" w:eastAsia="Times New Roman" w:hAnsi="Calibri" w:cs="Calibri"/>
                <w:kern w:val="2"/>
                <w:sz w:val="18"/>
                <w:szCs w:val="18"/>
              </w:rPr>
              <w:t>resulted in</w:t>
            </w:r>
            <w:r w:rsidR="00553AF5">
              <w:rPr>
                <w:rFonts w:ascii="Calibri" w:eastAsia="Times New Roman" w:hAnsi="Calibri" w:cs="Calibri"/>
                <w:kern w:val="2"/>
                <w:sz w:val="18"/>
                <w:szCs w:val="18"/>
              </w:rPr>
              <w:t xml:space="preserve"> additional virtual calls and meetings to ensure teams remain coordinated. </w:t>
            </w:r>
            <w:r>
              <w:rPr>
                <w:rFonts w:ascii="Calibri" w:eastAsia="Times New Roman" w:hAnsi="Calibri" w:cs="Calibri"/>
                <w:kern w:val="2"/>
                <w:sz w:val="18"/>
                <w:szCs w:val="18"/>
              </w:rPr>
              <w:t xml:space="preserve">In 2021, </w:t>
            </w:r>
            <w:r w:rsidR="29FC799D" w:rsidRPr="29FC799D">
              <w:rPr>
                <w:rFonts w:ascii="Calibri" w:eastAsia="Times New Roman" w:hAnsi="Calibri" w:cs="Calibri"/>
                <w:sz w:val="18"/>
                <w:szCs w:val="18"/>
              </w:rPr>
              <w:t xml:space="preserve">the PA </w:t>
            </w:r>
            <w:r>
              <w:rPr>
                <w:rFonts w:ascii="Calibri" w:eastAsia="Times New Roman" w:hAnsi="Calibri" w:cs="Calibri"/>
                <w:kern w:val="2"/>
                <w:sz w:val="18"/>
                <w:szCs w:val="18"/>
              </w:rPr>
              <w:t xml:space="preserve">reduced our number of subcommittees, moved several subcommittees and meetings to less frequent cadences, and reviewed the structure of each meeting to ensure they’re serving current needs. </w:t>
            </w:r>
            <w:r w:rsidR="29FC799D" w:rsidRPr="29FC799D">
              <w:rPr>
                <w:rFonts w:ascii="Calibri" w:eastAsia="Times New Roman" w:hAnsi="Calibri" w:cs="Calibri"/>
                <w:sz w:val="18"/>
                <w:szCs w:val="18"/>
              </w:rPr>
              <w:t xml:space="preserve">The PA will </w:t>
            </w:r>
            <w:r>
              <w:rPr>
                <w:rFonts w:ascii="Calibri" w:eastAsia="Times New Roman" w:hAnsi="Calibri" w:cs="Calibri"/>
                <w:kern w:val="2"/>
                <w:sz w:val="18"/>
                <w:szCs w:val="18"/>
              </w:rPr>
              <w:t xml:space="preserve">continue to review </w:t>
            </w:r>
            <w:r w:rsidR="29FC799D" w:rsidRPr="29FC799D">
              <w:rPr>
                <w:rFonts w:ascii="Calibri" w:eastAsia="Times New Roman" w:hAnsi="Calibri" w:cs="Calibri"/>
                <w:sz w:val="18"/>
                <w:szCs w:val="18"/>
              </w:rPr>
              <w:t xml:space="preserve">meeting cadence, necessity, and attendance throughout 2022 and beyond. </w:t>
            </w:r>
          </w:p>
          <w:p w14:paraId="0EDD143A" w14:textId="77777777" w:rsidR="00CD2A81" w:rsidRDefault="00CD2A81" w:rsidP="00FA7B39">
            <w:pPr>
              <w:ind w:left="-16"/>
              <w:rPr>
                <w:rFonts w:ascii="Calibri" w:eastAsia="Times New Roman" w:hAnsi="Calibri" w:cs="Calibri"/>
                <w:kern w:val="2"/>
                <w:sz w:val="18"/>
                <w:szCs w:val="18"/>
              </w:rPr>
            </w:pPr>
          </w:p>
          <w:p w14:paraId="525D9ECE" w14:textId="3F5D7520" w:rsidR="00CD2A81" w:rsidRDefault="000F23B0" w:rsidP="00CD2A81">
            <w:pPr>
              <w:rPr>
                <w:rFonts w:ascii="Calibri" w:eastAsia="Times New Roman" w:hAnsi="Calibri" w:cs="Calibri"/>
                <w:kern w:val="2"/>
                <w:sz w:val="18"/>
                <w:szCs w:val="18"/>
              </w:rPr>
            </w:pPr>
            <w:r w:rsidRPr="003D09CB">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A703AE">
              <w:rPr>
                <w:rFonts w:ascii="Calibri" w:eastAsia="Times New Roman" w:hAnsi="Calibri" w:cs="Calibri"/>
                <w:kern w:val="2"/>
                <w:sz w:val="18"/>
                <w:szCs w:val="18"/>
              </w:rPr>
              <w:t xml:space="preserve"> SOMAH PA</w:t>
            </w:r>
          </w:p>
          <w:p w14:paraId="7B89640E" w14:textId="6EE47A5E" w:rsidR="00CD2A81" w:rsidRPr="003F18A9" w:rsidRDefault="00CD2A81" w:rsidP="00CD2A81">
            <w:pPr>
              <w:ind w:left="-16"/>
              <w:rPr>
                <w:rFonts w:ascii="Calibri" w:eastAsia="Times New Roman" w:hAnsi="Calibri" w:cs="Calibri"/>
                <w:kern w:val="2"/>
                <w:sz w:val="18"/>
                <w:szCs w:val="18"/>
              </w:rPr>
            </w:pPr>
            <w:r w:rsidRPr="003D09CB">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0E6FA9">
              <w:rPr>
                <w:rFonts w:ascii="Calibri" w:eastAsia="Times New Roman" w:hAnsi="Calibri" w:cs="Calibri"/>
                <w:kern w:val="2"/>
                <w:sz w:val="18"/>
                <w:szCs w:val="18"/>
              </w:rPr>
              <w:t xml:space="preserve"> Ongoing</w:t>
            </w:r>
          </w:p>
        </w:tc>
      </w:tr>
      <w:tr w:rsidR="00FA7B39" w:rsidRPr="002015E9" w14:paraId="002BCE13"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18DB0F2B" w14:textId="37C8D009"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6</w:t>
            </w:r>
          </w:p>
        </w:tc>
        <w:tc>
          <w:tcPr>
            <w:tcW w:w="156" w:type="pct"/>
            <w:tcBorders>
              <w:top w:val="single" w:sz="4" w:space="0" w:color="auto"/>
              <w:left w:val="nil"/>
              <w:bottom w:val="single" w:sz="4" w:space="0" w:color="auto"/>
              <w:right w:val="single" w:sz="4" w:space="0" w:color="auto"/>
            </w:tcBorders>
            <w:shd w:val="clear" w:color="auto" w:fill="auto"/>
          </w:tcPr>
          <w:p w14:paraId="26E1A9C8" w14:textId="654E01E3"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59</w:t>
            </w:r>
          </w:p>
        </w:tc>
        <w:tc>
          <w:tcPr>
            <w:tcW w:w="1084" w:type="pct"/>
            <w:tcBorders>
              <w:top w:val="single" w:sz="4" w:space="0" w:color="auto"/>
              <w:left w:val="nil"/>
              <w:bottom w:val="single" w:sz="4" w:space="0" w:color="auto"/>
              <w:right w:val="single" w:sz="4" w:space="0" w:color="auto"/>
            </w:tcBorders>
            <w:shd w:val="clear" w:color="auto" w:fill="auto"/>
          </w:tcPr>
          <w:p w14:paraId="3A3B2A3C" w14:textId="32F44A6D" w:rsidR="00FA7B39" w:rsidRPr="008B6817" w:rsidRDefault="00FA7B39" w:rsidP="00FA7B39">
            <w:pPr>
              <w:ind w:left="-21"/>
              <w:rPr>
                <w:rFonts w:ascii="Calibri" w:eastAsia="Times New Roman" w:hAnsi="Calibri" w:cs="Calibri"/>
                <w:kern w:val="2"/>
                <w:sz w:val="18"/>
                <w:szCs w:val="18"/>
              </w:rPr>
            </w:pPr>
            <w:r>
              <w:rPr>
                <w:rFonts w:ascii="Calibri" w:eastAsia="Times New Roman" w:hAnsi="Calibri" w:cs="Calibri"/>
                <w:kern w:val="2"/>
                <w:sz w:val="18"/>
                <w:szCs w:val="18"/>
              </w:rPr>
              <w:t xml:space="preserve">More than </w:t>
            </w:r>
            <w:r w:rsidRPr="00B62162">
              <w:rPr>
                <w:rFonts w:ascii="Calibri" w:eastAsia="Times New Roman" w:hAnsi="Calibri" w:cs="Calibri"/>
                <w:kern w:val="2"/>
                <w:sz w:val="18"/>
                <w:szCs w:val="18"/>
              </w:rPr>
              <w:t>$</w:t>
            </w:r>
            <w:r>
              <w:rPr>
                <w:rFonts w:ascii="Calibri" w:eastAsia="Times New Roman" w:hAnsi="Calibri" w:cs="Calibri"/>
                <w:kern w:val="2"/>
                <w:sz w:val="18"/>
                <w:szCs w:val="18"/>
              </w:rPr>
              <w:t>250</w:t>
            </w:r>
            <w:r w:rsidRPr="00B62162">
              <w:rPr>
                <w:rFonts w:ascii="Calibri" w:eastAsia="Times New Roman" w:hAnsi="Calibri" w:cs="Calibri"/>
                <w:kern w:val="2"/>
                <w:sz w:val="18"/>
                <w:szCs w:val="18"/>
              </w:rPr>
              <w:t xml:space="preserve">,000 has been spent on </w:t>
            </w:r>
            <w:r>
              <w:rPr>
                <w:rFonts w:ascii="Calibri" w:eastAsia="Times New Roman" w:hAnsi="Calibri" w:cs="Calibri"/>
                <w:kern w:val="2"/>
                <w:sz w:val="18"/>
                <w:szCs w:val="18"/>
              </w:rPr>
              <w:t xml:space="preserve">Working Group Meetings and Public Forums. </w:t>
            </w:r>
            <w:r w:rsidRPr="00B62162">
              <w:rPr>
                <w:rFonts w:ascii="Calibri" w:eastAsia="Times New Roman" w:hAnsi="Calibri" w:cs="Calibri"/>
                <w:kern w:val="2"/>
                <w:sz w:val="18"/>
                <w:szCs w:val="18"/>
              </w:rPr>
              <w:t>PA staff mentioned there is the potential for cost savings related to the SOMAH Public Forums</w:t>
            </w:r>
            <w:r>
              <w:rPr>
                <w:rFonts w:ascii="Calibri" w:eastAsia="Times New Roman" w:hAnsi="Calibri" w:cs="Calibri"/>
                <w:kern w:val="2"/>
                <w:sz w:val="18"/>
                <w:szCs w:val="18"/>
              </w:rPr>
              <w:t xml:space="preserve"> that are</w:t>
            </w:r>
            <w:r w:rsidRPr="00B62162">
              <w:rPr>
                <w:rFonts w:ascii="Calibri" w:eastAsia="Times New Roman" w:hAnsi="Calibri" w:cs="Calibri"/>
                <w:kern w:val="2"/>
                <w:sz w:val="18"/>
                <w:szCs w:val="18"/>
              </w:rPr>
              <w:t xml:space="preserve"> held quarterly and require significant time to plan and attend.</w:t>
            </w:r>
          </w:p>
        </w:tc>
        <w:tc>
          <w:tcPr>
            <w:tcW w:w="1667" w:type="pct"/>
            <w:tcBorders>
              <w:top w:val="single" w:sz="4" w:space="0" w:color="auto"/>
              <w:left w:val="nil"/>
              <w:bottom w:val="single" w:sz="4" w:space="0" w:color="auto"/>
              <w:right w:val="single" w:sz="4" w:space="0" w:color="auto"/>
            </w:tcBorders>
            <w:shd w:val="clear" w:color="auto" w:fill="auto"/>
          </w:tcPr>
          <w:p w14:paraId="0AD00BB4" w14:textId="39AE5F24" w:rsidR="00FA7B39" w:rsidRPr="00251FC3" w:rsidRDefault="00FA7B39" w:rsidP="00FA7B39">
            <w:pPr>
              <w:jc w:val="both"/>
              <w:rPr>
                <w:rFonts w:eastAsiaTheme="minorEastAsia"/>
                <w:b/>
                <w:bCs/>
                <w:color w:val="000000" w:themeColor="text1"/>
                <w:sz w:val="18"/>
                <w:szCs w:val="18"/>
              </w:rPr>
            </w:pPr>
            <w:r w:rsidRPr="009A0E8D">
              <w:rPr>
                <w:rFonts w:eastAsiaTheme="minorEastAsia"/>
                <w:color w:val="000000" w:themeColor="text1"/>
                <w:sz w:val="18"/>
                <w:szCs w:val="18"/>
              </w:rPr>
              <w:t>The SOMAH PA should make efforts to reduce the costs of standing meetings such as the SOMAH Public Forum. In quarters where there is little of substance to report on consider transitioning the Public Forum meeting to an email to reduce the costs associated with these quarterly updates. This would lower the cost of creating the</w:t>
            </w:r>
            <w:r w:rsidRPr="00251FC3">
              <w:rPr>
                <w:rFonts w:eastAsiaTheme="minorEastAsia"/>
                <w:color w:val="000000" w:themeColor="text1"/>
                <w:sz w:val="18"/>
                <w:szCs w:val="18"/>
              </w:rPr>
              <w:t xml:space="preserve"> meeting presentation materials, as well as reduce the time staff spend attending the meetings.</w:t>
            </w:r>
            <w:r w:rsidRPr="00251FC3">
              <w:rPr>
                <w:rFonts w:eastAsiaTheme="minorEastAsia"/>
                <w:b/>
                <w:bCs/>
                <w:color w:val="000000" w:themeColor="text1"/>
                <w:sz w:val="18"/>
                <w:szCs w:val="18"/>
              </w:rPr>
              <w:t xml:space="preserve">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6A5DABF0" w14:textId="5872FC7B" w:rsidR="00FA7B39" w:rsidRPr="003F18A9" w:rsidRDefault="005154EF"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53CD1393" w14:textId="4F2E6D78" w:rsidR="005154EF" w:rsidRDefault="005154EF"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The SOMAH</w:t>
            </w:r>
            <w:r w:rsidR="00397C21">
              <w:rPr>
                <w:rFonts w:ascii="Calibri" w:eastAsia="Times New Roman" w:hAnsi="Calibri" w:cs="Calibri"/>
                <w:kern w:val="2"/>
                <w:sz w:val="18"/>
                <w:szCs w:val="18"/>
              </w:rPr>
              <w:t xml:space="preserve"> PA</w:t>
            </w:r>
            <w:r>
              <w:rPr>
                <w:rFonts w:ascii="Calibri" w:eastAsia="Times New Roman" w:hAnsi="Calibri" w:cs="Calibri"/>
                <w:kern w:val="2"/>
                <w:sz w:val="18"/>
                <w:szCs w:val="18"/>
              </w:rPr>
              <w:t xml:space="preserve"> </w:t>
            </w:r>
            <w:r w:rsidR="00397C21">
              <w:rPr>
                <w:rFonts w:ascii="Calibri" w:eastAsia="Times New Roman" w:hAnsi="Calibri" w:cs="Calibri"/>
                <w:kern w:val="2"/>
                <w:sz w:val="18"/>
                <w:szCs w:val="18"/>
              </w:rPr>
              <w:t xml:space="preserve">has </w:t>
            </w:r>
            <w:r>
              <w:rPr>
                <w:rFonts w:ascii="Calibri" w:eastAsia="Times New Roman" w:hAnsi="Calibri" w:cs="Calibri"/>
                <w:kern w:val="2"/>
                <w:sz w:val="18"/>
                <w:szCs w:val="18"/>
              </w:rPr>
              <w:t>already reduc</w:t>
            </w:r>
            <w:r w:rsidR="00397C21">
              <w:rPr>
                <w:rFonts w:ascii="Calibri" w:eastAsia="Times New Roman" w:hAnsi="Calibri" w:cs="Calibri"/>
                <w:kern w:val="2"/>
                <w:sz w:val="18"/>
                <w:szCs w:val="18"/>
              </w:rPr>
              <w:t>ed</w:t>
            </w:r>
            <w:r>
              <w:rPr>
                <w:rFonts w:ascii="Calibri" w:eastAsia="Times New Roman" w:hAnsi="Calibri" w:cs="Calibri"/>
                <w:kern w:val="2"/>
                <w:sz w:val="18"/>
                <w:szCs w:val="18"/>
              </w:rPr>
              <w:t xml:space="preserve"> the length of public forums when there’s little to report and has moved to cancel several IOU Working Group Meetings when there are no timely items for discussion or coordination with IOUs.</w:t>
            </w:r>
            <w:r w:rsidR="00915E4A">
              <w:rPr>
                <w:rFonts w:ascii="Calibri" w:eastAsia="Times New Roman" w:hAnsi="Calibri" w:cs="Calibri"/>
                <w:kern w:val="2"/>
                <w:sz w:val="18"/>
                <w:szCs w:val="18"/>
              </w:rPr>
              <w:t xml:space="preserve"> </w:t>
            </w:r>
            <w:r>
              <w:rPr>
                <w:rFonts w:ascii="Calibri" w:eastAsia="Times New Roman" w:hAnsi="Calibri" w:cs="Calibri"/>
                <w:kern w:val="2"/>
                <w:sz w:val="18"/>
                <w:szCs w:val="18"/>
              </w:rPr>
              <w:t>Given SOMAH’s complexity, however, maintaining time and space to hear from participants, share updates, and answer questions is critical.</w:t>
            </w:r>
            <w:r w:rsidR="009503A8">
              <w:rPr>
                <w:rFonts w:ascii="Calibri" w:eastAsia="Times New Roman" w:hAnsi="Calibri" w:cs="Calibri"/>
                <w:kern w:val="2"/>
                <w:sz w:val="18"/>
                <w:szCs w:val="18"/>
              </w:rPr>
              <w:t xml:space="preserve"> </w:t>
            </w:r>
          </w:p>
          <w:p w14:paraId="030211E8" w14:textId="77777777" w:rsidR="005154EF" w:rsidRDefault="005154EF" w:rsidP="00FA7B39">
            <w:pPr>
              <w:ind w:left="-16"/>
              <w:rPr>
                <w:rFonts w:ascii="Calibri" w:eastAsia="Times New Roman" w:hAnsi="Calibri" w:cs="Calibri"/>
                <w:kern w:val="2"/>
                <w:sz w:val="18"/>
                <w:szCs w:val="18"/>
              </w:rPr>
            </w:pPr>
          </w:p>
          <w:p w14:paraId="6C522C0C" w14:textId="63A40CB3" w:rsidR="005154EF" w:rsidRDefault="005154EF"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Through 2022, the SOMAH PA will launch email newsletters that may further enable the team to reduce meetings further and will closely coordinate cancellations or changes in cadence with relevant stakeholders.</w:t>
            </w:r>
            <w:r w:rsidR="000256DE">
              <w:rPr>
                <w:rFonts w:ascii="Calibri" w:eastAsia="Times New Roman" w:hAnsi="Calibri" w:cs="Calibri"/>
                <w:kern w:val="2"/>
                <w:sz w:val="18"/>
                <w:szCs w:val="18"/>
              </w:rPr>
              <w:t xml:space="preserve"> </w:t>
            </w:r>
            <w:r w:rsidR="009503A8">
              <w:rPr>
                <w:rFonts w:ascii="Calibri" w:eastAsia="Times New Roman" w:hAnsi="Calibri" w:cs="Calibri"/>
                <w:kern w:val="2"/>
                <w:sz w:val="18"/>
                <w:szCs w:val="18"/>
              </w:rPr>
              <w:t>The PA is transitioning to cadence of 2-3 quarterly Public Forums per year to align with program activity and valuable stakeholder engagement opportunities instead of maintaining four, quarterly, meetings by default.</w:t>
            </w:r>
          </w:p>
          <w:p w14:paraId="2B583ED2" w14:textId="77777777" w:rsidR="00CD2A81" w:rsidRDefault="00CD2A81" w:rsidP="00FA7B39">
            <w:pPr>
              <w:ind w:left="-16"/>
              <w:rPr>
                <w:rFonts w:ascii="Calibri" w:eastAsia="Times New Roman" w:hAnsi="Calibri" w:cs="Calibri"/>
                <w:kern w:val="2"/>
                <w:sz w:val="18"/>
                <w:szCs w:val="18"/>
              </w:rPr>
            </w:pPr>
          </w:p>
          <w:p w14:paraId="736EB9C8" w14:textId="1E5C25F4" w:rsidR="00CD2A81" w:rsidRDefault="000F23B0" w:rsidP="00CD2A81">
            <w:pPr>
              <w:rPr>
                <w:rFonts w:ascii="Calibri" w:eastAsia="Times New Roman" w:hAnsi="Calibri" w:cs="Calibri"/>
                <w:kern w:val="2"/>
                <w:sz w:val="18"/>
                <w:szCs w:val="18"/>
              </w:rPr>
            </w:pPr>
            <w:r w:rsidRPr="003D09CB">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803C7E">
              <w:rPr>
                <w:rFonts w:ascii="Calibri" w:eastAsia="Times New Roman" w:hAnsi="Calibri" w:cs="Calibri"/>
                <w:kern w:val="2"/>
                <w:sz w:val="18"/>
                <w:szCs w:val="18"/>
              </w:rPr>
              <w:t xml:space="preserve"> SOMAH PA, IOUs</w:t>
            </w:r>
            <w:r w:rsidR="00182965">
              <w:rPr>
                <w:rFonts w:ascii="Calibri" w:eastAsia="Times New Roman" w:hAnsi="Calibri" w:cs="Calibri"/>
                <w:kern w:val="2"/>
                <w:sz w:val="18"/>
                <w:szCs w:val="18"/>
              </w:rPr>
              <w:t>, and</w:t>
            </w:r>
            <w:r w:rsidR="009E5FA4">
              <w:rPr>
                <w:rFonts w:ascii="Calibri" w:eastAsia="Times New Roman" w:hAnsi="Calibri" w:cs="Calibri"/>
                <w:kern w:val="2"/>
                <w:sz w:val="18"/>
                <w:szCs w:val="18"/>
              </w:rPr>
              <w:t xml:space="preserve"> </w:t>
            </w:r>
            <w:r w:rsidR="00790989">
              <w:rPr>
                <w:rFonts w:ascii="Calibri" w:eastAsia="Times New Roman" w:hAnsi="Calibri" w:cs="Calibri"/>
                <w:kern w:val="2"/>
                <w:sz w:val="18"/>
                <w:szCs w:val="18"/>
              </w:rPr>
              <w:t xml:space="preserve">General </w:t>
            </w:r>
            <w:r w:rsidR="00CB7D46">
              <w:rPr>
                <w:rFonts w:ascii="Calibri" w:eastAsia="Times New Roman" w:hAnsi="Calibri" w:cs="Calibri"/>
                <w:kern w:val="2"/>
                <w:sz w:val="18"/>
                <w:szCs w:val="18"/>
              </w:rPr>
              <w:t>Program Stake</w:t>
            </w:r>
            <w:r w:rsidR="00C42F81">
              <w:rPr>
                <w:rFonts w:ascii="Calibri" w:eastAsia="Times New Roman" w:hAnsi="Calibri" w:cs="Calibri"/>
                <w:kern w:val="2"/>
                <w:sz w:val="18"/>
                <w:szCs w:val="18"/>
              </w:rPr>
              <w:t>holders</w:t>
            </w:r>
            <w:r w:rsidR="00164787">
              <w:rPr>
                <w:rFonts w:ascii="Calibri" w:eastAsia="Times New Roman" w:hAnsi="Calibri" w:cs="Calibri"/>
                <w:kern w:val="2"/>
                <w:sz w:val="18"/>
                <w:szCs w:val="18"/>
              </w:rPr>
              <w:t xml:space="preserve"> </w:t>
            </w:r>
          </w:p>
          <w:p w14:paraId="269A1531" w14:textId="3843442C" w:rsidR="00CD2A81" w:rsidRPr="003F18A9" w:rsidRDefault="00CD2A81" w:rsidP="00CD2A81">
            <w:pPr>
              <w:ind w:left="-16"/>
              <w:rPr>
                <w:rFonts w:ascii="Calibri" w:eastAsia="Times New Roman" w:hAnsi="Calibri" w:cs="Calibri"/>
                <w:kern w:val="2"/>
                <w:sz w:val="18"/>
                <w:szCs w:val="18"/>
              </w:rPr>
            </w:pPr>
            <w:r w:rsidRPr="003D09CB">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892250">
              <w:rPr>
                <w:rFonts w:ascii="Calibri" w:eastAsia="Times New Roman" w:hAnsi="Calibri" w:cs="Calibri"/>
                <w:kern w:val="2"/>
                <w:sz w:val="18"/>
                <w:szCs w:val="18"/>
              </w:rPr>
              <w:t xml:space="preserve"> Ongoing</w:t>
            </w:r>
          </w:p>
        </w:tc>
      </w:tr>
      <w:tr w:rsidR="00FA7B39" w:rsidRPr="002015E9" w14:paraId="24E6CCED" w14:textId="77777777" w:rsidTr="3E195337">
        <w:trPr>
          <w:cantSplit/>
          <w:trHeight w:val="188"/>
        </w:trPr>
        <w:tc>
          <w:tcPr>
            <w:tcW w:w="125" w:type="pct"/>
            <w:vMerge w:val="restart"/>
            <w:tcBorders>
              <w:top w:val="single" w:sz="4" w:space="0" w:color="auto"/>
              <w:left w:val="single" w:sz="4" w:space="0" w:color="auto"/>
              <w:right w:val="single" w:sz="4" w:space="0" w:color="auto"/>
            </w:tcBorders>
            <w:shd w:val="clear" w:color="auto" w:fill="auto"/>
          </w:tcPr>
          <w:p w14:paraId="5EFDFBE6" w14:textId="2DE1B0C1"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7</w:t>
            </w:r>
          </w:p>
        </w:tc>
        <w:tc>
          <w:tcPr>
            <w:tcW w:w="156" w:type="pct"/>
            <w:vMerge w:val="restart"/>
            <w:tcBorders>
              <w:top w:val="single" w:sz="4" w:space="0" w:color="auto"/>
              <w:left w:val="nil"/>
              <w:right w:val="single" w:sz="4" w:space="0" w:color="auto"/>
            </w:tcBorders>
            <w:shd w:val="clear" w:color="auto" w:fill="auto"/>
          </w:tcPr>
          <w:p w14:paraId="50B58411" w14:textId="50FAA667"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59</w:t>
            </w:r>
          </w:p>
        </w:tc>
        <w:tc>
          <w:tcPr>
            <w:tcW w:w="1084" w:type="pct"/>
            <w:vMerge w:val="restart"/>
            <w:tcBorders>
              <w:top w:val="single" w:sz="4" w:space="0" w:color="auto"/>
              <w:left w:val="nil"/>
              <w:right w:val="single" w:sz="4" w:space="0" w:color="auto"/>
            </w:tcBorders>
            <w:shd w:val="clear" w:color="auto" w:fill="auto"/>
          </w:tcPr>
          <w:p w14:paraId="5E984E06" w14:textId="0DD4D62B" w:rsidR="00FA7B39" w:rsidRPr="008B6817" w:rsidRDefault="00FA7B39" w:rsidP="00FA7B39">
            <w:pPr>
              <w:ind w:left="-21"/>
              <w:rPr>
                <w:rFonts w:ascii="Calibri" w:eastAsia="Times New Roman" w:hAnsi="Calibri" w:cs="Calibri"/>
                <w:kern w:val="2"/>
                <w:sz w:val="18"/>
                <w:szCs w:val="18"/>
              </w:rPr>
            </w:pPr>
            <w:r>
              <w:rPr>
                <w:rFonts w:eastAsiaTheme="minorEastAsia"/>
                <w:color w:val="000000" w:themeColor="text1"/>
                <w:sz w:val="18"/>
                <w:szCs w:val="18"/>
              </w:rPr>
              <w:t xml:space="preserve">Currently </w:t>
            </w:r>
            <w:r w:rsidRPr="00AB3BE8">
              <w:rPr>
                <w:rFonts w:eastAsiaTheme="minorEastAsia"/>
                <w:color w:val="000000" w:themeColor="text1"/>
                <w:sz w:val="18"/>
                <w:szCs w:val="18"/>
              </w:rPr>
              <w:t xml:space="preserve">quarterly forecasts </w:t>
            </w:r>
            <w:r>
              <w:rPr>
                <w:rFonts w:eastAsiaTheme="minorEastAsia"/>
                <w:color w:val="000000" w:themeColor="text1"/>
                <w:sz w:val="18"/>
                <w:szCs w:val="18"/>
              </w:rPr>
              <w:t xml:space="preserve">are provided </w:t>
            </w:r>
            <w:r w:rsidRPr="00AB3BE8">
              <w:rPr>
                <w:rFonts w:eastAsiaTheme="minorEastAsia"/>
                <w:color w:val="000000" w:themeColor="text1"/>
                <w:sz w:val="18"/>
                <w:szCs w:val="18"/>
              </w:rPr>
              <w:t>on a per person, per month, per task basis</w:t>
            </w:r>
            <w:r>
              <w:rPr>
                <w:rFonts w:eastAsiaTheme="minorEastAsia"/>
                <w:color w:val="000000" w:themeColor="text1"/>
                <w:sz w:val="18"/>
                <w:szCs w:val="18"/>
              </w:rPr>
              <w:t>. This level of granularity</w:t>
            </w:r>
            <w:r w:rsidRPr="00AB3BE8">
              <w:rPr>
                <w:rFonts w:eastAsiaTheme="minorEastAsia"/>
                <w:color w:val="000000" w:themeColor="text1"/>
                <w:sz w:val="18"/>
                <w:szCs w:val="18"/>
              </w:rPr>
              <w:t xml:space="preserve"> is time consuming, overly tedious and is not necessarily leading to improved forecasts at that </w:t>
            </w:r>
            <w:r>
              <w:rPr>
                <w:rFonts w:eastAsiaTheme="minorEastAsia"/>
                <w:color w:val="000000" w:themeColor="text1"/>
                <w:sz w:val="18"/>
                <w:szCs w:val="18"/>
              </w:rPr>
              <w:t xml:space="preserve">detailed a </w:t>
            </w:r>
            <w:r w:rsidRPr="00AB3BE8">
              <w:rPr>
                <w:rFonts w:eastAsiaTheme="minorEastAsia"/>
                <w:color w:val="000000" w:themeColor="text1"/>
                <w:sz w:val="18"/>
                <w:szCs w:val="18"/>
              </w:rPr>
              <w:t>level</w:t>
            </w:r>
            <w:r>
              <w:rPr>
                <w:rFonts w:eastAsiaTheme="minorEastAsia"/>
                <w:color w:val="000000" w:themeColor="text1"/>
                <w:sz w:val="18"/>
                <w:szCs w:val="18"/>
              </w:rPr>
              <w:t xml:space="preserve">. It is also difficult to provide such a detailed forecast many months in advance (these forecasts are being created sometimes as much as 6 months in advance). </w:t>
            </w:r>
          </w:p>
        </w:tc>
        <w:tc>
          <w:tcPr>
            <w:tcW w:w="1667" w:type="pct"/>
            <w:tcBorders>
              <w:top w:val="single" w:sz="4" w:space="0" w:color="auto"/>
              <w:left w:val="nil"/>
              <w:bottom w:val="single" w:sz="4" w:space="0" w:color="auto"/>
              <w:right w:val="single" w:sz="4" w:space="0" w:color="auto"/>
            </w:tcBorders>
            <w:shd w:val="clear" w:color="auto" w:fill="auto"/>
          </w:tcPr>
          <w:p w14:paraId="13F631D2" w14:textId="337A9546" w:rsidR="00FA7B39" w:rsidRPr="00AB3BE8" w:rsidRDefault="00FA7B39" w:rsidP="00FA7B39">
            <w:pPr>
              <w:jc w:val="both"/>
              <w:rPr>
                <w:b/>
                <w:bCs/>
                <w:sz w:val="18"/>
                <w:szCs w:val="18"/>
              </w:rPr>
            </w:pPr>
            <w:r w:rsidRPr="00AB3BE8">
              <w:rPr>
                <w:rFonts w:eastAsiaTheme="minorEastAsia"/>
                <w:color w:val="000000" w:themeColor="text1"/>
                <w:sz w:val="18"/>
                <w:szCs w:val="18"/>
              </w:rPr>
              <w:t>Reduce the level of granularity required for the quarterly forecasts. Eliminating the need for forecasts to be developed at the staff level (so by month and task only) would make forecasting a much more manageable activity, reducing the time and cost to create the forecast, and would still allow for tracking of forecasted to actuals on a program category and task level. It would likely also improve the task level forecasts as they could more manageably focus on their past and future spending without becoming overwhelmed by the staffing aspect. For some PA’s with more limited roles on the SOMAH PA (namely AEA and CHPC), it may be sufficient to utilize the previous quarters’ forecast and only provided updates if the past forecasts have been consistently off in one direction or another—or if work is anticipated to ramp up or drop off.</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66E1FF82" w14:textId="7D1A4164" w:rsidR="00FA7B39" w:rsidRPr="003F18A9" w:rsidRDefault="00521B3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0BCBD647" w14:textId="340ED119" w:rsidR="00C12FFC" w:rsidRDefault="00205457"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It is important to note that this recommendation is dependent on Energy Division and SCE due to the contract management and invoicing structure. However, t</w:t>
            </w:r>
            <w:r w:rsidR="00D421AB">
              <w:rPr>
                <w:rFonts w:ascii="Calibri" w:eastAsia="Times New Roman" w:hAnsi="Calibri" w:cs="Calibri"/>
                <w:kern w:val="2"/>
                <w:sz w:val="18"/>
                <w:szCs w:val="18"/>
              </w:rPr>
              <w:t>he SOMAH PA supports</w:t>
            </w:r>
            <w:r w:rsidR="0099445A">
              <w:rPr>
                <w:rFonts w:ascii="Calibri" w:eastAsia="Times New Roman" w:hAnsi="Calibri" w:cs="Calibri"/>
                <w:kern w:val="2"/>
                <w:sz w:val="18"/>
                <w:szCs w:val="18"/>
              </w:rPr>
              <w:t xml:space="preserve"> reducing the </w:t>
            </w:r>
            <w:r w:rsidR="00D76D13">
              <w:rPr>
                <w:rFonts w:ascii="Calibri" w:eastAsia="Times New Roman" w:hAnsi="Calibri" w:cs="Calibri"/>
                <w:kern w:val="2"/>
                <w:sz w:val="18"/>
                <w:szCs w:val="18"/>
              </w:rPr>
              <w:t>granularity of the quarterly forecasts as recommended</w:t>
            </w:r>
            <w:r w:rsidR="00095506">
              <w:rPr>
                <w:rFonts w:ascii="Calibri" w:eastAsia="Times New Roman" w:hAnsi="Calibri" w:cs="Calibri"/>
                <w:kern w:val="2"/>
                <w:sz w:val="18"/>
                <w:szCs w:val="18"/>
              </w:rPr>
              <w:t xml:space="preserve">, to remove the burden of individual staff forecasting. </w:t>
            </w:r>
            <w:r w:rsidR="005154EF">
              <w:rPr>
                <w:rFonts w:ascii="Calibri" w:eastAsia="Times New Roman" w:hAnsi="Calibri" w:cs="Calibri"/>
                <w:kern w:val="2"/>
                <w:sz w:val="18"/>
                <w:szCs w:val="18"/>
              </w:rPr>
              <w:t>Some</w:t>
            </w:r>
            <w:r w:rsidR="00C12FFC">
              <w:rPr>
                <w:rFonts w:ascii="Calibri" w:eastAsia="Times New Roman" w:hAnsi="Calibri" w:cs="Calibri"/>
                <w:kern w:val="2"/>
                <w:sz w:val="18"/>
                <w:szCs w:val="18"/>
              </w:rPr>
              <w:t xml:space="preserve"> PA member</w:t>
            </w:r>
            <w:r w:rsidR="005154EF">
              <w:rPr>
                <w:rFonts w:ascii="Calibri" w:eastAsia="Times New Roman" w:hAnsi="Calibri" w:cs="Calibri"/>
                <w:kern w:val="2"/>
                <w:sz w:val="18"/>
                <w:szCs w:val="18"/>
              </w:rPr>
              <w:t xml:space="preserve"> organizations</w:t>
            </w:r>
            <w:r w:rsidR="00C12FFC">
              <w:rPr>
                <w:rFonts w:ascii="Calibri" w:eastAsia="Times New Roman" w:hAnsi="Calibri" w:cs="Calibri"/>
                <w:kern w:val="2"/>
                <w:sz w:val="18"/>
                <w:szCs w:val="18"/>
              </w:rPr>
              <w:t xml:space="preserve"> have upward</w:t>
            </w:r>
            <w:r w:rsidR="00807C97">
              <w:rPr>
                <w:rFonts w:ascii="Calibri" w:eastAsia="Times New Roman" w:hAnsi="Calibri" w:cs="Calibri"/>
                <w:kern w:val="2"/>
                <w:sz w:val="18"/>
                <w:szCs w:val="18"/>
              </w:rPr>
              <w:t>s</w:t>
            </w:r>
            <w:r w:rsidR="00C12FFC">
              <w:rPr>
                <w:rFonts w:ascii="Calibri" w:eastAsia="Times New Roman" w:hAnsi="Calibri" w:cs="Calibri"/>
                <w:kern w:val="2"/>
                <w:sz w:val="18"/>
                <w:szCs w:val="18"/>
              </w:rPr>
              <w:t xml:space="preserve"> of 30 staff involved in SOMAH for some portion of their</w:t>
            </w:r>
            <w:r w:rsidR="00147BCE">
              <w:rPr>
                <w:rFonts w:ascii="Calibri" w:eastAsia="Times New Roman" w:hAnsi="Calibri" w:cs="Calibri"/>
                <w:kern w:val="2"/>
                <w:sz w:val="18"/>
                <w:szCs w:val="18"/>
              </w:rPr>
              <w:t xml:space="preserve"> billable</w:t>
            </w:r>
            <w:r w:rsidR="00C12FFC">
              <w:rPr>
                <w:rFonts w:ascii="Calibri" w:eastAsia="Times New Roman" w:hAnsi="Calibri" w:cs="Calibri"/>
                <w:kern w:val="2"/>
                <w:sz w:val="18"/>
                <w:szCs w:val="18"/>
              </w:rPr>
              <w:t xml:space="preserve"> time, and </w:t>
            </w:r>
            <w:r w:rsidR="005154EF">
              <w:rPr>
                <w:rFonts w:ascii="Calibri" w:eastAsia="Times New Roman" w:hAnsi="Calibri" w:cs="Calibri"/>
                <w:kern w:val="2"/>
                <w:sz w:val="18"/>
                <w:szCs w:val="18"/>
              </w:rPr>
              <w:t xml:space="preserve">SOMAH administration tasks are divided among approximately </w:t>
            </w:r>
            <w:r w:rsidR="00C12FFC">
              <w:rPr>
                <w:rFonts w:ascii="Calibri" w:eastAsia="Times New Roman" w:hAnsi="Calibri" w:cs="Calibri"/>
                <w:kern w:val="2"/>
                <w:sz w:val="18"/>
                <w:szCs w:val="18"/>
              </w:rPr>
              <w:t>35 billing codes. For a 3-month forecast, this means the PA needs to predict several months into the future how much time each staff member will spend on each code. This level of false precision is unnecessary</w:t>
            </w:r>
            <w:r w:rsidR="005154EF">
              <w:rPr>
                <w:rFonts w:ascii="Calibri" w:eastAsia="Times New Roman" w:hAnsi="Calibri" w:cs="Calibri"/>
                <w:kern w:val="2"/>
                <w:sz w:val="18"/>
                <w:szCs w:val="18"/>
              </w:rPr>
              <w:t>, time-consuming, and counter-productive</w:t>
            </w:r>
            <w:r w:rsidR="00C12FFC">
              <w:rPr>
                <w:rFonts w:ascii="Calibri" w:eastAsia="Times New Roman" w:hAnsi="Calibri" w:cs="Calibri"/>
                <w:kern w:val="2"/>
                <w:sz w:val="18"/>
                <w:szCs w:val="18"/>
              </w:rPr>
              <w:t>, as the PA is paid, ultimately, based on its actual rather than forecast</w:t>
            </w:r>
            <w:r w:rsidR="00AA2BD9">
              <w:rPr>
                <w:rFonts w:ascii="Calibri" w:eastAsia="Times New Roman" w:hAnsi="Calibri" w:cs="Calibri"/>
                <w:kern w:val="2"/>
                <w:sz w:val="18"/>
                <w:szCs w:val="18"/>
              </w:rPr>
              <w:t>ed</w:t>
            </w:r>
            <w:r w:rsidR="00C12FFC">
              <w:rPr>
                <w:rFonts w:ascii="Calibri" w:eastAsia="Times New Roman" w:hAnsi="Calibri" w:cs="Calibri"/>
                <w:kern w:val="2"/>
                <w:sz w:val="18"/>
                <w:szCs w:val="18"/>
              </w:rPr>
              <w:t xml:space="preserve"> expenses via an established true-up process.</w:t>
            </w:r>
          </w:p>
          <w:p w14:paraId="7D0BAD16" w14:textId="77777777" w:rsidR="00620E60" w:rsidRDefault="00620E60" w:rsidP="00FA7B39">
            <w:pPr>
              <w:ind w:left="-16"/>
              <w:rPr>
                <w:rFonts w:ascii="Calibri" w:eastAsia="Times New Roman" w:hAnsi="Calibri" w:cs="Calibri"/>
                <w:kern w:val="2"/>
                <w:sz w:val="18"/>
                <w:szCs w:val="18"/>
              </w:rPr>
            </w:pPr>
          </w:p>
          <w:p w14:paraId="149680CE" w14:textId="7ACC021A" w:rsidR="00620E60" w:rsidRDefault="00620E60"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The SOMAH PA also supports the recommendation to utilize previous quarters</w:t>
            </w:r>
            <w:r w:rsidR="00807C97">
              <w:rPr>
                <w:rFonts w:ascii="Calibri" w:eastAsia="Times New Roman" w:hAnsi="Calibri" w:cs="Calibri"/>
                <w:kern w:val="2"/>
                <w:sz w:val="18"/>
                <w:szCs w:val="18"/>
              </w:rPr>
              <w:t>’</w:t>
            </w:r>
            <w:r>
              <w:rPr>
                <w:rFonts w:ascii="Calibri" w:eastAsia="Times New Roman" w:hAnsi="Calibri" w:cs="Calibri"/>
                <w:kern w:val="2"/>
                <w:sz w:val="18"/>
                <w:szCs w:val="18"/>
              </w:rPr>
              <w:t xml:space="preserve"> forecasts (or actual spending) </w:t>
            </w:r>
            <w:r w:rsidR="003D658A">
              <w:rPr>
                <w:rFonts w:ascii="Calibri" w:eastAsia="Times New Roman" w:hAnsi="Calibri" w:cs="Calibri"/>
                <w:kern w:val="2"/>
                <w:sz w:val="18"/>
                <w:szCs w:val="18"/>
              </w:rPr>
              <w:t xml:space="preserve">where appropriate, instead of providing entirely new forecasts where work is often cyclical and repetitive </w:t>
            </w:r>
            <w:r w:rsidR="00C80001">
              <w:rPr>
                <w:rFonts w:ascii="Calibri" w:eastAsia="Times New Roman" w:hAnsi="Calibri" w:cs="Calibri"/>
                <w:kern w:val="2"/>
                <w:sz w:val="18"/>
                <w:szCs w:val="18"/>
              </w:rPr>
              <w:t xml:space="preserve">for </w:t>
            </w:r>
            <w:r w:rsidR="001F0560">
              <w:rPr>
                <w:rFonts w:ascii="Calibri" w:eastAsia="Times New Roman" w:hAnsi="Calibri" w:cs="Calibri"/>
                <w:kern w:val="2"/>
                <w:sz w:val="18"/>
                <w:szCs w:val="18"/>
              </w:rPr>
              <w:t>a good portion of tasks.</w:t>
            </w:r>
          </w:p>
          <w:p w14:paraId="56CC23F9" w14:textId="3DA61624" w:rsidR="005154EF" w:rsidRDefault="005154EF" w:rsidP="00FA7B39">
            <w:pPr>
              <w:ind w:left="-16"/>
              <w:rPr>
                <w:rFonts w:ascii="Calibri" w:eastAsia="Times New Roman" w:hAnsi="Calibri" w:cs="Calibri"/>
                <w:kern w:val="2"/>
                <w:sz w:val="18"/>
                <w:szCs w:val="18"/>
              </w:rPr>
            </w:pPr>
          </w:p>
          <w:p w14:paraId="153C99F6" w14:textId="2CB56BF6" w:rsidR="00CD2A81" w:rsidRDefault="000F23B0" w:rsidP="00CD2A81">
            <w:pPr>
              <w:rPr>
                <w:rFonts w:ascii="Calibri" w:eastAsia="Times New Roman" w:hAnsi="Calibri" w:cs="Calibri"/>
                <w:kern w:val="2"/>
                <w:sz w:val="18"/>
                <w:szCs w:val="18"/>
              </w:rPr>
            </w:pPr>
            <w:r w:rsidRPr="003D09CB">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E02323">
              <w:rPr>
                <w:rFonts w:ascii="Calibri" w:eastAsia="Times New Roman" w:hAnsi="Calibri" w:cs="Calibri"/>
                <w:kern w:val="2"/>
                <w:sz w:val="18"/>
                <w:szCs w:val="18"/>
              </w:rPr>
              <w:t xml:space="preserve"> SOMAH PA</w:t>
            </w:r>
            <w:r w:rsidR="00F55C0D">
              <w:rPr>
                <w:rFonts w:ascii="Calibri" w:eastAsia="Times New Roman" w:hAnsi="Calibri" w:cs="Calibri"/>
                <w:kern w:val="2"/>
                <w:sz w:val="18"/>
                <w:szCs w:val="18"/>
              </w:rPr>
              <w:t>,</w:t>
            </w:r>
            <w:r w:rsidR="00E02323">
              <w:rPr>
                <w:rFonts w:ascii="Calibri" w:eastAsia="Times New Roman" w:hAnsi="Calibri" w:cs="Calibri"/>
                <w:kern w:val="2"/>
                <w:sz w:val="18"/>
                <w:szCs w:val="18"/>
              </w:rPr>
              <w:t xml:space="preserve"> Energy Division</w:t>
            </w:r>
            <w:r w:rsidR="00F55C0D">
              <w:rPr>
                <w:rFonts w:ascii="Calibri" w:eastAsia="Times New Roman" w:hAnsi="Calibri" w:cs="Calibri"/>
                <w:kern w:val="2"/>
                <w:sz w:val="18"/>
                <w:szCs w:val="18"/>
              </w:rPr>
              <w:t>,</w:t>
            </w:r>
            <w:r w:rsidR="003741EF">
              <w:rPr>
                <w:rFonts w:ascii="Calibri" w:eastAsia="Times New Roman" w:hAnsi="Calibri" w:cs="Calibri"/>
                <w:kern w:val="2"/>
                <w:sz w:val="18"/>
                <w:szCs w:val="18"/>
              </w:rPr>
              <w:t xml:space="preserve"> and</w:t>
            </w:r>
            <w:r w:rsidR="00F55C0D">
              <w:rPr>
                <w:rFonts w:ascii="Calibri" w:eastAsia="Times New Roman" w:hAnsi="Calibri" w:cs="Calibri"/>
                <w:kern w:val="2"/>
                <w:sz w:val="18"/>
                <w:szCs w:val="18"/>
              </w:rPr>
              <w:t xml:space="preserve"> SCE</w:t>
            </w:r>
          </w:p>
          <w:p w14:paraId="0713FD3D" w14:textId="293DF273" w:rsidR="005154EF" w:rsidRPr="003F18A9" w:rsidRDefault="00CD2A81" w:rsidP="00CD2A81">
            <w:pPr>
              <w:ind w:left="-16"/>
              <w:rPr>
                <w:rFonts w:ascii="Calibri" w:eastAsia="Times New Roman" w:hAnsi="Calibri" w:cs="Calibri"/>
                <w:kern w:val="2"/>
                <w:sz w:val="18"/>
                <w:szCs w:val="18"/>
              </w:rPr>
            </w:pPr>
            <w:r w:rsidRPr="003D09CB">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E02323">
              <w:rPr>
                <w:rFonts w:ascii="Calibri" w:eastAsia="Times New Roman" w:hAnsi="Calibri" w:cs="Calibri"/>
                <w:kern w:val="2"/>
                <w:sz w:val="18"/>
                <w:szCs w:val="18"/>
              </w:rPr>
              <w:t xml:space="preserve"> </w:t>
            </w:r>
            <w:r w:rsidR="00A173A5">
              <w:rPr>
                <w:rFonts w:ascii="Calibri" w:eastAsia="Times New Roman" w:hAnsi="Calibri" w:cs="Calibri"/>
                <w:kern w:val="2"/>
                <w:sz w:val="18"/>
                <w:szCs w:val="18"/>
              </w:rPr>
              <w:t xml:space="preserve">Q3 2022 </w:t>
            </w:r>
          </w:p>
        </w:tc>
      </w:tr>
      <w:tr w:rsidR="00FA7B39" w:rsidRPr="002015E9" w14:paraId="166BC74E" w14:textId="77777777" w:rsidTr="3E195337">
        <w:trPr>
          <w:cantSplit/>
          <w:trHeight w:val="188"/>
        </w:trPr>
        <w:tc>
          <w:tcPr>
            <w:tcW w:w="125" w:type="pct"/>
            <w:vMerge/>
          </w:tcPr>
          <w:p w14:paraId="6BDDC205" w14:textId="6051BDA2" w:rsidR="00FA7B39" w:rsidRDefault="00FA7B39" w:rsidP="00FA7B39">
            <w:pPr>
              <w:jc w:val="center"/>
              <w:rPr>
                <w:rFonts w:ascii="Calibri" w:eastAsia="Times New Roman" w:hAnsi="Calibri" w:cs="Calibri"/>
                <w:bCs/>
                <w:kern w:val="2"/>
                <w:sz w:val="18"/>
                <w:szCs w:val="18"/>
              </w:rPr>
            </w:pPr>
          </w:p>
        </w:tc>
        <w:tc>
          <w:tcPr>
            <w:tcW w:w="156" w:type="pct"/>
            <w:vMerge/>
          </w:tcPr>
          <w:p w14:paraId="35691CF3" w14:textId="2F3A6D96" w:rsidR="00FA7B39" w:rsidRDefault="00FA7B39" w:rsidP="00FA7B39">
            <w:pPr>
              <w:jc w:val="center"/>
              <w:rPr>
                <w:rFonts w:ascii="Calibri" w:eastAsia="Times New Roman" w:hAnsi="Calibri" w:cs="Calibri"/>
                <w:bCs/>
                <w:kern w:val="2"/>
                <w:sz w:val="18"/>
                <w:szCs w:val="18"/>
              </w:rPr>
            </w:pPr>
          </w:p>
        </w:tc>
        <w:tc>
          <w:tcPr>
            <w:tcW w:w="1084" w:type="pct"/>
            <w:vMerge/>
          </w:tcPr>
          <w:p w14:paraId="1C8855BE" w14:textId="77777777" w:rsidR="00FA7B39" w:rsidRPr="008B6817" w:rsidRDefault="00FA7B39" w:rsidP="00FA7B39">
            <w:pPr>
              <w:ind w:left="-21"/>
              <w:rPr>
                <w:rFonts w:ascii="Calibri" w:eastAsia="Times New Roman" w:hAnsi="Calibri" w:cs="Calibri"/>
                <w:kern w:val="2"/>
                <w:sz w:val="18"/>
                <w:szCs w:val="18"/>
              </w:rPr>
            </w:pPr>
          </w:p>
        </w:tc>
        <w:tc>
          <w:tcPr>
            <w:tcW w:w="1667" w:type="pct"/>
            <w:tcBorders>
              <w:top w:val="single" w:sz="4" w:space="0" w:color="auto"/>
              <w:left w:val="nil"/>
              <w:bottom w:val="single" w:sz="4" w:space="0" w:color="auto"/>
              <w:right w:val="single" w:sz="4" w:space="0" w:color="auto"/>
            </w:tcBorders>
            <w:shd w:val="clear" w:color="auto" w:fill="auto"/>
          </w:tcPr>
          <w:p w14:paraId="354E2E18" w14:textId="06269970" w:rsidR="00FA7B39" w:rsidRPr="00AB3BE8" w:rsidRDefault="00FA7B39" w:rsidP="00FA7B39">
            <w:pPr>
              <w:jc w:val="both"/>
              <w:rPr>
                <w:b/>
                <w:bCs/>
                <w:sz w:val="18"/>
                <w:szCs w:val="18"/>
              </w:rPr>
            </w:pPr>
            <w:r w:rsidRPr="00562262">
              <w:rPr>
                <w:sz w:val="18"/>
                <w:szCs w:val="18"/>
              </w:rPr>
              <w:t xml:space="preserve">Compare quarterly forecasts to historical spending prior to submittal. </w:t>
            </w:r>
            <w:r w:rsidRPr="00253B96">
              <w:rPr>
                <w:sz w:val="18"/>
                <w:szCs w:val="18"/>
              </w:rPr>
              <w:t>The SOMAH PA should review at a program category level their forecasted spending to actual spending during recent months</w:t>
            </w:r>
            <w:r w:rsidRPr="00AB3BE8">
              <w:rPr>
                <w:sz w:val="18"/>
                <w:szCs w:val="18"/>
              </w:rPr>
              <w:t xml:space="preserve">, as well as any anticipated program changes that could result in increases or decreases to PA spending, to ensure their forecast is reasonable. Ensuring these types of feedback loops are incorporated into the planning process should help to ensure forecasts are within 30 percent of actuals.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134B20EB" w14:textId="46FB7F21" w:rsidR="00FA7B39" w:rsidRPr="003F18A9" w:rsidRDefault="00C12FFC"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Other</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0BEEECED" w14:textId="1A4C7717" w:rsidR="00C12FFC" w:rsidRDefault="00C12FFC"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 xml:space="preserve">The </w:t>
            </w:r>
            <w:r w:rsidR="00253B96">
              <w:rPr>
                <w:rFonts w:ascii="Calibri" w:eastAsia="Times New Roman" w:hAnsi="Calibri" w:cs="Calibri"/>
                <w:kern w:val="2"/>
                <w:sz w:val="18"/>
                <w:szCs w:val="18"/>
              </w:rPr>
              <w:t xml:space="preserve">SOMAH </w:t>
            </w:r>
            <w:r>
              <w:rPr>
                <w:rFonts w:ascii="Calibri" w:eastAsia="Times New Roman" w:hAnsi="Calibri" w:cs="Calibri"/>
                <w:kern w:val="2"/>
                <w:sz w:val="18"/>
                <w:szCs w:val="18"/>
              </w:rPr>
              <w:t xml:space="preserve">PA </w:t>
            </w:r>
            <w:r w:rsidR="00F147D3">
              <w:rPr>
                <w:rFonts w:ascii="Calibri" w:eastAsia="Times New Roman" w:hAnsi="Calibri" w:cs="Calibri"/>
                <w:kern w:val="2"/>
                <w:sz w:val="18"/>
                <w:szCs w:val="18"/>
              </w:rPr>
              <w:t xml:space="preserve">agrees that </w:t>
            </w:r>
            <w:r w:rsidR="00370367">
              <w:rPr>
                <w:rFonts w:ascii="Calibri" w:eastAsia="Times New Roman" w:hAnsi="Calibri" w:cs="Calibri"/>
                <w:kern w:val="2"/>
                <w:sz w:val="18"/>
                <w:szCs w:val="18"/>
              </w:rPr>
              <w:t>referencing actual spending</w:t>
            </w:r>
            <w:r w:rsidR="0010570D">
              <w:rPr>
                <w:rFonts w:ascii="Calibri" w:eastAsia="Times New Roman" w:hAnsi="Calibri" w:cs="Calibri"/>
                <w:kern w:val="2"/>
                <w:sz w:val="18"/>
                <w:szCs w:val="18"/>
              </w:rPr>
              <w:t xml:space="preserve"> is valuable </w:t>
            </w:r>
            <w:r w:rsidR="00825295">
              <w:rPr>
                <w:rFonts w:ascii="Calibri" w:eastAsia="Times New Roman" w:hAnsi="Calibri" w:cs="Calibri"/>
                <w:kern w:val="2"/>
                <w:sz w:val="18"/>
                <w:szCs w:val="18"/>
              </w:rPr>
              <w:t xml:space="preserve">information and </w:t>
            </w:r>
            <w:r>
              <w:rPr>
                <w:rFonts w:ascii="Calibri" w:eastAsia="Times New Roman" w:hAnsi="Calibri" w:cs="Calibri"/>
                <w:kern w:val="2"/>
                <w:sz w:val="18"/>
                <w:szCs w:val="18"/>
              </w:rPr>
              <w:t xml:space="preserve">currently uses historical data as a </w:t>
            </w:r>
            <w:r w:rsidRPr="003D09CB">
              <w:rPr>
                <w:rFonts w:ascii="Calibri" w:eastAsia="Times New Roman" w:hAnsi="Calibri" w:cs="Calibri"/>
                <w:kern w:val="2"/>
                <w:sz w:val="18"/>
                <w:szCs w:val="18"/>
              </w:rPr>
              <w:t>starting point</w:t>
            </w:r>
            <w:r>
              <w:rPr>
                <w:rFonts w:ascii="Calibri" w:eastAsia="Times New Roman" w:hAnsi="Calibri" w:cs="Calibri"/>
                <w:kern w:val="2"/>
                <w:sz w:val="18"/>
                <w:szCs w:val="18"/>
              </w:rPr>
              <w:t xml:space="preserve"> in drafting invoice</w:t>
            </w:r>
            <w:r w:rsidR="002C2707">
              <w:rPr>
                <w:rFonts w:ascii="Calibri" w:eastAsia="Times New Roman" w:hAnsi="Calibri" w:cs="Calibri"/>
                <w:kern w:val="2"/>
                <w:sz w:val="18"/>
                <w:szCs w:val="18"/>
              </w:rPr>
              <w:t xml:space="preserve"> forecasts</w:t>
            </w:r>
            <w:r>
              <w:rPr>
                <w:rFonts w:ascii="Calibri" w:eastAsia="Times New Roman" w:hAnsi="Calibri" w:cs="Calibri"/>
                <w:kern w:val="2"/>
                <w:sz w:val="18"/>
                <w:szCs w:val="18"/>
              </w:rPr>
              <w:t>.</w:t>
            </w:r>
            <w:r w:rsidR="00C951DF">
              <w:rPr>
                <w:rFonts w:ascii="Calibri" w:eastAsia="Times New Roman" w:hAnsi="Calibri" w:cs="Calibri"/>
                <w:kern w:val="2"/>
                <w:sz w:val="18"/>
                <w:szCs w:val="18"/>
              </w:rPr>
              <w:t xml:space="preserve"> This comparison of quarterly forecasts to actual spending in recent</w:t>
            </w:r>
            <w:r w:rsidR="00253B96">
              <w:rPr>
                <w:rFonts w:ascii="Calibri" w:eastAsia="Times New Roman" w:hAnsi="Calibri" w:cs="Calibri"/>
                <w:kern w:val="2"/>
                <w:sz w:val="18"/>
                <w:szCs w:val="18"/>
              </w:rPr>
              <w:t>/prior</w:t>
            </w:r>
            <w:r w:rsidR="00C951DF">
              <w:rPr>
                <w:rFonts w:ascii="Calibri" w:eastAsia="Times New Roman" w:hAnsi="Calibri" w:cs="Calibri"/>
                <w:kern w:val="2"/>
                <w:sz w:val="18"/>
                <w:szCs w:val="18"/>
              </w:rPr>
              <w:t xml:space="preserve"> months is a valuable step that the PA utilizes in preparing forecasts, </w:t>
            </w:r>
            <w:r w:rsidR="002C2707">
              <w:rPr>
                <w:rFonts w:ascii="Calibri" w:eastAsia="Times New Roman" w:hAnsi="Calibri" w:cs="Calibri"/>
                <w:kern w:val="2"/>
                <w:sz w:val="18"/>
                <w:szCs w:val="18"/>
              </w:rPr>
              <w:t>while</w:t>
            </w:r>
            <w:r w:rsidR="00C951DF">
              <w:rPr>
                <w:rFonts w:ascii="Calibri" w:eastAsia="Times New Roman" w:hAnsi="Calibri" w:cs="Calibri"/>
                <w:kern w:val="2"/>
                <w:sz w:val="18"/>
                <w:szCs w:val="18"/>
              </w:rPr>
              <w:t xml:space="preserve"> also incorporat</w:t>
            </w:r>
            <w:r w:rsidR="002C2707">
              <w:rPr>
                <w:rFonts w:ascii="Calibri" w:eastAsia="Times New Roman" w:hAnsi="Calibri" w:cs="Calibri"/>
                <w:kern w:val="2"/>
                <w:sz w:val="18"/>
                <w:szCs w:val="18"/>
              </w:rPr>
              <w:t>ing</w:t>
            </w:r>
            <w:r w:rsidR="00C951DF">
              <w:rPr>
                <w:rFonts w:ascii="Calibri" w:eastAsia="Times New Roman" w:hAnsi="Calibri" w:cs="Calibri"/>
                <w:kern w:val="2"/>
                <w:sz w:val="18"/>
                <w:szCs w:val="18"/>
              </w:rPr>
              <w:t xml:space="preserve"> an estimate of time by task and by staff member for the quarter ahead based on where the program is currently and is expected to head in terms of work planning. With the current forecast and actual invoicing requirements</w:t>
            </w:r>
            <w:r w:rsidR="00253B96">
              <w:rPr>
                <w:rFonts w:ascii="Calibri" w:eastAsia="Times New Roman" w:hAnsi="Calibri" w:cs="Calibri"/>
                <w:kern w:val="2"/>
                <w:sz w:val="18"/>
                <w:szCs w:val="18"/>
              </w:rPr>
              <w:t>,</w:t>
            </w:r>
            <w:r w:rsidR="00C951DF">
              <w:rPr>
                <w:rFonts w:ascii="Calibri" w:eastAsia="Times New Roman" w:hAnsi="Calibri" w:cs="Calibri"/>
                <w:kern w:val="2"/>
                <w:sz w:val="18"/>
                <w:szCs w:val="18"/>
              </w:rPr>
              <w:t xml:space="preserve"> it is important maintain a balance of estimation and</w:t>
            </w:r>
            <w:r w:rsidR="002C2707">
              <w:rPr>
                <w:rFonts w:ascii="Calibri" w:eastAsia="Times New Roman" w:hAnsi="Calibri" w:cs="Calibri"/>
                <w:kern w:val="2"/>
                <w:sz w:val="18"/>
                <w:szCs w:val="18"/>
              </w:rPr>
              <w:t xml:space="preserve"> review of</w:t>
            </w:r>
            <w:r w:rsidR="00C951DF">
              <w:rPr>
                <w:rFonts w:ascii="Calibri" w:eastAsia="Times New Roman" w:hAnsi="Calibri" w:cs="Calibri"/>
                <w:kern w:val="2"/>
                <w:sz w:val="18"/>
                <w:szCs w:val="18"/>
              </w:rPr>
              <w:t xml:space="preserve"> historical spending, unless there are process changes</w:t>
            </w:r>
            <w:r w:rsidR="00B47F2A">
              <w:rPr>
                <w:rFonts w:ascii="Calibri" w:eastAsia="Times New Roman" w:hAnsi="Calibri" w:cs="Calibri"/>
                <w:kern w:val="2"/>
                <w:sz w:val="18"/>
                <w:szCs w:val="18"/>
              </w:rPr>
              <w:t xml:space="preserve"> to </w:t>
            </w:r>
            <w:r w:rsidR="002C2707">
              <w:rPr>
                <w:rFonts w:ascii="Calibri" w:eastAsia="Times New Roman" w:hAnsi="Calibri" w:cs="Calibri"/>
                <w:kern w:val="2"/>
                <w:sz w:val="18"/>
                <w:szCs w:val="18"/>
              </w:rPr>
              <w:t xml:space="preserve">shift the </w:t>
            </w:r>
            <w:r w:rsidR="00B47F2A">
              <w:rPr>
                <w:rFonts w:ascii="Calibri" w:eastAsia="Times New Roman" w:hAnsi="Calibri" w:cs="Calibri"/>
                <w:kern w:val="2"/>
                <w:sz w:val="18"/>
                <w:szCs w:val="18"/>
              </w:rPr>
              <w:t>focus on</w:t>
            </w:r>
            <w:r>
              <w:rPr>
                <w:rFonts w:ascii="Calibri" w:eastAsia="Times New Roman" w:hAnsi="Calibri" w:cs="Calibri"/>
                <w:kern w:val="2"/>
                <w:sz w:val="18"/>
                <w:szCs w:val="18"/>
              </w:rPr>
              <w:t xml:space="preserve"> historical data </w:t>
            </w:r>
            <w:r w:rsidR="00B47F2A">
              <w:rPr>
                <w:rFonts w:ascii="Calibri" w:eastAsia="Times New Roman" w:hAnsi="Calibri" w:cs="Calibri"/>
                <w:kern w:val="2"/>
                <w:sz w:val="18"/>
                <w:szCs w:val="18"/>
              </w:rPr>
              <w:t>a</w:t>
            </w:r>
            <w:r>
              <w:rPr>
                <w:rFonts w:ascii="Calibri" w:eastAsia="Times New Roman" w:hAnsi="Calibri" w:cs="Calibri"/>
                <w:kern w:val="2"/>
                <w:sz w:val="18"/>
                <w:szCs w:val="18"/>
              </w:rPr>
              <w:t xml:space="preserve">s the overriding consideration in forecasting, </w:t>
            </w:r>
            <w:r w:rsidR="00B47F2A">
              <w:rPr>
                <w:rFonts w:ascii="Calibri" w:eastAsia="Times New Roman" w:hAnsi="Calibri" w:cs="Calibri"/>
                <w:kern w:val="2"/>
                <w:sz w:val="18"/>
                <w:szCs w:val="18"/>
              </w:rPr>
              <w:t xml:space="preserve">which would </w:t>
            </w:r>
            <w:r>
              <w:rPr>
                <w:rFonts w:ascii="Calibri" w:eastAsia="Times New Roman" w:hAnsi="Calibri" w:cs="Calibri"/>
                <w:kern w:val="2"/>
                <w:sz w:val="18"/>
                <w:szCs w:val="18"/>
              </w:rPr>
              <w:t xml:space="preserve">effectively negate the purpose of </w:t>
            </w:r>
            <w:r w:rsidR="002C2707">
              <w:rPr>
                <w:rFonts w:ascii="Calibri" w:eastAsia="Times New Roman" w:hAnsi="Calibri" w:cs="Calibri"/>
                <w:kern w:val="2"/>
                <w:sz w:val="18"/>
                <w:szCs w:val="18"/>
              </w:rPr>
              <w:t xml:space="preserve">estimation </w:t>
            </w:r>
            <w:r>
              <w:rPr>
                <w:rFonts w:ascii="Calibri" w:eastAsia="Times New Roman" w:hAnsi="Calibri" w:cs="Calibri"/>
                <w:kern w:val="2"/>
                <w:sz w:val="18"/>
                <w:szCs w:val="18"/>
              </w:rPr>
              <w:t>forecasting</w:t>
            </w:r>
            <w:r w:rsidR="00B47F2A">
              <w:rPr>
                <w:rFonts w:ascii="Calibri" w:eastAsia="Times New Roman" w:hAnsi="Calibri" w:cs="Calibri"/>
                <w:kern w:val="2"/>
                <w:sz w:val="18"/>
                <w:szCs w:val="18"/>
              </w:rPr>
              <w:t xml:space="preserve"> at the task and staff member level</w:t>
            </w:r>
            <w:r>
              <w:rPr>
                <w:rFonts w:ascii="Calibri" w:eastAsia="Times New Roman" w:hAnsi="Calibri" w:cs="Calibri"/>
                <w:kern w:val="2"/>
                <w:sz w:val="18"/>
                <w:szCs w:val="18"/>
              </w:rPr>
              <w:t>.</w:t>
            </w:r>
            <w:r w:rsidR="00C951DF">
              <w:rPr>
                <w:rFonts w:ascii="Calibri" w:eastAsia="Times New Roman" w:hAnsi="Calibri" w:cs="Calibri"/>
                <w:kern w:val="2"/>
                <w:sz w:val="18"/>
                <w:szCs w:val="18"/>
              </w:rPr>
              <w:t xml:space="preserve"> Additionally, monthly actual invoices already include an analytic </w:t>
            </w:r>
            <w:r w:rsidR="002C2707">
              <w:rPr>
                <w:rFonts w:ascii="Calibri" w:eastAsia="Times New Roman" w:hAnsi="Calibri" w:cs="Calibri"/>
                <w:kern w:val="2"/>
                <w:sz w:val="18"/>
                <w:szCs w:val="18"/>
              </w:rPr>
              <w:t xml:space="preserve">reporting </w:t>
            </w:r>
            <w:r w:rsidR="00253B96">
              <w:rPr>
                <w:rFonts w:ascii="Calibri" w:eastAsia="Times New Roman" w:hAnsi="Calibri" w:cs="Calibri"/>
                <w:kern w:val="2"/>
                <w:sz w:val="18"/>
                <w:szCs w:val="18"/>
              </w:rPr>
              <w:t>page</w:t>
            </w:r>
            <w:r w:rsidR="00C951DF">
              <w:rPr>
                <w:rFonts w:ascii="Calibri" w:eastAsia="Times New Roman" w:hAnsi="Calibri" w:cs="Calibri"/>
                <w:kern w:val="2"/>
                <w:sz w:val="18"/>
                <w:szCs w:val="18"/>
              </w:rPr>
              <w:t xml:space="preserve"> to compare the monthly actual charges against what was originally forecasted by billing category.</w:t>
            </w:r>
          </w:p>
          <w:p w14:paraId="7C534CAC" w14:textId="77777777" w:rsidR="00C12FFC" w:rsidRDefault="00C12FFC" w:rsidP="00FA7B39">
            <w:pPr>
              <w:ind w:left="-16"/>
              <w:rPr>
                <w:rFonts w:ascii="Calibri" w:eastAsia="Times New Roman" w:hAnsi="Calibri" w:cs="Calibri"/>
                <w:kern w:val="2"/>
                <w:sz w:val="18"/>
                <w:szCs w:val="18"/>
              </w:rPr>
            </w:pPr>
          </w:p>
          <w:p w14:paraId="6819001E" w14:textId="1A56040F" w:rsidR="00FA7B39" w:rsidRDefault="00C12FFC"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Ultimately, the PA is paid based on actual expenses</w:t>
            </w:r>
            <w:r w:rsidR="00066FFD">
              <w:rPr>
                <w:rFonts w:ascii="Calibri" w:eastAsia="Times New Roman" w:hAnsi="Calibri" w:cs="Calibri"/>
                <w:kern w:val="2"/>
                <w:sz w:val="18"/>
                <w:szCs w:val="18"/>
              </w:rPr>
              <w:t xml:space="preserve"> (each quarterly forecast has a true-up to the prior actual spending incurred)</w:t>
            </w:r>
            <w:r>
              <w:rPr>
                <w:rFonts w:ascii="Calibri" w:eastAsia="Times New Roman" w:hAnsi="Calibri" w:cs="Calibri"/>
                <w:kern w:val="2"/>
                <w:sz w:val="18"/>
                <w:szCs w:val="18"/>
              </w:rPr>
              <w:t xml:space="preserve">, so the view of the PA is that </w:t>
            </w:r>
            <w:proofErr w:type="gramStart"/>
            <w:r w:rsidR="005154EF">
              <w:rPr>
                <w:rFonts w:ascii="Calibri" w:eastAsia="Times New Roman" w:hAnsi="Calibri" w:cs="Calibri"/>
                <w:kern w:val="2"/>
                <w:sz w:val="18"/>
                <w:szCs w:val="18"/>
              </w:rPr>
              <w:t>forecasting</w:t>
            </w:r>
            <w:proofErr w:type="gramEnd"/>
            <w:r>
              <w:rPr>
                <w:rFonts w:ascii="Calibri" w:eastAsia="Times New Roman" w:hAnsi="Calibri" w:cs="Calibri"/>
                <w:kern w:val="2"/>
                <w:sz w:val="18"/>
                <w:szCs w:val="18"/>
              </w:rPr>
              <w:t xml:space="preserve"> and prepayment should be simplified in general</w:t>
            </w:r>
            <w:r w:rsidR="00106512">
              <w:rPr>
                <w:rFonts w:ascii="Calibri" w:eastAsia="Times New Roman" w:hAnsi="Calibri" w:cs="Calibri"/>
                <w:kern w:val="2"/>
                <w:sz w:val="18"/>
                <w:szCs w:val="18"/>
              </w:rPr>
              <w:t>.</w:t>
            </w:r>
            <w:r w:rsidR="00D327ED">
              <w:rPr>
                <w:rFonts w:ascii="Calibri" w:eastAsia="Times New Roman" w:hAnsi="Calibri" w:cs="Calibri"/>
                <w:kern w:val="2"/>
                <w:sz w:val="18"/>
                <w:szCs w:val="18"/>
              </w:rPr>
              <w:t xml:space="preserve"> The </w:t>
            </w:r>
            <w:r w:rsidR="00F84969">
              <w:rPr>
                <w:rFonts w:ascii="Calibri" w:eastAsia="Times New Roman" w:hAnsi="Calibri" w:cs="Calibri"/>
                <w:kern w:val="2"/>
                <w:sz w:val="18"/>
                <w:szCs w:val="18"/>
              </w:rPr>
              <w:t>current forecasting process</w:t>
            </w:r>
            <w:r>
              <w:rPr>
                <w:rFonts w:ascii="Calibri" w:eastAsia="Times New Roman" w:hAnsi="Calibri" w:cs="Calibri"/>
                <w:kern w:val="2"/>
                <w:sz w:val="18"/>
                <w:szCs w:val="18"/>
              </w:rPr>
              <w:t xml:space="preserve"> entails an onerous </w:t>
            </w:r>
            <w:r w:rsidR="0051113F">
              <w:rPr>
                <w:rFonts w:ascii="Calibri" w:eastAsia="Times New Roman" w:hAnsi="Calibri" w:cs="Calibri"/>
                <w:kern w:val="2"/>
                <w:sz w:val="18"/>
                <w:szCs w:val="18"/>
              </w:rPr>
              <w:t xml:space="preserve">requirement </w:t>
            </w:r>
            <w:r>
              <w:rPr>
                <w:rFonts w:ascii="Calibri" w:eastAsia="Times New Roman" w:hAnsi="Calibri" w:cs="Calibri"/>
                <w:kern w:val="2"/>
                <w:sz w:val="18"/>
                <w:szCs w:val="18"/>
              </w:rPr>
              <w:t xml:space="preserve">of false </w:t>
            </w:r>
            <w:r w:rsidR="00CD2A81">
              <w:rPr>
                <w:rFonts w:ascii="Calibri" w:eastAsia="Times New Roman" w:hAnsi="Calibri" w:cs="Calibri"/>
                <w:kern w:val="2"/>
                <w:sz w:val="18"/>
                <w:szCs w:val="18"/>
              </w:rPr>
              <w:t>precision</w:t>
            </w:r>
            <w:r w:rsidR="00552C91">
              <w:rPr>
                <w:rFonts w:ascii="Calibri" w:eastAsia="Times New Roman" w:hAnsi="Calibri" w:cs="Calibri"/>
                <w:kern w:val="2"/>
                <w:sz w:val="18"/>
                <w:szCs w:val="18"/>
              </w:rPr>
              <w:t>,</w:t>
            </w:r>
            <w:r w:rsidR="0016074A">
              <w:rPr>
                <w:rFonts w:ascii="Calibri" w:eastAsia="Times New Roman" w:hAnsi="Calibri" w:cs="Calibri"/>
                <w:kern w:val="2"/>
                <w:sz w:val="18"/>
                <w:szCs w:val="18"/>
              </w:rPr>
              <w:t xml:space="preserve"> which has, in </w:t>
            </w:r>
            <w:r w:rsidR="00BA1289">
              <w:rPr>
                <w:rFonts w:ascii="Calibri" w:eastAsia="Times New Roman" w:hAnsi="Calibri" w:cs="Calibri"/>
                <w:kern w:val="2"/>
                <w:sz w:val="18"/>
                <w:szCs w:val="18"/>
              </w:rPr>
              <w:t xml:space="preserve">large </w:t>
            </w:r>
            <w:r w:rsidR="0016074A">
              <w:rPr>
                <w:rFonts w:ascii="Calibri" w:eastAsia="Times New Roman" w:hAnsi="Calibri" w:cs="Calibri"/>
                <w:kern w:val="2"/>
                <w:sz w:val="18"/>
                <w:szCs w:val="18"/>
              </w:rPr>
              <w:t>part, contributed to lengthy processes to develop, submit, and approve quarterly forecast</w:t>
            </w:r>
            <w:r w:rsidR="00552C91">
              <w:rPr>
                <w:rFonts w:ascii="Calibri" w:eastAsia="Times New Roman" w:hAnsi="Calibri" w:cs="Calibri"/>
                <w:kern w:val="2"/>
                <w:sz w:val="18"/>
                <w:szCs w:val="18"/>
              </w:rPr>
              <w:t>s</w:t>
            </w:r>
            <w:r w:rsidR="0038360C">
              <w:rPr>
                <w:rFonts w:ascii="Calibri" w:eastAsia="Times New Roman" w:hAnsi="Calibri" w:cs="Calibri"/>
                <w:kern w:val="2"/>
                <w:sz w:val="18"/>
                <w:szCs w:val="18"/>
              </w:rPr>
              <w:t xml:space="preserve">. </w:t>
            </w:r>
            <w:r w:rsidR="002F45CA">
              <w:rPr>
                <w:rFonts w:ascii="Calibri" w:eastAsia="Times New Roman" w:hAnsi="Calibri" w:cs="Calibri"/>
                <w:kern w:val="2"/>
                <w:sz w:val="18"/>
                <w:szCs w:val="18"/>
              </w:rPr>
              <w:t xml:space="preserve">The onerous process also requires a significant amount of administration </w:t>
            </w:r>
            <w:r w:rsidR="00D850A9">
              <w:rPr>
                <w:rFonts w:ascii="Calibri" w:eastAsia="Times New Roman" w:hAnsi="Calibri" w:cs="Calibri"/>
                <w:kern w:val="2"/>
                <w:sz w:val="18"/>
                <w:szCs w:val="18"/>
              </w:rPr>
              <w:t>funds that could be better spent on program activities.</w:t>
            </w:r>
            <w:r w:rsidR="002C2707">
              <w:rPr>
                <w:rFonts w:ascii="Calibri" w:eastAsia="Times New Roman" w:hAnsi="Calibri" w:cs="Calibri"/>
                <w:kern w:val="2"/>
                <w:sz w:val="18"/>
                <w:szCs w:val="18"/>
              </w:rPr>
              <w:t xml:space="preserve"> PA discussions are ongoing</w:t>
            </w:r>
            <w:r w:rsidR="00253B96">
              <w:rPr>
                <w:rFonts w:ascii="Calibri" w:eastAsia="Times New Roman" w:hAnsi="Calibri" w:cs="Calibri"/>
                <w:kern w:val="2"/>
                <w:sz w:val="18"/>
                <w:szCs w:val="18"/>
              </w:rPr>
              <w:t xml:space="preserve"> with</w:t>
            </w:r>
            <w:r w:rsidR="002C2707">
              <w:rPr>
                <w:rFonts w:ascii="Calibri" w:eastAsia="Times New Roman" w:hAnsi="Calibri" w:cs="Calibri"/>
                <w:kern w:val="2"/>
                <w:sz w:val="18"/>
                <w:szCs w:val="18"/>
              </w:rPr>
              <w:t xml:space="preserve"> Energy Division and SCE to determine if there are any opportunities to streamline the process and reduce the administrative time and costs associated with invoicing.</w:t>
            </w:r>
            <w:r w:rsidR="00D850A9">
              <w:rPr>
                <w:rFonts w:ascii="Calibri" w:eastAsia="Times New Roman" w:hAnsi="Calibri" w:cs="Calibri"/>
                <w:kern w:val="2"/>
                <w:sz w:val="18"/>
                <w:szCs w:val="18"/>
              </w:rPr>
              <w:t xml:space="preserve"> </w:t>
            </w:r>
          </w:p>
          <w:p w14:paraId="360A069B" w14:textId="77777777" w:rsidR="00CD2A81" w:rsidRDefault="00CD2A81" w:rsidP="00FA7B39">
            <w:pPr>
              <w:ind w:left="-16"/>
              <w:rPr>
                <w:rFonts w:ascii="Calibri" w:eastAsia="Times New Roman" w:hAnsi="Calibri" w:cs="Calibri"/>
                <w:kern w:val="2"/>
                <w:sz w:val="18"/>
                <w:szCs w:val="18"/>
              </w:rPr>
            </w:pPr>
          </w:p>
          <w:p w14:paraId="70B4515A" w14:textId="7138E0B2" w:rsidR="00AE1633" w:rsidRDefault="3C965DA7" w:rsidP="00AE1633">
            <w:pPr>
              <w:rPr>
                <w:rFonts w:ascii="Calibri" w:eastAsia="Times New Roman" w:hAnsi="Calibri" w:cs="Calibri"/>
                <w:kern w:val="2"/>
                <w:sz w:val="18"/>
                <w:szCs w:val="18"/>
              </w:rPr>
            </w:pPr>
            <w:r w:rsidRPr="003D09CB">
              <w:rPr>
                <w:rFonts w:ascii="Calibri" w:eastAsia="Times New Roman" w:hAnsi="Calibri" w:cs="Calibri"/>
                <w:b/>
                <w:bCs/>
                <w:sz w:val="18"/>
                <w:szCs w:val="18"/>
              </w:rPr>
              <w:t>Stakeholders</w:t>
            </w:r>
            <w:r w:rsidR="00CD2A81">
              <w:rPr>
                <w:rFonts w:ascii="Calibri" w:eastAsia="Times New Roman" w:hAnsi="Calibri" w:cs="Calibri"/>
                <w:kern w:val="2"/>
                <w:sz w:val="18"/>
                <w:szCs w:val="18"/>
              </w:rPr>
              <w:t>:</w:t>
            </w:r>
            <w:r w:rsidRPr="3C965DA7">
              <w:rPr>
                <w:rFonts w:ascii="Calibri" w:eastAsia="Times New Roman" w:hAnsi="Calibri" w:cs="Calibri"/>
                <w:sz w:val="18"/>
                <w:szCs w:val="18"/>
              </w:rPr>
              <w:t xml:space="preserve"> SOMAH PA Energy Division, and SCE</w:t>
            </w:r>
          </w:p>
          <w:p w14:paraId="443A94D0" w14:textId="36080C20" w:rsidR="00CD2A81" w:rsidRPr="003F18A9" w:rsidRDefault="00CD2A81" w:rsidP="00CD2A81">
            <w:pPr>
              <w:ind w:left="-16"/>
              <w:rPr>
                <w:rFonts w:ascii="Calibri" w:eastAsia="Times New Roman" w:hAnsi="Calibri" w:cs="Calibri"/>
                <w:kern w:val="2"/>
                <w:sz w:val="18"/>
                <w:szCs w:val="18"/>
              </w:rPr>
            </w:pPr>
            <w:r w:rsidRPr="003D09CB">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AE1633">
              <w:rPr>
                <w:rFonts w:ascii="Calibri" w:eastAsia="Times New Roman" w:hAnsi="Calibri" w:cs="Calibri"/>
                <w:kern w:val="2"/>
                <w:sz w:val="18"/>
                <w:szCs w:val="18"/>
              </w:rPr>
              <w:t xml:space="preserve"> Ongoing </w:t>
            </w:r>
            <w:r w:rsidR="00582F74">
              <w:rPr>
                <w:rFonts w:ascii="Calibri" w:eastAsia="Times New Roman" w:hAnsi="Calibri" w:cs="Calibri"/>
                <w:kern w:val="2"/>
                <w:sz w:val="18"/>
                <w:szCs w:val="18"/>
              </w:rPr>
              <w:t>–</w:t>
            </w:r>
            <w:r w:rsidR="00AE1633">
              <w:rPr>
                <w:rFonts w:ascii="Calibri" w:eastAsia="Times New Roman" w:hAnsi="Calibri" w:cs="Calibri"/>
                <w:kern w:val="2"/>
                <w:sz w:val="18"/>
                <w:szCs w:val="18"/>
              </w:rPr>
              <w:t xml:space="preserve"> quarterly</w:t>
            </w:r>
          </w:p>
        </w:tc>
      </w:tr>
      <w:tr w:rsidR="00FA7B39" w:rsidRPr="002015E9" w14:paraId="79A5445E"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083F16D6" w14:textId="771191D9"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lastRenderedPageBreak/>
              <w:t>8</w:t>
            </w:r>
          </w:p>
        </w:tc>
        <w:tc>
          <w:tcPr>
            <w:tcW w:w="156" w:type="pct"/>
            <w:tcBorders>
              <w:top w:val="single" w:sz="4" w:space="0" w:color="auto"/>
              <w:left w:val="nil"/>
              <w:bottom w:val="single" w:sz="4" w:space="0" w:color="auto"/>
              <w:right w:val="single" w:sz="4" w:space="0" w:color="auto"/>
            </w:tcBorders>
            <w:shd w:val="clear" w:color="auto" w:fill="auto"/>
          </w:tcPr>
          <w:p w14:paraId="775BB760" w14:textId="11040ACD"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60</w:t>
            </w:r>
          </w:p>
        </w:tc>
        <w:tc>
          <w:tcPr>
            <w:tcW w:w="1084" w:type="pct"/>
            <w:tcBorders>
              <w:top w:val="single" w:sz="4" w:space="0" w:color="auto"/>
              <w:left w:val="nil"/>
              <w:bottom w:val="single" w:sz="4" w:space="0" w:color="auto"/>
              <w:right w:val="single" w:sz="4" w:space="0" w:color="auto"/>
            </w:tcBorders>
            <w:shd w:val="clear" w:color="auto" w:fill="auto"/>
          </w:tcPr>
          <w:p w14:paraId="1496E174" w14:textId="54F54E34" w:rsidR="00FA7B39" w:rsidRPr="008B6817" w:rsidRDefault="00FA7B39" w:rsidP="00FA7B39">
            <w:pPr>
              <w:ind w:left="-21"/>
              <w:rPr>
                <w:rFonts w:ascii="Calibri" w:eastAsia="Times New Roman" w:hAnsi="Calibri" w:cs="Calibri"/>
                <w:kern w:val="2"/>
                <w:sz w:val="18"/>
                <w:szCs w:val="18"/>
              </w:rPr>
            </w:pPr>
            <w:r w:rsidRPr="000C0BB6">
              <w:rPr>
                <w:rFonts w:ascii="Calibri" w:eastAsia="Times New Roman" w:hAnsi="Calibri" w:cs="Calibri"/>
                <w:kern w:val="2"/>
                <w:sz w:val="18"/>
                <w:szCs w:val="18"/>
              </w:rPr>
              <w:t xml:space="preserve">The SOMAH subcontractor primarily responsible for workforce engagement </w:t>
            </w:r>
            <w:r w:rsidR="00E50BD4" w:rsidRPr="000C0BB6">
              <w:rPr>
                <w:rFonts w:ascii="Calibri" w:eastAsia="Times New Roman" w:hAnsi="Calibri" w:cs="Calibri"/>
                <w:kern w:val="2"/>
                <w:sz w:val="18"/>
                <w:szCs w:val="18"/>
              </w:rPr>
              <w:t xml:space="preserve">has </w:t>
            </w:r>
            <w:r w:rsidR="00080F79" w:rsidRPr="000C0BB6">
              <w:rPr>
                <w:rFonts w:ascii="Calibri" w:eastAsia="Times New Roman" w:hAnsi="Calibri" w:cs="Calibri"/>
                <w:kern w:val="2"/>
                <w:sz w:val="18"/>
                <w:szCs w:val="18"/>
              </w:rPr>
              <w:t>little interaction with SOMAH contractors</w:t>
            </w:r>
            <w:r w:rsidR="00670244" w:rsidRPr="000C0BB6">
              <w:rPr>
                <w:rFonts w:ascii="Calibri" w:eastAsia="Times New Roman" w:hAnsi="Calibri" w:cs="Calibri"/>
                <w:kern w:val="2"/>
                <w:sz w:val="18"/>
                <w:szCs w:val="18"/>
              </w:rPr>
              <w:t xml:space="preserve"> who </w:t>
            </w:r>
            <w:proofErr w:type="gramStart"/>
            <w:r w:rsidR="00670244" w:rsidRPr="000C0BB6">
              <w:rPr>
                <w:rFonts w:ascii="Calibri" w:eastAsia="Times New Roman" w:hAnsi="Calibri" w:cs="Calibri"/>
                <w:kern w:val="2"/>
                <w:sz w:val="18"/>
                <w:szCs w:val="18"/>
              </w:rPr>
              <w:t>are in need of</w:t>
            </w:r>
            <w:proofErr w:type="gramEnd"/>
            <w:r w:rsidR="00670244" w:rsidRPr="000C0BB6">
              <w:rPr>
                <w:rFonts w:ascii="Calibri" w:eastAsia="Times New Roman" w:hAnsi="Calibri" w:cs="Calibri"/>
                <w:kern w:val="2"/>
                <w:sz w:val="18"/>
                <w:szCs w:val="18"/>
              </w:rPr>
              <w:t xml:space="preserve"> Job Trainees for their projects.</w:t>
            </w:r>
          </w:p>
        </w:tc>
        <w:tc>
          <w:tcPr>
            <w:tcW w:w="1667" w:type="pct"/>
            <w:tcBorders>
              <w:top w:val="single" w:sz="4" w:space="0" w:color="auto"/>
              <w:left w:val="nil"/>
              <w:bottom w:val="single" w:sz="4" w:space="0" w:color="auto"/>
              <w:right w:val="single" w:sz="4" w:space="0" w:color="auto"/>
            </w:tcBorders>
            <w:shd w:val="clear" w:color="auto" w:fill="auto"/>
          </w:tcPr>
          <w:p w14:paraId="7B53D11D" w14:textId="46523ACB" w:rsidR="00FA7B39" w:rsidRPr="00562262" w:rsidRDefault="00FA7B39" w:rsidP="00FA7B39">
            <w:pPr>
              <w:jc w:val="both"/>
              <w:rPr>
                <w:sz w:val="18"/>
                <w:szCs w:val="18"/>
              </w:rPr>
            </w:pPr>
            <w:r w:rsidRPr="00562262">
              <w:rPr>
                <w:sz w:val="18"/>
                <w:szCs w:val="18"/>
              </w:rPr>
              <w:t xml:space="preserve">Increase engagement between Workforce Development program staff and program contractors. Increasing interaction between SOMAH PA staff focused on workforce development and contractors can </w:t>
            </w:r>
            <w:r w:rsidR="000C0BB6">
              <w:rPr>
                <w:sz w:val="18"/>
                <w:szCs w:val="18"/>
              </w:rPr>
              <w:t>improve</w:t>
            </w:r>
            <w:r w:rsidRPr="00562262">
              <w:rPr>
                <w:sz w:val="18"/>
                <w:szCs w:val="18"/>
              </w:rPr>
              <w:t xml:space="preserve"> understand</w:t>
            </w:r>
            <w:r w:rsidR="000C0BB6">
              <w:rPr>
                <w:sz w:val="18"/>
                <w:szCs w:val="18"/>
              </w:rPr>
              <w:t>ing of</w:t>
            </w:r>
            <w:r w:rsidRPr="00562262">
              <w:rPr>
                <w:sz w:val="18"/>
                <w:szCs w:val="18"/>
              </w:rPr>
              <w:t xml:space="preserve"> typical hiring practices for SOMAH job opportunities and </w:t>
            </w:r>
            <w:r w:rsidR="000C0BB6">
              <w:rPr>
                <w:sz w:val="18"/>
                <w:szCs w:val="18"/>
              </w:rPr>
              <w:t xml:space="preserve">the </w:t>
            </w:r>
            <w:r w:rsidRPr="00562262">
              <w:rPr>
                <w:sz w:val="18"/>
                <w:szCs w:val="18"/>
              </w:rPr>
              <w:t xml:space="preserve">timing of future job opportunities. </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598A4BA8" w14:textId="381F7334" w:rsidR="00FA7B39" w:rsidRPr="003F18A9" w:rsidRDefault="00521B36" w:rsidP="00FA7B39">
            <w:pPr>
              <w:jc w:val="center"/>
              <w:rPr>
                <w:rFonts w:ascii="Calibri" w:eastAsia="Times New Roman" w:hAnsi="Calibri" w:cs="Calibri"/>
                <w:kern w:val="2"/>
                <w:sz w:val="18"/>
                <w:szCs w:val="18"/>
              </w:rPr>
            </w:pPr>
            <w:r>
              <w:rPr>
                <w:rFonts w:ascii="Calibri" w:eastAsia="Times New Roman" w:hAnsi="Calibri" w:cs="Calibri"/>
                <w:kern w:val="2"/>
                <w:sz w:val="18"/>
                <w:szCs w:val="18"/>
              </w:rPr>
              <w:t>Accept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7498D042" w14:textId="3FD240C4" w:rsidR="00FA7B39" w:rsidRDefault="00D22A15"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The SOMAH PA and subcontracting partners are actively building capacity to supplement self-serve tools such as the online resume bank and job portal</w:t>
            </w:r>
            <w:r w:rsidR="00582F74">
              <w:rPr>
                <w:rFonts w:ascii="Calibri" w:eastAsia="Times New Roman" w:hAnsi="Calibri" w:cs="Calibri"/>
                <w:kern w:val="2"/>
                <w:sz w:val="18"/>
                <w:szCs w:val="18"/>
              </w:rPr>
              <w:t>.</w:t>
            </w:r>
            <w:r w:rsidR="00121062">
              <w:rPr>
                <w:rFonts w:ascii="Calibri" w:eastAsia="Times New Roman" w:hAnsi="Calibri" w:cs="Calibri"/>
                <w:kern w:val="2"/>
                <w:sz w:val="18"/>
                <w:szCs w:val="18"/>
              </w:rPr>
              <w:t xml:space="preserve"> Additionally, the PA is</w:t>
            </w:r>
            <w:r>
              <w:rPr>
                <w:rFonts w:ascii="Calibri" w:eastAsia="Times New Roman" w:hAnsi="Calibri" w:cs="Calibri"/>
                <w:kern w:val="2"/>
                <w:sz w:val="18"/>
                <w:szCs w:val="18"/>
              </w:rPr>
              <w:t xml:space="preserve"> expand</w:t>
            </w:r>
            <w:r w:rsidR="00F95936">
              <w:rPr>
                <w:rFonts w:ascii="Calibri" w:eastAsia="Times New Roman" w:hAnsi="Calibri" w:cs="Calibri"/>
                <w:kern w:val="2"/>
                <w:sz w:val="18"/>
                <w:szCs w:val="18"/>
              </w:rPr>
              <w:t>ing</w:t>
            </w:r>
            <w:r>
              <w:rPr>
                <w:rFonts w:ascii="Calibri" w:eastAsia="Times New Roman" w:hAnsi="Calibri" w:cs="Calibri"/>
                <w:kern w:val="2"/>
                <w:sz w:val="18"/>
                <w:szCs w:val="18"/>
              </w:rPr>
              <w:t xml:space="preserve"> staff support for contractor engagement, including matchmaking trainees</w:t>
            </w:r>
            <w:r w:rsidR="000C5A3D">
              <w:rPr>
                <w:rFonts w:ascii="Calibri" w:eastAsia="Times New Roman" w:hAnsi="Calibri" w:cs="Calibri"/>
                <w:kern w:val="2"/>
                <w:sz w:val="18"/>
                <w:szCs w:val="18"/>
              </w:rPr>
              <w:t xml:space="preserve"> (</w:t>
            </w:r>
            <w:r>
              <w:rPr>
                <w:rFonts w:ascii="Calibri" w:eastAsia="Times New Roman" w:hAnsi="Calibri" w:cs="Calibri"/>
                <w:kern w:val="2"/>
                <w:sz w:val="18"/>
                <w:szCs w:val="18"/>
              </w:rPr>
              <w:t>emphasizing local and targeted hire</w:t>
            </w:r>
            <w:r w:rsidR="000C5A3D">
              <w:rPr>
                <w:rFonts w:ascii="Calibri" w:eastAsia="Times New Roman" w:hAnsi="Calibri" w:cs="Calibri"/>
                <w:kern w:val="2"/>
                <w:sz w:val="18"/>
                <w:szCs w:val="18"/>
              </w:rPr>
              <w:t>s)</w:t>
            </w:r>
            <w:r>
              <w:rPr>
                <w:rFonts w:ascii="Calibri" w:eastAsia="Times New Roman" w:hAnsi="Calibri" w:cs="Calibri"/>
                <w:kern w:val="2"/>
                <w:sz w:val="18"/>
                <w:szCs w:val="18"/>
              </w:rPr>
              <w:t xml:space="preserve"> with contractors’ training opportunities and assistance engaging eligible job training organizations. The PA will also expand resources and communications around best practices for </w:t>
            </w:r>
            <w:r w:rsidRPr="00D22A15">
              <w:rPr>
                <w:rFonts w:ascii="Calibri" w:eastAsia="Times New Roman" w:hAnsi="Calibri" w:cs="Calibri"/>
                <w:kern w:val="2"/>
                <w:sz w:val="18"/>
                <w:szCs w:val="18"/>
              </w:rPr>
              <w:t xml:space="preserve">hiring SOMAH job </w:t>
            </w:r>
            <w:r>
              <w:rPr>
                <w:rFonts w:ascii="Calibri" w:eastAsia="Times New Roman" w:hAnsi="Calibri" w:cs="Calibri"/>
                <w:kern w:val="2"/>
                <w:sz w:val="18"/>
                <w:szCs w:val="18"/>
              </w:rPr>
              <w:t>trainees, including resources encouraging contractors to hire trainees as permanent</w:t>
            </w:r>
            <w:r w:rsidR="00C12FFC">
              <w:rPr>
                <w:rFonts w:ascii="Calibri" w:eastAsia="Times New Roman" w:hAnsi="Calibri" w:cs="Calibri"/>
                <w:kern w:val="2"/>
                <w:sz w:val="18"/>
                <w:szCs w:val="18"/>
              </w:rPr>
              <w:t>,</w:t>
            </w:r>
            <w:r>
              <w:rPr>
                <w:rFonts w:ascii="Calibri" w:eastAsia="Times New Roman" w:hAnsi="Calibri" w:cs="Calibri"/>
                <w:kern w:val="2"/>
                <w:sz w:val="18"/>
                <w:szCs w:val="18"/>
              </w:rPr>
              <w:t xml:space="preserve"> full-time staff who may still be counted as eligible trainees for up to a year after their graduation from an eligible program</w:t>
            </w:r>
            <w:r w:rsidR="00C12FFC">
              <w:rPr>
                <w:rFonts w:ascii="Calibri" w:eastAsia="Times New Roman" w:hAnsi="Calibri" w:cs="Calibri"/>
                <w:kern w:val="2"/>
                <w:sz w:val="18"/>
                <w:szCs w:val="18"/>
              </w:rPr>
              <w:t xml:space="preserve">. </w:t>
            </w:r>
          </w:p>
          <w:p w14:paraId="624702CE" w14:textId="77777777" w:rsidR="00CD2A81" w:rsidRDefault="00CD2A81" w:rsidP="00FA7B39">
            <w:pPr>
              <w:ind w:left="-16"/>
              <w:rPr>
                <w:rFonts w:ascii="Calibri" w:eastAsia="Times New Roman" w:hAnsi="Calibri" w:cs="Calibri"/>
                <w:kern w:val="2"/>
                <w:sz w:val="18"/>
                <w:szCs w:val="18"/>
              </w:rPr>
            </w:pPr>
          </w:p>
          <w:p w14:paraId="59438CF9" w14:textId="7678B65B" w:rsidR="00CD2A81" w:rsidRDefault="000F23B0" w:rsidP="00CD2A81">
            <w:pPr>
              <w:rPr>
                <w:rFonts w:ascii="Calibri" w:eastAsia="Times New Roman" w:hAnsi="Calibri" w:cs="Calibri"/>
                <w:kern w:val="2"/>
                <w:sz w:val="18"/>
                <w:szCs w:val="18"/>
              </w:rPr>
            </w:pPr>
            <w:r w:rsidRPr="003D09CB">
              <w:rPr>
                <w:rFonts w:ascii="Calibri" w:eastAsia="Times New Roman" w:hAnsi="Calibri" w:cs="Calibri"/>
                <w:b/>
                <w:bCs/>
                <w:kern w:val="2"/>
                <w:sz w:val="18"/>
                <w:szCs w:val="18"/>
              </w:rPr>
              <w:t>Stakeholders</w:t>
            </w:r>
            <w:r w:rsidR="00CD2A81">
              <w:rPr>
                <w:rFonts w:ascii="Calibri" w:eastAsia="Times New Roman" w:hAnsi="Calibri" w:cs="Calibri"/>
                <w:kern w:val="2"/>
                <w:sz w:val="18"/>
                <w:szCs w:val="18"/>
              </w:rPr>
              <w:t>:</w:t>
            </w:r>
            <w:r w:rsidR="00896F9C">
              <w:rPr>
                <w:rFonts w:ascii="Calibri" w:eastAsia="Times New Roman" w:hAnsi="Calibri" w:cs="Calibri"/>
                <w:kern w:val="2"/>
                <w:sz w:val="18"/>
                <w:szCs w:val="18"/>
              </w:rPr>
              <w:t xml:space="preserve"> SOMAH PA, Contractors, Jo</w:t>
            </w:r>
            <w:r w:rsidR="00584BE4">
              <w:rPr>
                <w:rFonts w:ascii="Calibri" w:eastAsia="Times New Roman" w:hAnsi="Calibri" w:cs="Calibri"/>
                <w:kern w:val="2"/>
                <w:sz w:val="18"/>
                <w:szCs w:val="18"/>
              </w:rPr>
              <w:t xml:space="preserve">b Training </w:t>
            </w:r>
            <w:r w:rsidR="00767DDB">
              <w:rPr>
                <w:rFonts w:ascii="Calibri" w:eastAsia="Times New Roman" w:hAnsi="Calibri" w:cs="Calibri"/>
                <w:kern w:val="2"/>
                <w:sz w:val="18"/>
                <w:szCs w:val="18"/>
              </w:rPr>
              <w:t>O</w:t>
            </w:r>
            <w:r w:rsidR="00584BE4">
              <w:rPr>
                <w:rFonts w:ascii="Calibri" w:eastAsia="Times New Roman" w:hAnsi="Calibri" w:cs="Calibri"/>
                <w:kern w:val="2"/>
                <w:sz w:val="18"/>
                <w:szCs w:val="18"/>
              </w:rPr>
              <w:t>rganizations and Job Trainees</w:t>
            </w:r>
          </w:p>
          <w:p w14:paraId="29854B44" w14:textId="4BA801D4" w:rsidR="00CD2A81" w:rsidRPr="003F18A9" w:rsidRDefault="00CD2A81" w:rsidP="00CD2A81">
            <w:pPr>
              <w:ind w:left="-16"/>
              <w:rPr>
                <w:rFonts w:ascii="Calibri" w:eastAsia="Times New Roman" w:hAnsi="Calibri" w:cs="Calibri"/>
                <w:kern w:val="2"/>
                <w:sz w:val="18"/>
                <w:szCs w:val="18"/>
              </w:rPr>
            </w:pPr>
            <w:r w:rsidRPr="003D09CB">
              <w:rPr>
                <w:rFonts w:ascii="Calibri" w:eastAsia="Times New Roman" w:hAnsi="Calibri" w:cs="Calibri"/>
                <w:b/>
                <w:bCs/>
                <w:kern w:val="2"/>
                <w:sz w:val="18"/>
                <w:szCs w:val="18"/>
              </w:rPr>
              <w:t>Timeline</w:t>
            </w:r>
            <w:r>
              <w:rPr>
                <w:rFonts w:ascii="Calibri" w:eastAsia="Times New Roman" w:hAnsi="Calibri" w:cs="Calibri"/>
                <w:kern w:val="2"/>
                <w:sz w:val="18"/>
                <w:szCs w:val="18"/>
              </w:rPr>
              <w:t>:</w:t>
            </w:r>
            <w:r w:rsidR="00CF62B2">
              <w:rPr>
                <w:rFonts w:ascii="Calibri" w:eastAsia="Times New Roman" w:hAnsi="Calibri" w:cs="Calibri"/>
                <w:kern w:val="2"/>
                <w:sz w:val="18"/>
                <w:szCs w:val="18"/>
              </w:rPr>
              <w:t xml:space="preserve"> </w:t>
            </w:r>
            <w:r>
              <w:rPr>
                <w:rFonts w:ascii="Calibri" w:eastAsia="Times New Roman" w:hAnsi="Calibri" w:cs="Calibri"/>
                <w:kern w:val="2"/>
                <w:sz w:val="18"/>
                <w:szCs w:val="18"/>
              </w:rPr>
              <w:t>Ongoing</w:t>
            </w:r>
          </w:p>
        </w:tc>
      </w:tr>
      <w:tr w:rsidR="00FA7B39" w:rsidRPr="002015E9" w14:paraId="3460AEC0" w14:textId="77777777" w:rsidTr="3E195337">
        <w:trPr>
          <w:cantSplit/>
          <w:trHeight w:val="188"/>
        </w:trPr>
        <w:tc>
          <w:tcPr>
            <w:tcW w:w="125" w:type="pct"/>
            <w:tcBorders>
              <w:top w:val="single" w:sz="4" w:space="0" w:color="auto"/>
              <w:left w:val="single" w:sz="4" w:space="0" w:color="auto"/>
              <w:bottom w:val="single" w:sz="4" w:space="0" w:color="auto"/>
              <w:right w:val="single" w:sz="4" w:space="0" w:color="auto"/>
            </w:tcBorders>
            <w:shd w:val="clear" w:color="auto" w:fill="auto"/>
          </w:tcPr>
          <w:p w14:paraId="1309A4F0" w14:textId="22EE68E2"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9</w:t>
            </w:r>
          </w:p>
        </w:tc>
        <w:tc>
          <w:tcPr>
            <w:tcW w:w="156" w:type="pct"/>
            <w:tcBorders>
              <w:top w:val="single" w:sz="4" w:space="0" w:color="auto"/>
              <w:left w:val="nil"/>
              <w:bottom w:val="single" w:sz="4" w:space="0" w:color="auto"/>
              <w:right w:val="single" w:sz="4" w:space="0" w:color="auto"/>
            </w:tcBorders>
            <w:shd w:val="clear" w:color="auto" w:fill="auto"/>
          </w:tcPr>
          <w:p w14:paraId="74094255" w14:textId="3910B8D4" w:rsidR="00FA7B39" w:rsidRDefault="00FA7B39" w:rsidP="00FA7B39">
            <w:pPr>
              <w:jc w:val="center"/>
              <w:rPr>
                <w:rFonts w:ascii="Calibri" w:eastAsia="Times New Roman" w:hAnsi="Calibri" w:cs="Calibri"/>
                <w:bCs/>
                <w:kern w:val="2"/>
                <w:sz w:val="18"/>
                <w:szCs w:val="18"/>
              </w:rPr>
            </w:pPr>
            <w:r>
              <w:rPr>
                <w:rFonts w:ascii="Calibri" w:eastAsia="Times New Roman" w:hAnsi="Calibri" w:cs="Calibri"/>
                <w:bCs/>
                <w:kern w:val="2"/>
                <w:sz w:val="18"/>
                <w:szCs w:val="18"/>
              </w:rPr>
              <w:t>60</w:t>
            </w:r>
          </w:p>
        </w:tc>
        <w:tc>
          <w:tcPr>
            <w:tcW w:w="1084" w:type="pct"/>
            <w:tcBorders>
              <w:top w:val="single" w:sz="4" w:space="0" w:color="auto"/>
              <w:left w:val="nil"/>
              <w:bottom w:val="single" w:sz="4" w:space="0" w:color="auto"/>
              <w:right w:val="single" w:sz="4" w:space="0" w:color="auto"/>
            </w:tcBorders>
            <w:shd w:val="clear" w:color="auto" w:fill="auto"/>
          </w:tcPr>
          <w:p w14:paraId="2242AB18" w14:textId="16A10016" w:rsidR="00FA7B39" w:rsidRPr="002F6C56" w:rsidRDefault="00FA7B39" w:rsidP="00FA7B39">
            <w:pPr>
              <w:ind w:left="-21"/>
              <w:rPr>
                <w:rFonts w:ascii="Calibri" w:eastAsia="Times New Roman" w:hAnsi="Calibri" w:cs="Calibri"/>
                <w:kern w:val="2"/>
                <w:sz w:val="18"/>
                <w:szCs w:val="18"/>
              </w:rPr>
            </w:pPr>
            <w:r w:rsidRPr="00AB3BE8">
              <w:rPr>
                <w:sz w:val="18"/>
                <w:szCs w:val="18"/>
              </w:rPr>
              <w:t xml:space="preserve">Currently it is not possible to track the level of effort and time spent working on an </w:t>
            </w:r>
            <w:proofErr w:type="gramStart"/>
            <w:r w:rsidRPr="00AB3BE8">
              <w:rPr>
                <w:sz w:val="18"/>
                <w:szCs w:val="18"/>
              </w:rPr>
              <w:t>individual SOMAH applications</w:t>
            </w:r>
            <w:proofErr w:type="gramEnd"/>
            <w:r w:rsidRPr="00AB3BE8">
              <w:rPr>
                <w:sz w:val="18"/>
                <w:szCs w:val="18"/>
              </w:rPr>
              <w:t>. AEA is the only SOMAH PA member regularly including project application numbers or name within their timekeeping notes.</w:t>
            </w:r>
          </w:p>
        </w:tc>
        <w:tc>
          <w:tcPr>
            <w:tcW w:w="1667" w:type="pct"/>
            <w:tcBorders>
              <w:top w:val="single" w:sz="4" w:space="0" w:color="auto"/>
              <w:left w:val="nil"/>
              <w:bottom w:val="single" w:sz="4" w:space="0" w:color="auto"/>
              <w:right w:val="single" w:sz="4" w:space="0" w:color="auto"/>
            </w:tcBorders>
            <w:shd w:val="clear" w:color="auto" w:fill="auto"/>
          </w:tcPr>
          <w:p w14:paraId="72AA8711" w14:textId="6C9476DD" w:rsidR="00FA7B39" w:rsidRPr="00562262" w:rsidRDefault="00FA7B39" w:rsidP="00FA7B39">
            <w:pPr>
              <w:rPr>
                <w:rFonts w:ascii="Calibri" w:eastAsia="Times New Roman" w:hAnsi="Calibri" w:cs="Calibri"/>
                <w:kern w:val="2"/>
                <w:sz w:val="18"/>
                <w:szCs w:val="18"/>
              </w:rPr>
            </w:pPr>
            <w:r w:rsidRPr="00562262">
              <w:rPr>
                <w:sz w:val="18"/>
                <w:szCs w:val="18"/>
              </w:rPr>
              <w:t>Expand timekeeping notes to include SOMAH application numbers and ensure staff hours are billed to the appropriate tasks. Including this level of detail in SOMAH invoices would allow future assessment to</w:t>
            </w:r>
            <w:r w:rsidRPr="00562262">
              <w:rPr>
                <w:rFonts w:eastAsiaTheme="minorEastAsia"/>
                <w:color w:val="000000" w:themeColor="text1"/>
                <w:sz w:val="18"/>
                <w:szCs w:val="18"/>
              </w:rPr>
              <w:t xml:space="preserve"> better estimate the costs of</w:t>
            </w:r>
            <w:r w:rsidRPr="00562262">
              <w:rPr>
                <w:sz w:val="18"/>
                <w:szCs w:val="18"/>
              </w:rPr>
              <w:t xml:space="preserve"> processing applications. Additionally, accurately assessing spending requires </w:t>
            </w:r>
            <w:r w:rsidRPr="00562262">
              <w:rPr>
                <w:rFonts w:eastAsiaTheme="minorEastAsia"/>
                <w:color w:val="000000" w:themeColor="text1"/>
                <w:sz w:val="18"/>
                <w:szCs w:val="18"/>
              </w:rPr>
              <w:t xml:space="preserve">that </w:t>
            </w:r>
            <w:r w:rsidRPr="00562262">
              <w:rPr>
                <w:sz w:val="18"/>
                <w:szCs w:val="18"/>
              </w:rPr>
              <w:t>staff bill their time to a correct task, which was not always the case based on our</w:t>
            </w:r>
            <w:r w:rsidRPr="00562262" w:rsidDel="00B51334">
              <w:rPr>
                <w:sz w:val="18"/>
                <w:szCs w:val="18"/>
              </w:rPr>
              <w:t xml:space="preserve"> </w:t>
            </w:r>
            <w:r w:rsidRPr="00562262">
              <w:rPr>
                <w:sz w:val="18"/>
                <w:szCs w:val="18"/>
              </w:rPr>
              <w:t>detailed review of timekeeping notes.</w:t>
            </w:r>
          </w:p>
        </w:tc>
        <w:tc>
          <w:tcPr>
            <w:tcW w:w="241" w:type="pct"/>
            <w:tcBorders>
              <w:top w:val="single" w:sz="4" w:space="0" w:color="auto"/>
              <w:left w:val="nil"/>
              <w:bottom w:val="single" w:sz="4" w:space="0" w:color="auto"/>
              <w:right w:val="single" w:sz="4" w:space="0" w:color="auto"/>
            </w:tcBorders>
            <w:shd w:val="clear" w:color="auto" w:fill="FFF2CC" w:themeFill="accent4" w:themeFillTint="33"/>
          </w:tcPr>
          <w:p w14:paraId="130C7EBB" w14:textId="5F83E3FD" w:rsidR="00FA7B39" w:rsidRPr="003F18A9" w:rsidRDefault="29FC799D" w:rsidP="00FA7B39">
            <w:pPr>
              <w:jc w:val="center"/>
              <w:rPr>
                <w:rFonts w:ascii="Calibri" w:eastAsia="Times New Roman" w:hAnsi="Calibri" w:cs="Calibri"/>
                <w:kern w:val="2"/>
                <w:sz w:val="18"/>
                <w:szCs w:val="18"/>
              </w:rPr>
            </w:pPr>
            <w:r w:rsidRPr="29FC799D">
              <w:rPr>
                <w:rFonts w:ascii="Calibri" w:eastAsia="Times New Roman" w:hAnsi="Calibri" w:cs="Calibri"/>
                <w:sz w:val="18"/>
                <w:szCs w:val="18"/>
              </w:rPr>
              <w:t>Reject</w:t>
            </w:r>
          </w:p>
        </w:tc>
        <w:tc>
          <w:tcPr>
            <w:tcW w:w="1727" w:type="pct"/>
            <w:tcBorders>
              <w:top w:val="single" w:sz="4" w:space="0" w:color="auto"/>
              <w:left w:val="nil"/>
              <w:bottom w:val="single" w:sz="4" w:space="0" w:color="auto"/>
              <w:right w:val="single" w:sz="4" w:space="0" w:color="auto"/>
            </w:tcBorders>
            <w:shd w:val="clear" w:color="auto" w:fill="FFF2CC" w:themeFill="accent4" w:themeFillTint="33"/>
          </w:tcPr>
          <w:p w14:paraId="5929409E" w14:textId="1082CA1D" w:rsidR="00B523C8" w:rsidRDefault="00C976A2" w:rsidP="00FA7B39">
            <w:pPr>
              <w:ind w:left="-16"/>
              <w:rPr>
                <w:rFonts w:ascii="Calibri" w:eastAsia="Times New Roman" w:hAnsi="Calibri" w:cs="Calibri"/>
                <w:kern w:val="2"/>
                <w:sz w:val="18"/>
                <w:szCs w:val="18"/>
              </w:rPr>
            </w:pPr>
            <w:r>
              <w:rPr>
                <w:rFonts w:ascii="Calibri" w:eastAsia="Times New Roman" w:hAnsi="Calibri" w:cs="Calibri"/>
                <w:kern w:val="2"/>
                <w:sz w:val="18"/>
                <w:szCs w:val="18"/>
              </w:rPr>
              <w:t xml:space="preserve">Application </w:t>
            </w:r>
            <w:r w:rsidR="00C12FFC">
              <w:rPr>
                <w:rFonts w:ascii="Calibri" w:eastAsia="Times New Roman" w:hAnsi="Calibri" w:cs="Calibri"/>
                <w:kern w:val="2"/>
                <w:sz w:val="18"/>
                <w:szCs w:val="18"/>
              </w:rPr>
              <w:t>numbers are not relevant for every task, many of which are general/global in nature.</w:t>
            </w:r>
            <w:r w:rsidR="000513F0">
              <w:rPr>
                <w:rFonts w:ascii="Calibri" w:eastAsia="Times New Roman" w:hAnsi="Calibri" w:cs="Calibri"/>
                <w:kern w:val="2"/>
                <w:sz w:val="18"/>
                <w:szCs w:val="18"/>
              </w:rPr>
              <w:t xml:space="preserve"> </w:t>
            </w:r>
            <w:r w:rsidR="001F3E7A">
              <w:rPr>
                <w:rFonts w:ascii="Calibri" w:eastAsia="Times New Roman" w:hAnsi="Calibri" w:cs="Calibri"/>
                <w:kern w:val="2"/>
                <w:sz w:val="18"/>
                <w:szCs w:val="18"/>
              </w:rPr>
              <w:t xml:space="preserve">While many activities contribute to application processing in tangential ways, the SOMAH PA has a specific code for tracking </w:t>
            </w:r>
            <w:r w:rsidR="00CB3856">
              <w:rPr>
                <w:rFonts w:ascii="Calibri" w:eastAsia="Times New Roman" w:hAnsi="Calibri" w:cs="Calibri"/>
                <w:kern w:val="2"/>
                <w:sz w:val="18"/>
                <w:szCs w:val="18"/>
              </w:rPr>
              <w:t>“</w:t>
            </w:r>
            <w:r w:rsidR="001F3E7A">
              <w:rPr>
                <w:rFonts w:ascii="Calibri" w:eastAsia="Times New Roman" w:hAnsi="Calibri" w:cs="Calibri"/>
                <w:kern w:val="2"/>
                <w:sz w:val="18"/>
                <w:szCs w:val="18"/>
              </w:rPr>
              <w:t>Application Processing</w:t>
            </w:r>
            <w:r w:rsidR="00CB3856">
              <w:rPr>
                <w:rFonts w:ascii="Calibri" w:eastAsia="Times New Roman" w:hAnsi="Calibri" w:cs="Calibri"/>
                <w:kern w:val="2"/>
                <w:sz w:val="18"/>
                <w:szCs w:val="18"/>
              </w:rPr>
              <w:t>”</w:t>
            </w:r>
            <w:r w:rsidR="001F3E7A">
              <w:rPr>
                <w:rFonts w:ascii="Calibri" w:eastAsia="Times New Roman" w:hAnsi="Calibri" w:cs="Calibri"/>
                <w:kern w:val="2"/>
                <w:sz w:val="18"/>
                <w:szCs w:val="18"/>
              </w:rPr>
              <w:t xml:space="preserve"> with the intent for </w:t>
            </w:r>
            <w:r w:rsidR="0031459C">
              <w:rPr>
                <w:rFonts w:ascii="Calibri" w:eastAsia="Times New Roman" w:hAnsi="Calibri" w:cs="Calibri"/>
                <w:kern w:val="2"/>
                <w:sz w:val="18"/>
                <w:szCs w:val="18"/>
              </w:rPr>
              <w:t>specifying time spent</w:t>
            </w:r>
            <w:r w:rsidR="00CB3856">
              <w:rPr>
                <w:rFonts w:ascii="Calibri" w:eastAsia="Times New Roman" w:hAnsi="Calibri" w:cs="Calibri"/>
                <w:kern w:val="2"/>
                <w:sz w:val="18"/>
                <w:szCs w:val="18"/>
              </w:rPr>
              <w:t xml:space="preserve"> on the task</w:t>
            </w:r>
            <w:r w:rsidR="0031459C">
              <w:rPr>
                <w:rFonts w:ascii="Calibri" w:eastAsia="Times New Roman" w:hAnsi="Calibri" w:cs="Calibri"/>
                <w:kern w:val="2"/>
                <w:sz w:val="18"/>
                <w:szCs w:val="18"/>
              </w:rPr>
              <w:t xml:space="preserve">. </w:t>
            </w:r>
            <w:r w:rsidR="000F2E9E">
              <w:rPr>
                <w:rFonts w:ascii="Calibri" w:eastAsia="Times New Roman" w:hAnsi="Calibri" w:cs="Calibri"/>
                <w:kern w:val="2"/>
                <w:sz w:val="18"/>
                <w:szCs w:val="18"/>
              </w:rPr>
              <w:t>Time spent</w:t>
            </w:r>
            <w:r w:rsidR="00EB24C8">
              <w:rPr>
                <w:rFonts w:ascii="Calibri" w:eastAsia="Times New Roman" w:hAnsi="Calibri" w:cs="Calibri"/>
                <w:kern w:val="2"/>
                <w:sz w:val="18"/>
                <w:szCs w:val="18"/>
              </w:rPr>
              <w:t xml:space="preserve"> billing to “Application Processing”</w:t>
            </w:r>
            <w:r w:rsidR="000F2E9E">
              <w:rPr>
                <w:rFonts w:ascii="Calibri" w:eastAsia="Times New Roman" w:hAnsi="Calibri" w:cs="Calibri"/>
                <w:kern w:val="2"/>
                <w:sz w:val="18"/>
                <w:szCs w:val="18"/>
              </w:rPr>
              <w:t xml:space="preserve"> often covers multiple applications at the same time </w:t>
            </w:r>
            <w:r w:rsidR="00EB24C8">
              <w:rPr>
                <w:rFonts w:ascii="Calibri" w:eastAsia="Times New Roman" w:hAnsi="Calibri" w:cs="Calibri"/>
                <w:kern w:val="2"/>
                <w:sz w:val="18"/>
                <w:szCs w:val="18"/>
              </w:rPr>
              <w:t>and/</w:t>
            </w:r>
            <w:r w:rsidR="007551EE">
              <w:rPr>
                <w:rFonts w:ascii="Calibri" w:eastAsia="Times New Roman" w:hAnsi="Calibri" w:cs="Calibri"/>
                <w:kern w:val="2"/>
                <w:sz w:val="18"/>
                <w:szCs w:val="18"/>
              </w:rPr>
              <w:t xml:space="preserve">or may include support for general support application processing </w:t>
            </w:r>
            <w:r w:rsidR="00EB24C8">
              <w:rPr>
                <w:rFonts w:ascii="Calibri" w:eastAsia="Times New Roman" w:hAnsi="Calibri" w:cs="Calibri"/>
                <w:kern w:val="2"/>
                <w:sz w:val="18"/>
                <w:szCs w:val="18"/>
              </w:rPr>
              <w:t xml:space="preserve">tasks </w:t>
            </w:r>
            <w:r w:rsidR="007551EE">
              <w:rPr>
                <w:rFonts w:ascii="Calibri" w:eastAsia="Times New Roman" w:hAnsi="Calibri" w:cs="Calibri"/>
                <w:kern w:val="2"/>
                <w:sz w:val="18"/>
                <w:szCs w:val="18"/>
              </w:rPr>
              <w:t xml:space="preserve">like team application meetings, review of the application queue, and </w:t>
            </w:r>
            <w:r w:rsidR="001F2537">
              <w:rPr>
                <w:rFonts w:ascii="Calibri" w:eastAsia="Times New Roman" w:hAnsi="Calibri" w:cs="Calibri"/>
                <w:kern w:val="2"/>
                <w:sz w:val="18"/>
                <w:szCs w:val="18"/>
              </w:rPr>
              <w:t xml:space="preserve">portfolio calls with Contractors and/or Property Owners. </w:t>
            </w:r>
            <w:r w:rsidR="00977DFA">
              <w:rPr>
                <w:rFonts w:ascii="Calibri" w:eastAsia="Times New Roman" w:hAnsi="Calibri" w:cs="Calibri"/>
                <w:kern w:val="2"/>
                <w:sz w:val="18"/>
                <w:szCs w:val="18"/>
              </w:rPr>
              <w:t xml:space="preserve">Additionally, there are already notes for each billing entry, so there should be a considerable information accessible for evaluation. </w:t>
            </w:r>
            <w:r w:rsidR="00372A97">
              <w:rPr>
                <w:rFonts w:ascii="Calibri" w:eastAsia="Times New Roman" w:hAnsi="Calibri" w:cs="Calibri"/>
                <w:kern w:val="2"/>
                <w:sz w:val="18"/>
                <w:szCs w:val="18"/>
              </w:rPr>
              <w:t>In the PA’s opinion, a</w:t>
            </w:r>
            <w:r w:rsidR="00153120">
              <w:rPr>
                <w:rFonts w:ascii="Calibri" w:eastAsia="Times New Roman" w:hAnsi="Calibri" w:cs="Calibri"/>
                <w:kern w:val="2"/>
                <w:sz w:val="18"/>
                <w:szCs w:val="18"/>
              </w:rPr>
              <w:t>dding application</w:t>
            </w:r>
            <w:r w:rsidR="00757980">
              <w:rPr>
                <w:rFonts w:ascii="Calibri" w:eastAsia="Times New Roman" w:hAnsi="Calibri" w:cs="Calibri"/>
                <w:kern w:val="2"/>
                <w:sz w:val="18"/>
                <w:szCs w:val="18"/>
              </w:rPr>
              <w:t xml:space="preserve"> numbers </w:t>
            </w:r>
            <w:r w:rsidR="00372A97">
              <w:rPr>
                <w:rFonts w:ascii="Calibri" w:eastAsia="Times New Roman" w:hAnsi="Calibri" w:cs="Calibri"/>
                <w:kern w:val="2"/>
                <w:sz w:val="18"/>
                <w:szCs w:val="18"/>
              </w:rPr>
              <w:t xml:space="preserve">to billing notes </w:t>
            </w:r>
            <w:r w:rsidR="00757980">
              <w:rPr>
                <w:rFonts w:ascii="Calibri" w:eastAsia="Times New Roman" w:hAnsi="Calibri" w:cs="Calibri"/>
                <w:kern w:val="2"/>
                <w:sz w:val="18"/>
                <w:szCs w:val="18"/>
              </w:rPr>
              <w:t xml:space="preserve">will not improve the accuracy of billing, nor </w:t>
            </w:r>
            <w:r w:rsidR="00F84BDC">
              <w:rPr>
                <w:rFonts w:ascii="Calibri" w:eastAsia="Times New Roman" w:hAnsi="Calibri" w:cs="Calibri"/>
                <w:kern w:val="2"/>
                <w:sz w:val="18"/>
                <w:szCs w:val="18"/>
              </w:rPr>
              <w:t xml:space="preserve">will it </w:t>
            </w:r>
            <w:r w:rsidR="003314F6">
              <w:rPr>
                <w:rFonts w:ascii="Calibri" w:eastAsia="Times New Roman" w:hAnsi="Calibri" w:cs="Calibri"/>
                <w:kern w:val="2"/>
                <w:sz w:val="18"/>
                <w:szCs w:val="18"/>
              </w:rPr>
              <w:t>provide</w:t>
            </w:r>
            <w:r w:rsidR="00063B72">
              <w:rPr>
                <w:rFonts w:ascii="Calibri" w:eastAsia="Times New Roman" w:hAnsi="Calibri" w:cs="Calibri"/>
                <w:kern w:val="2"/>
                <w:sz w:val="18"/>
                <w:szCs w:val="18"/>
              </w:rPr>
              <w:t xml:space="preserve"> </w:t>
            </w:r>
            <w:r w:rsidR="00DF7DDE">
              <w:rPr>
                <w:rFonts w:ascii="Calibri" w:eastAsia="Times New Roman" w:hAnsi="Calibri" w:cs="Calibri"/>
                <w:kern w:val="2"/>
                <w:sz w:val="18"/>
                <w:szCs w:val="18"/>
              </w:rPr>
              <w:t xml:space="preserve">more discrete detail about </w:t>
            </w:r>
            <w:r w:rsidR="0088081A">
              <w:rPr>
                <w:rFonts w:ascii="Calibri" w:eastAsia="Times New Roman" w:hAnsi="Calibri" w:cs="Calibri"/>
                <w:kern w:val="2"/>
                <w:sz w:val="18"/>
                <w:szCs w:val="18"/>
              </w:rPr>
              <w:t xml:space="preserve">application </w:t>
            </w:r>
            <w:r w:rsidR="00DF7DDE">
              <w:rPr>
                <w:rFonts w:ascii="Calibri" w:eastAsia="Times New Roman" w:hAnsi="Calibri" w:cs="Calibri"/>
                <w:kern w:val="2"/>
                <w:sz w:val="18"/>
                <w:szCs w:val="18"/>
              </w:rPr>
              <w:t>processing</w:t>
            </w:r>
            <w:r w:rsidR="004438EA">
              <w:rPr>
                <w:rFonts w:ascii="Calibri" w:eastAsia="Times New Roman" w:hAnsi="Calibri" w:cs="Calibri"/>
                <w:kern w:val="2"/>
                <w:sz w:val="18"/>
                <w:szCs w:val="18"/>
              </w:rPr>
              <w:t xml:space="preserve"> times</w:t>
            </w:r>
            <w:r w:rsidR="002806E4">
              <w:rPr>
                <w:rFonts w:ascii="Calibri" w:eastAsia="Times New Roman" w:hAnsi="Calibri" w:cs="Calibri"/>
                <w:kern w:val="2"/>
                <w:sz w:val="18"/>
                <w:szCs w:val="18"/>
              </w:rPr>
              <w:t>.</w:t>
            </w:r>
            <w:r w:rsidR="004C33A3">
              <w:rPr>
                <w:rFonts w:ascii="Calibri" w:eastAsia="Times New Roman" w:hAnsi="Calibri" w:cs="Calibri"/>
                <w:kern w:val="2"/>
                <w:sz w:val="18"/>
                <w:szCs w:val="18"/>
              </w:rPr>
              <w:t xml:space="preserve"> </w:t>
            </w:r>
            <w:r w:rsidR="00CD7825">
              <w:rPr>
                <w:rFonts w:ascii="Calibri" w:eastAsia="Times New Roman" w:hAnsi="Calibri" w:cs="Calibri"/>
                <w:kern w:val="2"/>
                <w:sz w:val="18"/>
                <w:szCs w:val="18"/>
              </w:rPr>
              <w:t xml:space="preserve">It will, however, increase the PA’s timekeeping costs. </w:t>
            </w:r>
          </w:p>
          <w:p w14:paraId="6D743985" w14:textId="77777777" w:rsidR="00B523C8" w:rsidRDefault="00B523C8" w:rsidP="00FA7B39">
            <w:pPr>
              <w:ind w:left="-16"/>
              <w:rPr>
                <w:rFonts w:ascii="Calibri" w:eastAsia="Times New Roman" w:hAnsi="Calibri" w:cs="Calibri"/>
                <w:kern w:val="2"/>
                <w:sz w:val="18"/>
                <w:szCs w:val="18"/>
              </w:rPr>
            </w:pPr>
          </w:p>
          <w:p w14:paraId="6166809B" w14:textId="04906420" w:rsidR="00CD2A81" w:rsidRPr="003F18A9" w:rsidRDefault="004426FF" w:rsidP="00CF62B2">
            <w:pPr>
              <w:ind w:left="-16"/>
              <w:rPr>
                <w:rFonts w:ascii="Calibri" w:eastAsia="Times New Roman" w:hAnsi="Calibri" w:cs="Calibri"/>
                <w:kern w:val="2"/>
                <w:sz w:val="18"/>
                <w:szCs w:val="18"/>
              </w:rPr>
            </w:pPr>
            <w:r>
              <w:rPr>
                <w:rFonts w:ascii="Calibri" w:eastAsia="Times New Roman" w:hAnsi="Calibri" w:cs="Calibri"/>
                <w:kern w:val="2"/>
                <w:sz w:val="18"/>
                <w:szCs w:val="18"/>
              </w:rPr>
              <w:t>It is valuable to note that t</w:t>
            </w:r>
            <w:r w:rsidR="00C12FFC">
              <w:rPr>
                <w:rFonts w:ascii="Calibri" w:eastAsia="Times New Roman" w:hAnsi="Calibri" w:cs="Calibri"/>
                <w:kern w:val="2"/>
                <w:sz w:val="18"/>
                <w:szCs w:val="18"/>
              </w:rPr>
              <w:t>he SOMAH PA has also been cited as spending too much time and resources on timekeeping</w:t>
            </w:r>
            <w:r w:rsidR="00E40E22">
              <w:rPr>
                <w:rFonts w:ascii="Calibri" w:eastAsia="Times New Roman" w:hAnsi="Calibri" w:cs="Calibri"/>
                <w:kern w:val="2"/>
                <w:sz w:val="18"/>
                <w:szCs w:val="18"/>
              </w:rPr>
              <w:t xml:space="preserve"> (</w:t>
            </w:r>
            <w:r w:rsidR="00850872">
              <w:rPr>
                <w:rFonts w:ascii="Calibri" w:eastAsia="Times New Roman" w:hAnsi="Calibri" w:cs="Calibri"/>
                <w:kern w:val="2"/>
                <w:sz w:val="18"/>
                <w:szCs w:val="18"/>
              </w:rPr>
              <w:t xml:space="preserve">which </w:t>
            </w:r>
            <w:r w:rsidR="00D74336">
              <w:rPr>
                <w:rFonts w:ascii="Calibri" w:eastAsia="Times New Roman" w:hAnsi="Calibri" w:cs="Calibri"/>
                <w:kern w:val="2"/>
                <w:sz w:val="18"/>
                <w:szCs w:val="18"/>
              </w:rPr>
              <w:t>already includes specific billing notes for each entry</w:t>
            </w:r>
            <w:r w:rsidR="00E40E22">
              <w:rPr>
                <w:rFonts w:ascii="Calibri" w:eastAsia="Times New Roman" w:hAnsi="Calibri" w:cs="Calibri"/>
                <w:kern w:val="2"/>
                <w:sz w:val="18"/>
                <w:szCs w:val="18"/>
              </w:rPr>
              <w:t xml:space="preserve">), </w:t>
            </w:r>
            <w:r w:rsidR="00850872">
              <w:rPr>
                <w:rFonts w:ascii="Calibri" w:eastAsia="Times New Roman" w:hAnsi="Calibri" w:cs="Calibri"/>
                <w:kern w:val="2"/>
                <w:sz w:val="18"/>
                <w:szCs w:val="18"/>
              </w:rPr>
              <w:t xml:space="preserve">and the SOMAH PA </w:t>
            </w:r>
            <w:r w:rsidR="00E40E22">
              <w:rPr>
                <w:rFonts w:ascii="Calibri" w:eastAsia="Times New Roman" w:hAnsi="Calibri" w:cs="Calibri"/>
                <w:kern w:val="2"/>
                <w:sz w:val="18"/>
                <w:szCs w:val="18"/>
              </w:rPr>
              <w:t>has its</w:t>
            </w:r>
            <w:r w:rsidR="00D74336">
              <w:rPr>
                <w:rFonts w:ascii="Calibri" w:eastAsia="Times New Roman" w:hAnsi="Calibri" w:cs="Calibri"/>
                <w:kern w:val="2"/>
                <w:sz w:val="18"/>
                <w:szCs w:val="18"/>
              </w:rPr>
              <w:t xml:space="preserve"> own </w:t>
            </w:r>
            <w:r w:rsidR="008B7FC9">
              <w:rPr>
                <w:rFonts w:ascii="Calibri" w:eastAsia="Times New Roman" w:hAnsi="Calibri" w:cs="Calibri"/>
                <w:kern w:val="2"/>
                <w:sz w:val="18"/>
                <w:szCs w:val="18"/>
              </w:rPr>
              <w:t xml:space="preserve">timekeeping </w:t>
            </w:r>
            <w:r w:rsidR="00D74336">
              <w:rPr>
                <w:rFonts w:ascii="Calibri" w:eastAsia="Times New Roman" w:hAnsi="Calibri" w:cs="Calibri"/>
                <w:kern w:val="2"/>
                <w:sz w:val="18"/>
                <w:szCs w:val="18"/>
              </w:rPr>
              <w:t>billing category as well to support tracking and evaluation efforts</w:t>
            </w:r>
            <w:r w:rsidR="00C12FFC">
              <w:rPr>
                <w:rFonts w:ascii="Calibri" w:eastAsia="Times New Roman" w:hAnsi="Calibri" w:cs="Calibri"/>
                <w:kern w:val="2"/>
                <w:sz w:val="18"/>
                <w:szCs w:val="18"/>
              </w:rPr>
              <w:t xml:space="preserve">. </w:t>
            </w:r>
          </w:p>
        </w:tc>
      </w:tr>
    </w:tbl>
    <w:p w14:paraId="2E9212AB" w14:textId="7FD1F4E8" w:rsidR="005405FD" w:rsidRPr="002015E9" w:rsidRDefault="005405FD" w:rsidP="00A71C60">
      <w:pPr>
        <w:rPr>
          <w:rFonts w:ascii="Calibri" w:hAnsi="Calibri"/>
          <w:kern w:val="2"/>
        </w:rPr>
      </w:pPr>
    </w:p>
    <w:sectPr w:rsidR="005405FD" w:rsidRPr="002015E9" w:rsidSect="007106E9">
      <w:footerReference w:type="even" r:id="rId12"/>
      <w:footerReference w:type="default" r:id="rId13"/>
      <w:pgSz w:w="24480" w:h="158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058B" w14:textId="77777777" w:rsidR="00CE0BD7" w:rsidRDefault="00CE0BD7" w:rsidP="00193B5E">
      <w:r>
        <w:separator/>
      </w:r>
    </w:p>
  </w:endnote>
  <w:endnote w:type="continuationSeparator" w:id="0">
    <w:p w14:paraId="384C8832" w14:textId="77777777" w:rsidR="00CE0BD7" w:rsidRDefault="00CE0BD7" w:rsidP="00193B5E">
      <w:r>
        <w:continuationSeparator/>
      </w:r>
    </w:p>
  </w:endnote>
  <w:endnote w:type="continuationNotice" w:id="1">
    <w:p w14:paraId="1F4562F9" w14:textId="77777777" w:rsidR="00CE0BD7" w:rsidRDefault="00CE0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89F2" w14:textId="77777777" w:rsidR="003A4EC9" w:rsidRDefault="003A4EC9" w:rsidP="003A4EC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29D2D" w14:textId="77777777" w:rsidR="003A4EC9" w:rsidRDefault="003A4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0346" w14:textId="7716F7E5" w:rsidR="003A4EC9" w:rsidRDefault="003A4EC9" w:rsidP="003A4EC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171">
      <w:rPr>
        <w:rStyle w:val="PageNumber"/>
        <w:noProof/>
      </w:rPr>
      <w:t>1</w:t>
    </w:r>
    <w:r>
      <w:rPr>
        <w:rStyle w:val="PageNumber"/>
      </w:rPr>
      <w:fldChar w:fldCharType="end"/>
    </w:r>
  </w:p>
  <w:p w14:paraId="4E44A77B" w14:textId="77777777" w:rsidR="003A4EC9" w:rsidRDefault="003A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47DA" w14:textId="77777777" w:rsidR="00CE0BD7" w:rsidRDefault="00CE0BD7" w:rsidP="00193B5E">
      <w:r>
        <w:separator/>
      </w:r>
    </w:p>
  </w:footnote>
  <w:footnote w:type="continuationSeparator" w:id="0">
    <w:p w14:paraId="77B60C53" w14:textId="77777777" w:rsidR="00CE0BD7" w:rsidRDefault="00CE0BD7" w:rsidP="00193B5E">
      <w:r>
        <w:continuationSeparator/>
      </w:r>
    </w:p>
  </w:footnote>
  <w:footnote w:type="continuationNotice" w:id="1">
    <w:p w14:paraId="11E63AD7" w14:textId="77777777" w:rsidR="00CE0BD7" w:rsidRDefault="00CE0B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5B2AC96"/>
    <w:lvl w:ilvl="0">
      <w:start w:val="1"/>
      <w:numFmt w:val="bullet"/>
      <w:pStyle w:val="ListBullet2"/>
      <w:lvlText w:val="ꟷ"/>
      <w:lvlJc w:val="left"/>
      <w:pPr>
        <w:ind w:left="720" w:hanging="360"/>
      </w:pPr>
      <w:rPr>
        <w:rFonts w:ascii="Calibri" w:hAnsi="Calibri" w:hint="default"/>
        <w:b/>
        <w:i w:val="0"/>
        <w:color w:val="5B9BD5" w:themeColor="accent1"/>
        <w:sz w:val="22"/>
      </w:rPr>
    </w:lvl>
  </w:abstractNum>
  <w:abstractNum w:abstractNumId="1" w15:restartNumberingAfterBreak="0">
    <w:nsid w:val="FFFFFF89"/>
    <w:multiLevelType w:val="singleLevel"/>
    <w:tmpl w:val="AAF4EB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52F43"/>
    <w:multiLevelType w:val="hybridMultilevel"/>
    <w:tmpl w:val="79E48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07F2B"/>
    <w:multiLevelType w:val="hybridMultilevel"/>
    <w:tmpl w:val="DCD69F5E"/>
    <w:lvl w:ilvl="0" w:tplc="0EA080AC">
      <w:start w:val="1"/>
      <w:numFmt w:val="upperLetter"/>
      <w:lvlText w:val="%1."/>
      <w:lvlJc w:val="left"/>
      <w:pPr>
        <w:ind w:left="331" w:hanging="360"/>
      </w:pPr>
      <w:rPr>
        <w:rFonts w:eastAsiaTheme="minorHAnsi"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4" w15:restartNumberingAfterBreak="0">
    <w:nsid w:val="0B7364DF"/>
    <w:multiLevelType w:val="hybridMultilevel"/>
    <w:tmpl w:val="152C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31D07"/>
    <w:multiLevelType w:val="multilevel"/>
    <w:tmpl w:val="A63AA9C2"/>
    <w:lvl w:ilvl="0">
      <w:start w:val="1"/>
      <w:numFmt w:val="decimal"/>
      <w:lvlText w:val="(%1."/>
      <w:lvlJc w:val="left"/>
      <w:pPr>
        <w:ind w:left="360" w:hanging="360"/>
      </w:pPr>
      <w:rPr>
        <w:rFonts w:hint="default"/>
      </w:rPr>
    </w:lvl>
    <w:lvl w:ilvl="1">
      <w:start w:val="2"/>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6" w15:restartNumberingAfterBreak="0">
    <w:nsid w:val="118E1F95"/>
    <w:multiLevelType w:val="hybridMultilevel"/>
    <w:tmpl w:val="AC363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A401A"/>
    <w:multiLevelType w:val="hybridMultilevel"/>
    <w:tmpl w:val="C168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23331"/>
    <w:multiLevelType w:val="multilevel"/>
    <w:tmpl w:val="3E4C425E"/>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340" w:hanging="36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680" w:hanging="72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010" w:hanging="1080"/>
      </w:pPr>
      <w:rPr>
        <w:rFonts w:hint="default"/>
      </w:rPr>
    </w:lvl>
    <w:lvl w:ilvl="8">
      <w:start w:val="1"/>
      <w:numFmt w:val="decimal"/>
      <w:lvlText w:val="%1.%2.%3.%4.%5.%6.%7.%8.%9"/>
      <w:lvlJc w:val="left"/>
      <w:pPr>
        <w:ind w:left="1360" w:hanging="1440"/>
      </w:pPr>
      <w:rPr>
        <w:rFonts w:hint="default"/>
      </w:rPr>
    </w:lvl>
  </w:abstractNum>
  <w:abstractNum w:abstractNumId="9" w15:restartNumberingAfterBreak="0">
    <w:nsid w:val="1C396455"/>
    <w:multiLevelType w:val="multilevel"/>
    <w:tmpl w:val="B7744B38"/>
    <w:lvl w:ilvl="0">
      <w:start w:val="1"/>
      <w:numFmt w:val="decimal"/>
      <w:lvlText w:val="(%1."/>
      <w:lvlJc w:val="left"/>
      <w:pPr>
        <w:ind w:left="380" w:hanging="380"/>
      </w:pPr>
      <w:rPr>
        <w:rFonts w:hint="default"/>
      </w:rPr>
    </w:lvl>
    <w:lvl w:ilvl="1">
      <w:start w:val="1"/>
      <w:numFmt w:val="decimal"/>
      <w:lvlText w:val="(%1.%2)"/>
      <w:lvlJc w:val="left"/>
      <w:pPr>
        <w:ind w:left="370" w:hanging="38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0" w15:restartNumberingAfterBreak="0">
    <w:nsid w:val="1E7D6ADF"/>
    <w:multiLevelType w:val="multilevel"/>
    <w:tmpl w:val="7FAED044"/>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1" w15:restartNumberingAfterBreak="0">
    <w:nsid w:val="1F535F30"/>
    <w:multiLevelType w:val="multilevel"/>
    <w:tmpl w:val="01185DEA"/>
    <w:lvl w:ilvl="0">
      <w:start w:val="1"/>
      <w:numFmt w:val="decimal"/>
      <w:lvlText w:val="(%1."/>
      <w:lvlJc w:val="left"/>
      <w:pPr>
        <w:ind w:left="360" w:hanging="360"/>
      </w:pPr>
      <w:rPr>
        <w:rFonts w:hint="default"/>
      </w:rPr>
    </w:lvl>
    <w:lvl w:ilvl="1">
      <w:start w:val="1"/>
      <w:numFmt w:val="decimal"/>
      <w:lvlText w:val="(%1.%2)"/>
      <w:lvlJc w:val="left"/>
      <w:pPr>
        <w:ind w:left="344" w:hanging="360"/>
      </w:pPr>
      <w:rPr>
        <w:rFonts w:hint="default"/>
      </w:rPr>
    </w:lvl>
    <w:lvl w:ilvl="2">
      <w:start w:val="1"/>
      <w:numFmt w:val="decimal"/>
      <w:lvlText w:val="(%1.%2)%3."/>
      <w:lvlJc w:val="left"/>
      <w:pPr>
        <w:ind w:left="688" w:hanging="720"/>
      </w:pPr>
      <w:rPr>
        <w:rFonts w:hint="default"/>
      </w:rPr>
    </w:lvl>
    <w:lvl w:ilvl="3">
      <w:start w:val="1"/>
      <w:numFmt w:val="decimal"/>
      <w:lvlText w:val="(%1.%2)%3.%4."/>
      <w:lvlJc w:val="left"/>
      <w:pPr>
        <w:ind w:left="67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000" w:hanging="1080"/>
      </w:pPr>
      <w:rPr>
        <w:rFonts w:hint="default"/>
      </w:rPr>
    </w:lvl>
    <w:lvl w:ilvl="6">
      <w:start w:val="1"/>
      <w:numFmt w:val="decimal"/>
      <w:lvlText w:val="(%1.%2)%3.%4.%5.%6.%7."/>
      <w:lvlJc w:val="left"/>
      <w:pPr>
        <w:ind w:left="984" w:hanging="1080"/>
      </w:pPr>
      <w:rPr>
        <w:rFonts w:hint="default"/>
      </w:rPr>
    </w:lvl>
    <w:lvl w:ilvl="7">
      <w:start w:val="1"/>
      <w:numFmt w:val="decimal"/>
      <w:lvlText w:val="(%1.%2)%3.%4.%5.%6.%7.%8."/>
      <w:lvlJc w:val="left"/>
      <w:pPr>
        <w:ind w:left="1328" w:hanging="1440"/>
      </w:pPr>
      <w:rPr>
        <w:rFonts w:hint="default"/>
      </w:rPr>
    </w:lvl>
    <w:lvl w:ilvl="8">
      <w:start w:val="1"/>
      <w:numFmt w:val="decimal"/>
      <w:lvlText w:val="(%1.%2)%3.%4.%5.%6.%7.%8.%9."/>
      <w:lvlJc w:val="left"/>
      <w:pPr>
        <w:ind w:left="1312" w:hanging="1440"/>
      </w:pPr>
      <w:rPr>
        <w:rFonts w:hint="default"/>
      </w:rPr>
    </w:lvl>
  </w:abstractNum>
  <w:abstractNum w:abstractNumId="12" w15:restartNumberingAfterBreak="0">
    <w:nsid w:val="24E8106C"/>
    <w:multiLevelType w:val="multilevel"/>
    <w:tmpl w:val="678260A6"/>
    <w:lvl w:ilvl="0">
      <w:start w:val="1"/>
      <w:numFmt w:val="decimal"/>
      <w:lvlText w:val="(%1."/>
      <w:lvlJc w:val="left"/>
      <w:pPr>
        <w:ind w:left="360" w:hanging="360"/>
      </w:pPr>
      <w:rPr>
        <w:rFonts w:hint="default"/>
      </w:rPr>
    </w:lvl>
    <w:lvl w:ilvl="1">
      <w:start w:val="1"/>
      <w:numFmt w:val="decimal"/>
      <w:lvlText w:val="(%1.%2)"/>
      <w:lvlJc w:val="left"/>
      <w:pPr>
        <w:ind w:left="338" w:hanging="360"/>
      </w:pPr>
      <w:rPr>
        <w:rFonts w:hint="default"/>
        <w:b w:val="0"/>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948" w:hanging="108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264" w:hanging="1440"/>
      </w:pPr>
      <w:rPr>
        <w:rFonts w:hint="default"/>
      </w:rPr>
    </w:lvl>
  </w:abstractNum>
  <w:abstractNum w:abstractNumId="13" w15:restartNumberingAfterBreak="0">
    <w:nsid w:val="2BDC49F7"/>
    <w:multiLevelType w:val="multilevel"/>
    <w:tmpl w:val="5DACF0A8"/>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4" w15:restartNumberingAfterBreak="0">
    <w:nsid w:val="2D4D2566"/>
    <w:multiLevelType w:val="hybridMultilevel"/>
    <w:tmpl w:val="83D86C0E"/>
    <w:lvl w:ilvl="0" w:tplc="E0F26580">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F9A6ABD"/>
    <w:multiLevelType w:val="multilevel"/>
    <w:tmpl w:val="5DACF0A8"/>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6" w15:restartNumberingAfterBreak="0">
    <w:nsid w:val="309A32ED"/>
    <w:multiLevelType w:val="hybridMultilevel"/>
    <w:tmpl w:val="5CB649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734FA7"/>
    <w:multiLevelType w:val="multilevel"/>
    <w:tmpl w:val="5DACF0A8"/>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8" w15:restartNumberingAfterBreak="0">
    <w:nsid w:val="48577A3D"/>
    <w:multiLevelType w:val="hybridMultilevel"/>
    <w:tmpl w:val="79E48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C3DEA"/>
    <w:multiLevelType w:val="multilevel"/>
    <w:tmpl w:val="AC363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2809A3"/>
    <w:multiLevelType w:val="multilevel"/>
    <w:tmpl w:val="C892222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79062E"/>
    <w:multiLevelType w:val="multilevel"/>
    <w:tmpl w:val="7FAED044"/>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2" w15:restartNumberingAfterBreak="0">
    <w:nsid w:val="5EF7727A"/>
    <w:multiLevelType w:val="multilevel"/>
    <w:tmpl w:val="5DACF0A8"/>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23" w15:restartNumberingAfterBreak="0">
    <w:nsid w:val="617925E4"/>
    <w:multiLevelType w:val="hybridMultilevel"/>
    <w:tmpl w:val="8778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9573C"/>
    <w:multiLevelType w:val="hybridMultilevel"/>
    <w:tmpl w:val="F3D27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58FC"/>
    <w:multiLevelType w:val="hybridMultilevel"/>
    <w:tmpl w:val="16D2F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2752D"/>
    <w:multiLevelType w:val="hybridMultilevel"/>
    <w:tmpl w:val="B97A1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365D7"/>
    <w:multiLevelType w:val="hybridMultilevel"/>
    <w:tmpl w:val="73AE4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934501">
    <w:abstractNumId w:val="7"/>
  </w:num>
  <w:num w:numId="2" w16cid:durableId="224921583">
    <w:abstractNumId w:val="26"/>
  </w:num>
  <w:num w:numId="3" w16cid:durableId="1997956930">
    <w:abstractNumId w:val="27"/>
  </w:num>
  <w:num w:numId="4" w16cid:durableId="799810855">
    <w:abstractNumId w:val="23"/>
  </w:num>
  <w:num w:numId="5" w16cid:durableId="1186139752">
    <w:abstractNumId w:val="6"/>
  </w:num>
  <w:num w:numId="6" w16cid:durableId="600913498">
    <w:abstractNumId w:val="19"/>
  </w:num>
  <w:num w:numId="7" w16cid:durableId="205684603">
    <w:abstractNumId w:val="16"/>
  </w:num>
  <w:num w:numId="8" w16cid:durableId="1304579302">
    <w:abstractNumId w:val="25"/>
  </w:num>
  <w:num w:numId="9" w16cid:durableId="1534883077">
    <w:abstractNumId w:val="24"/>
  </w:num>
  <w:num w:numId="10" w16cid:durableId="1247961671">
    <w:abstractNumId w:val="15"/>
  </w:num>
  <w:num w:numId="11" w16cid:durableId="760493634">
    <w:abstractNumId w:val="12"/>
  </w:num>
  <w:num w:numId="12" w16cid:durableId="1464038673">
    <w:abstractNumId w:val="11"/>
  </w:num>
  <w:num w:numId="13" w16cid:durableId="841896279">
    <w:abstractNumId w:val="8"/>
  </w:num>
  <w:num w:numId="14" w16cid:durableId="1439449424">
    <w:abstractNumId w:val="5"/>
  </w:num>
  <w:num w:numId="15" w16cid:durableId="644747920">
    <w:abstractNumId w:val="13"/>
  </w:num>
  <w:num w:numId="16" w16cid:durableId="127675019">
    <w:abstractNumId w:val="10"/>
  </w:num>
  <w:num w:numId="17" w16cid:durableId="837619366">
    <w:abstractNumId w:val="21"/>
  </w:num>
  <w:num w:numId="18" w16cid:durableId="2034912753">
    <w:abstractNumId w:val="20"/>
  </w:num>
  <w:num w:numId="19" w16cid:durableId="92016897">
    <w:abstractNumId w:val="4"/>
  </w:num>
  <w:num w:numId="20" w16cid:durableId="145434244">
    <w:abstractNumId w:val="17"/>
  </w:num>
  <w:num w:numId="21" w16cid:durableId="1573855433">
    <w:abstractNumId w:val="22"/>
  </w:num>
  <w:num w:numId="22" w16cid:durableId="858931486">
    <w:abstractNumId w:val="9"/>
  </w:num>
  <w:num w:numId="23" w16cid:durableId="276373173">
    <w:abstractNumId w:val="3"/>
  </w:num>
  <w:num w:numId="24" w16cid:durableId="1999769459">
    <w:abstractNumId w:val="0"/>
  </w:num>
  <w:num w:numId="25" w16cid:durableId="1536194394">
    <w:abstractNumId w:val="1"/>
  </w:num>
  <w:num w:numId="26" w16cid:durableId="708380059">
    <w:abstractNumId w:val="18"/>
  </w:num>
  <w:num w:numId="27" w16cid:durableId="263267694">
    <w:abstractNumId w:val="14"/>
  </w:num>
  <w:num w:numId="28" w16cid:durableId="199028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19"/>
    <w:rsid w:val="000046FC"/>
    <w:rsid w:val="00004CEC"/>
    <w:rsid w:val="00005381"/>
    <w:rsid w:val="00010D98"/>
    <w:rsid w:val="000159ED"/>
    <w:rsid w:val="000256DE"/>
    <w:rsid w:val="00025DC3"/>
    <w:rsid w:val="00026A35"/>
    <w:rsid w:val="00034144"/>
    <w:rsid w:val="000410A4"/>
    <w:rsid w:val="0004173B"/>
    <w:rsid w:val="00042445"/>
    <w:rsid w:val="000513F0"/>
    <w:rsid w:val="000561D3"/>
    <w:rsid w:val="00057C97"/>
    <w:rsid w:val="00060F73"/>
    <w:rsid w:val="00062171"/>
    <w:rsid w:val="000633B7"/>
    <w:rsid w:val="00063B72"/>
    <w:rsid w:val="00063EE5"/>
    <w:rsid w:val="000658DB"/>
    <w:rsid w:val="00066FFD"/>
    <w:rsid w:val="000734C2"/>
    <w:rsid w:val="000763DB"/>
    <w:rsid w:val="000777E9"/>
    <w:rsid w:val="00080F79"/>
    <w:rsid w:val="000818B9"/>
    <w:rsid w:val="000841D4"/>
    <w:rsid w:val="000860BF"/>
    <w:rsid w:val="00092844"/>
    <w:rsid w:val="00095506"/>
    <w:rsid w:val="000A2719"/>
    <w:rsid w:val="000A2BF9"/>
    <w:rsid w:val="000A308E"/>
    <w:rsid w:val="000B0040"/>
    <w:rsid w:val="000B1171"/>
    <w:rsid w:val="000B5F8F"/>
    <w:rsid w:val="000C0BB6"/>
    <w:rsid w:val="000C1564"/>
    <w:rsid w:val="000C4E23"/>
    <w:rsid w:val="000C5A3D"/>
    <w:rsid w:val="000D2E5E"/>
    <w:rsid w:val="000D2F37"/>
    <w:rsid w:val="000D4DB4"/>
    <w:rsid w:val="000D53CC"/>
    <w:rsid w:val="000E328E"/>
    <w:rsid w:val="000E6FA9"/>
    <w:rsid w:val="000E70C8"/>
    <w:rsid w:val="000F23B0"/>
    <w:rsid w:val="000F2E9E"/>
    <w:rsid w:val="000F7465"/>
    <w:rsid w:val="00100E58"/>
    <w:rsid w:val="00103639"/>
    <w:rsid w:val="00104375"/>
    <w:rsid w:val="00104DA3"/>
    <w:rsid w:val="0010570D"/>
    <w:rsid w:val="00105CF5"/>
    <w:rsid w:val="00106512"/>
    <w:rsid w:val="00111010"/>
    <w:rsid w:val="00112AC5"/>
    <w:rsid w:val="0011552E"/>
    <w:rsid w:val="00121062"/>
    <w:rsid w:val="00122CC8"/>
    <w:rsid w:val="00123421"/>
    <w:rsid w:val="00124F58"/>
    <w:rsid w:val="00125A26"/>
    <w:rsid w:val="0012659F"/>
    <w:rsid w:val="001303F8"/>
    <w:rsid w:val="00130E1A"/>
    <w:rsid w:val="00135725"/>
    <w:rsid w:val="0013623C"/>
    <w:rsid w:val="00137467"/>
    <w:rsid w:val="00147BCE"/>
    <w:rsid w:val="00153120"/>
    <w:rsid w:val="0016074A"/>
    <w:rsid w:val="00160FDA"/>
    <w:rsid w:val="00161D06"/>
    <w:rsid w:val="00161E23"/>
    <w:rsid w:val="00164787"/>
    <w:rsid w:val="0016790F"/>
    <w:rsid w:val="00170C5D"/>
    <w:rsid w:val="00174A79"/>
    <w:rsid w:val="00175F6E"/>
    <w:rsid w:val="0017768D"/>
    <w:rsid w:val="00177B76"/>
    <w:rsid w:val="0018002C"/>
    <w:rsid w:val="0018228E"/>
    <w:rsid w:val="00182965"/>
    <w:rsid w:val="00185A96"/>
    <w:rsid w:val="00187347"/>
    <w:rsid w:val="0019375A"/>
    <w:rsid w:val="00193B5E"/>
    <w:rsid w:val="00197275"/>
    <w:rsid w:val="0019728C"/>
    <w:rsid w:val="001A1A03"/>
    <w:rsid w:val="001A33A5"/>
    <w:rsid w:val="001B1590"/>
    <w:rsid w:val="001C6956"/>
    <w:rsid w:val="001D25BE"/>
    <w:rsid w:val="001D43D2"/>
    <w:rsid w:val="001D5803"/>
    <w:rsid w:val="001D7C78"/>
    <w:rsid w:val="001E1C99"/>
    <w:rsid w:val="001E2843"/>
    <w:rsid w:val="001E3807"/>
    <w:rsid w:val="001F0560"/>
    <w:rsid w:val="001F190E"/>
    <w:rsid w:val="001F2293"/>
    <w:rsid w:val="001F2537"/>
    <w:rsid w:val="001F260D"/>
    <w:rsid w:val="001F3E7A"/>
    <w:rsid w:val="001F49DB"/>
    <w:rsid w:val="001F5446"/>
    <w:rsid w:val="001F5B0A"/>
    <w:rsid w:val="001F7965"/>
    <w:rsid w:val="0020049F"/>
    <w:rsid w:val="00200AE2"/>
    <w:rsid w:val="002015E9"/>
    <w:rsid w:val="00203CCE"/>
    <w:rsid w:val="00203D53"/>
    <w:rsid w:val="00204294"/>
    <w:rsid w:val="00205457"/>
    <w:rsid w:val="002117E7"/>
    <w:rsid w:val="002121AE"/>
    <w:rsid w:val="00213193"/>
    <w:rsid w:val="00213CDF"/>
    <w:rsid w:val="00215B3B"/>
    <w:rsid w:val="00215E79"/>
    <w:rsid w:val="002221B6"/>
    <w:rsid w:val="00223E57"/>
    <w:rsid w:val="00226528"/>
    <w:rsid w:val="00233164"/>
    <w:rsid w:val="00234D95"/>
    <w:rsid w:val="002365D9"/>
    <w:rsid w:val="002440BA"/>
    <w:rsid w:val="00244E79"/>
    <w:rsid w:val="0024785C"/>
    <w:rsid w:val="00247F2B"/>
    <w:rsid w:val="00251FC3"/>
    <w:rsid w:val="00253B96"/>
    <w:rsid w:val="00256EC0"/>
    <w:rsid w:val="00260482"/>
    <w:rsid w:val="002663DB"/>
    <w:rsid w:val="00267A97"/>
    <w:rsid w:val="00270BA5"/>
    <w:rsid w:val="0027142C"/>
    <w:rsid w:val="00276B32"/>
    <w:rsid w:val="00277A13"/>
    <w:rsid w:val="00277B95"/>
    <w:rsid w:val="002806E4"/>
    <w:rsid w:val="002809C4"/>
    <w:rsid w:val="00281CEC"/>
    <w:rsid w:val="00282B60"/>
    <w:rsid w:val="00283436"/>
    <w:rsid w:val="00284E57"/>
    <w:rsid w:val="00284F63"/>
    <w:rsid w:val="00285989"/>
    <w:rsid w:val="002866F5"/>
    <w:rsid w:val="00286811"/>
    <w:rsid w:val="00287CBB"/>
    <w:rsid w:val="0029255F"/>
    <w:rsid w:val="00294E11"/>
    <w:rsid w:val="00294FEE"/>
    <w:rsid w:val="00297410"/>
    <w:rsid w:val="002A1228"/>
    <w:rsid w:val="002A2A28"/>
    <w:rsid w:val="002A5D0A"/>
    <w:rsid w:val="002A6A28"/>
    <w:rsid w:val="002B26C0"/>
    <w:rsid w:val="002B3AB0"/>
    <w:rsid w:val="002B6236"/>
    <w:rsid w:val="002B739C"/>
    <w:rsid w:val="002C0B83"/>
    <w:rsid w:val="002C2707"/>
    <w:rsid w:val="002C341A"/>
    <w:rsid w:val="002C5086"/>
    <w:rsid w:val="002D0573"/>
    <w:rsid w:val="002D420F"/>
    <w:rsid w:val="002D6E67"/>
    <w:rsid w:val="002E01F1"/>
    <w:rsid w:val="002E242F"/>
    <w:rsid w:val="002E305F"/>
    <w:rsid w:val="002E3A10"/>
    <w:rsid w:val="002E3C7A"/>
    <w:rsid w:val="002E4DB5"/>
    <w:rsid w:val="002F0839"/>
    <w:rsid w:val="002F0EB6"/>
    <w:rsid w:val="002F1A62"/>
    <w:rsid w:val="002F1C35"/>
    <w:rsid w:val="002F3556"/>
    <w:rsid w:val="002F45CA"/>
    <w:rsid w:val="002F4B77"/>
    <w:rsid w:val="002F6C56"/>
    <w:rsid w:val="003010D0"/>
    <w:rsid w:val="0031459C"/>
    <w:rsid w:val="0032713D"/>
    <w:rsid w:val="003314F6"/>
    <w:rsid w:val="003329E6"/>
    <w:rsid w:val="00337120"/>
    <w:rsid w:val="00340BB9"/>
    <w:rsid w:val="00342246"/>
    <w:rsid w:val="0034599A"/>
    <w:rsid w:val="00347E4D"/>
    <w:rsid w:val="00354508"/>
    <w:rsid w:val="00356C8E"/>
    <w:rsid w:val="0035701B"/>
    <w:rsid w:val="00361904"/>
    <w:rsid w:val="00370367"/>
    <w:rsid w:val="00371B66"/>
    <w:rsid w:val="00372A97"/>
    <w:rsid w:val="00373435"/>
    <w:rsid w:val="003741EF"/>
    <w:rsid w:val="00377118"/>
    <w:rsid w:val="0038360C"/>
    <w:rsid w:val="00383942"/>
    <w:rsid w:val="00385DD2"/>
    <w:rsid w:val="003866EA"/>
    <w:rsid w:val="0038674B"/>
    <w:rsid w:val="003876F8"/>
    <w:rsid w:val="0039462F"/>
    <w:rsid w:val="0039555A"/>
    <w:rsid w:val="00397C21"/>
    <w:rsid w:val="003A0A0F"/>
    <w:rsid w:val="003A3DA8"/>
    <w:rsid w:val="003A3DF7"/>
    <w:rsid w:val="003A3F03"/>
    <w:rsid w:val="003A44D7"/>
    <w:rsid w:val="003A4EC9"/>
    <w:rsid w:val="003A5326"/>
    <w:rsid w:val="003B075F"/>
    <w:rsid w:val="003B1041"/>
    <w:rsid w:val="003B10FA"/>
    <w:rsid w:val="003B168C"/>
    <w:rsid w:val="003B626C"/>
    <w:rsid w:val="003D00C2"/>
    <w:rsid w:val="003D09CB"/>
    <w:rsid w:val="003D33D5"/>
    <w:rsid w:val="003D5A97"/>
    <w:rsid w:val="003D658A"/>
    <w:rsid w:val="003F0EA6"/>
    <w:rsid w:val="003F18A9"/>
    <w:rsid w:val="003F1EC9"/>
    <w:rsid w:val="003F360D"/>
    <w:rsid w:val="003F3802"/>
    <w:rsid w:val="004019DC"/>
    <w:rsid w:val="004054D5"/>
    <w:rsid w:val="00405A76"/>
    <w:rsid w:val="004101F4"/>
    <w:rsid w:val="0041148F"/>
    <w:rsid w:val="00411C61"/>
    <w:rsid w:val="00413296"/>
    <w:rsid w:val="0041412C"/>
    <w:rsid w:val="00415BDE"/>
    <w:rsid w:val="00416DF4"/>
    <w:rsid w:val="0042256C"/>
    <w:rsid w:val="00425A9A"/>
    <w:rsid w:val="004279E5"/>
    <w:rsid w:val="00440A48"/>
    <w:rsid w:val="004426FF"/>
    <w:rsid w:val="004438EA"/>
    <w:rsid w:val="00443C18"/>
    <w:rsid w:val="00444DDC"/>
    <w:rsid w:val="00446C34"/>
    <w:rsid w:val="00453C64"/>
    <w:rsid w:val="00454CE5"/>
    <w:rsid w:val="00465AAB"/>
    <w:rsid w:val="00473730"/>
    <w:rsid w:val="0047586B"/>
    <w:rsid w:val="004760E8"/>
    <w:rsid w:val="00477246"/>
    <w:rsid w:val="00486C17"/>
    <w:rsid w:val="00486DE2"/>
    <w:rsid w:val="004906B3"/>
    <w:rsid w:val="00492BA6"/>
    <w:rsid w:val="00493295"/>
    <w:rsid w:val="004A34A5"/>
    <w:rsid w:val="004B3EFF"/>
    <w:rsid w:val="004B40EB"/>
    <w:rsid w:val="004B5998"/>
    <w:rsid w:val="004C3380"/>
    <w:rsid w:val="004C33A3"/>
    <w:rsid w:val="004C5C23"/>
    <w:rsid w:val="004C6093"/>
    <w:rsid w:val="004C614D"/>
    <w:rsid w:val="004D10E5"/>
    <w:rsid w:val="004D2976"/>
    <w:rsid w:val="004D507B"/>
    <w:rsid w:val="004D620B"/>
    <w:rsid w:val="004E0E19"/>
    <w:rsid w:val="004E15A3"/>
    <w:rsid w:val="004E214D"/>
    <w:rsid w:val="004E2709"/>
    <w:rsid w:val="004E6969"/>
    <w:rsid w:val="004F019F"/>
    <w:rsid w:val="004F7765"/>
    <w:rsid w:val="005050E2"/>
    <w:rsid w:val="0051113F"/>
    <w:rsid w:val="0051205F"/>
    <w:rsid w:val="00512F5E"/>
    <w:rsid w:val="005154EF"/>
    <w:rsid w:val="005155AF"/>
    <w:rsid w:val="00521B36"/>
    <w:rsid w:val="00521E08"/>
    <w:rsid w:val="005249B0"/>
    <w:rsid w:val="00525D18"/>
    <w:rsid w:val="00527C7D"/>
    <w:rsid w:val="0053031C"/>
    <w:rsid w:val="005340FE"/>
    <w:rsid w:val="005343DF"/>
    <w:rsid w:val="00536908"/>
    <w:rsid w:val="00537296"/>
    <w:rsid w:val="0054012B"/>
    <w:rsid w:val="005405FD"/>
    <w:rsid w:val="005407DC"/>
    <w:rsid w:val="005416F9"/>
    <w:rsid w:val="00543C47"/>
    <w:rsid w:val="00543CC0"/>
    <w:rsid w:val="00547DC2"/>
    <w:rsid w:val="00552C91"/>
    <w:rsid w:val="00553138"/>
    <w:rsid w:val="00553AF5"/>
    <w:rsid w:val="00562262"/>
    <w:rsid w:val="005637FC"/>
    <w:rsid w:val="00570ADA"/>
    <w:rsid w:val="0057500C"/>
    <w:rsid w:val="0057659A"/>
    <w:rsid w:val="005812EC"/>
    <w:rsid w:val="00581978"/>
    <w:rsid w:val="00582F74"/>
    <w:rsid w:val="00584BE4"/>
    <w:rsid w:val="00584D24"/>
    <w:rsid w:val="005856CE"/>
    <w:rsid w:val="0058675F"/>
    <w:rsid w:val="00586A40"/>
    <w:rsid w:val="005932B5"/>
    <w:rsid w:val="00595407"/>
    <w:rsid w:val="005A050F"/>
    <w:rsid w:val="005A1514"/>
    <w:rsid w:val="005A1694"/>
    <w:rsid w:val="005B2320"/>
    <w:rsid w:val="005B3735"/>
    <w:rsid w:val="005B4B81"/>
    <w:rsid w:val="005B5E1B"/>
    <w:rsid w:val="005C400C"/>
    <w:rsid w:val="005C4717"/>
    <w:rsid w:val="005C5D9B"/>
    <w:rsid w:val="005C60A7"/>
    <w:rsid w:val="005C7149"/>
    <w:rsid w:val="005D3B3D"/>
    <w:rsid w:val="005D5004"/>
    <w:rsid w:val="005D6C65"/>
    <w:rsid w:val="005D7C5C"/>
    <w:rsid w:val="005E1D16"/>
    <w:rsid w:val="005E3EC6"/>
    <w:rsid w:val="005E5A93"/>
    <w:rsid w:val="005F3F80"/>
    <w:rsid w:val="005F61B6"/>
    <w:rsid w:val="006012C2"/>
    <w:rsid w:val="00610821"/>
    <w:rsid w:val="00614734"/>
    <w:rsid w:val="006154D9"/>
    <w:rsid w:val="006178D3"/>
    <w:rsid w:val="00620D8C"/>
    <w:rsid w:val="00620E60"/>
    <w:rsid w:val="00621A84"/>
    <w:rsid w:val="00623ED5"/>
    <w:rsid w:val="00625577"/>
    <w:rsid w:val="00627CE2"/>
    <w:rsid w:val="0063263A"/>
    <w:rsid w:val="00632831"/>
    <w:rsid w:val="00640472"/>
    <w:rsid w:val="006416ED"/>
    <w:rsid w:val="006450B2"/>
    <w:rsid w:val="0064525F"/>
    <w:rsid w:val="00647042"/>
    <w:rsid w:val="006513AC"/>
    <w:rsid w:val="006571A5"/>
    <w:rsid w:val="0065742F"/>
    <w:rsid w:val="00664103"/>
    <w:rsid w:val="006649ED"/>
    <w:rsid w:val="00665AB8"/>
    <w:rsid w:val="00666BE9"/>
    <w:rsid w:val="00667E9B"/>
    <w:rsid w:val="00670244"/>
    <w:rsid w:val="00674AC3"/>
    <w:rsid w:val="00674BFD"/>
    <w:rsid w:val="00675081"/>
    <w:rsid w:val="00680029"/>
    <w:rsid w:val="0068022B"/>
    <w:rsid w:val="00695EDB"/>
    <w:rsid w:val="00696ED1"/>
    <w:rsid w:val="006A1057"/>
    <w:rsid w:val="006A1DB8"/>
    <w:rsid w:val="006A228F"/>
    <w:rsid w:val="006A55C7"/>
    <w:rsid w:val="006B040E"/>
    <w:rsid w:val="006B537F"/>
    <w:rsid w:val="006B552A"/>
    <w:rsid w:val="006B713C"/>
    <w:rsid w:val="006C16D1"/>
    <w:rsid w:val="006C27DE"/>
    <w:rsid w:val="006C4EA4"/>
    <w:rsid w:val="006D3F8C"/>
    <w:rsid w:val="006D5C90"/>
    <w:rsid w:val="006D68CB"/>
    <w:rsid w:val="006E071C"/>
    <w:rsid w:val="006E14BB"/>
    <w:rsid w:val="006E4171"/>
    <w:rsid w:val="006E774B"/>
    <w:rsid w:val="006F25A7"/>
    <w:rsid w:val="006F7674"/>
    <w:rsid w:val="00700768"/>
    <w:rsid w:val="00701CE3"/>
    <w:rsid w:val="007049C7"/>
    <w:rsid w:val="007106E9"/>
    <w:rsid w:val="00712A7A"/>
    <w:rsid w:val="00713256"/>
    <w:rsid w:val="00720646"/>
    <w:rsid w:val="00721532"/>
    <w:rsid w:val="00721714"/>
    <w:rsid w:val="00722B4C"/>
    <w:rsid w:val="00732010"/>
    <w:rsid w:val="0073607D"/>
    <w:rsid w:val="00740CDF"/>
    <w:rsid w:val="00741F29"/>
    <w:rsid w:val="00744CB6"/>
    <w:rsid w:val="00744F72"/>
    <w:rsid w:val="0075280B"/>
    <w:rsid w:val="00752986"/>
    <w:rsid w:val="007541F8"/>
    <w:rsid w:val="007547BE"/>
    <w:rsid w:val="007549C0"/>
    <w:rsid w:val="007551EE"/>
    <w:rsid w:val="00755EC4"/>
    <w:rsid w:val="007573D8"/>
    <w:rsid w:val="00757980"/>
    <w:rsid w:val="007660F9"/>
    <w:rsid w:val="00767DDB"/>
    <w:rsid w:val="007721BC"/>
    <w:rsid w:val="00772AE5"/>
    <w:rsid w:val="007755F7"/>
    <w:rsid w:val="007759A5"/>
    <w:rsid w:val="00775EF2"/>
    <w:rsid w:val="0077610A"/>
    <w:rsid w:val="00777F01"/>
    <w:rsid w:val="00782C95"/>
    <w:rsid w:val="00790989"/>
    <w:rsid w:val="00796320"/>
    <w:rsid w:val="00797F1B"/>
    <w:rsid w:val="007A1CB5"/>
    <w:rsid w:val="007A2D14"/>
    <w:rsid w:val="007A3F4D"/>
    <w:rsid w:val="007A5650"/>
    <w:rsid w:val="007B406D"/>
    <w:rsid w:val="007B6DC7"/>
    <w:rsid w:val="007B7747"/>
    <w:rsid w:val="007C0FC3"/>
    <w:rsid w:val="007C2098"/>
    <w:rsid w:val="007D11BA"/>
    <w:rsid w:val="007D1E1D"/>
    <w:rsid w:val="007D20FA"/>
    <w:rsid w:val="007D4219"/>
    <w:rsid w:val="007D50BC"/>
    <w:rsid w:val="007D7ECB"/>
    <w:rsid w:val="007E0126"/>
    <w:rsid w:val="007E0312"/>
    <w:rsid w:val="007E3955"/>
    <w:rsid w:val="007E3B9D"/>
    <w:rsid w:val="007E4124"/>
    <w:rsid w:val="007F065A"/>
    <w:rsid w:val="007F0C1D"/>
    <w:rsid w:val="007F2F7F"/>
    <w:rsid w:val="007F4389"/>
    <w:rsid w:val="007F7F7C"/>
    <w:rsid w:val="00800E0B"/>
    <w:rsid w:val="00801C93"/>
    <w:rsid w:val="0080263F"/>
    <w:rsid w:val="00803C72"/>
    <w:rsid w:val="00803C7E"/>
    <w:rsid w:val="008048F7"/>
    <w:rsid w:val="00807B4F"/>
    <w:rsid w:val="00807C7D"/>
    <w:rsid w:val="00807C97"/>
    <w:rsid w:val="00812B73"/>
    <w:rsid w:val="00813B4E"/>
    <w:rsid w:val="00815A22"/>
    <w:rsid w:val="0082038E"/>
    <w:rsid w:val="00822C2C"/>
    <w:rsid w:val="00825295"/>
    <w:rsid w:val="00826103"/>
    <w:rsid w:val="0083077A"/>
    <w:rsid w:val="0083099D"/>
    <w:rsid w:val="00832CE2"/>
    <w:rsid w:val="00836635"/>
    <w:rsid w:val="008367FC"/>
    <w:rsid w:val="0084209E"/>
    <w:rsid w:val="008437E9"/>
    <w:rsid w:val="008441F8"/>
    <w:rsid w:val="00850872"/>
    <w:rsid w:val="0085692A"/>
    <w:rsid w:val="008607D4"/>
    <w:rsid w:val="00860E64"/>
    <w:rsid w:val="00866397"/>
    <w:rsid w:val="00871B8E"/>
    <w:rsid w:val="0087424C"/>
    <w:rsid w:val="0088081A"/>
    <w:rsid w:val="00880DD8"/>
    <w:rsid w:val="00880E2F"/>
    <w:rsid w:val="00881523"/>
    <w:rsid w:val="008840EF"/>
    <w:rsid w:val="00886BF2"/>
    <w:rsid w:val="00892250"/>
    <w:rsid w:val="00895074"/>
    <w:rsid w:val="00896F9C"/>
    <w:rsid w:val="008A0811"/>
    <w:rsid w:val="008A77DE"/>
    <w:rsid w:val="008B34DC"/>
    <w:rsid w:val="008B6817"/>
    <w:rsid w:val="008B7FC9"/>
    <w:rsid w:val="008C0C1B"/>
    <w:rsid w:val="008C2B42"/>
    <w:rsid w:val="008D22EB"/>
    <w:rsid w:val="008D4578"/>
    <w:rsid w:val="008E335F"/>
    <w:rsid w:val="008E4A0B"/>
    <w:rsid w:val="008E5A6F"/>
    <w:rsid w:val="008E7D79"/>
    <w:rsid w:val="008F0FE7"/>
    <w:rsid w:val="008F31A0"/>
    <w:rsid w:val="008F3CD4"/>
    <w:rsid w:val="008F65AC"/>
    <w:rsid w:val="008F6660"/>
    <w:rsid w:val="009031C8"/>
    <w:rsid w:val="009043B3"/>
    <w:rsid w:val="00913FA0"/>
    <w:rsid w:val="00914CCD"/>
    <w:rsid w:val="00915E4A"/>
    <w:rsid w:val="0091601E"/>
    <w:rsid w:val="00916C02"/>
    <w:rsid w:val="0092045D"/>
    <w:rsid w:val="00922ABF"/>
    <w:rsid w:val="009273F1"/>
    <w:rsid w:val="00927579"/>
    <w:rsid w:val="00927CA0"/>
    <w:rsid w:val="00931E7A"/>
    <w:rsid w:val="00945C19"/>
    <w:rsid w:val="00947C18"/>
    <w:rsid w:val="009503A8"/>
    <w:rsid w:val="00953196"/>
    <w:rsid w:val="00953215"/>
    <w:rsid w:val="00960AC3"/>
    <w:rsid w:val="00962B9B"/>
    <w:rsid w:val="00965265"/>
    <w:rsid w:val="009653EF"/>
    <w:rsid w:val="009670DA"/>
    <w:rsid w:val="0097057C"/>
    <w:rsid w:val="0097085F"/>
    <w:rsid w:val="009728E6"/>
    <w:rsid w:val="00974B37"/>
    <w:rsid w:val="00976075"/>
    <w:rsid w:val="00976695"/>
    <w:rsid w:val="00977DFA"/>
    <w:rsid w:val="00986C8B"/>
    <w:rsid w:val="009913FB"/>
    <w:rsid w:val="0099445A"/>
    <w:rsid w:val="0099720B"/>
    <w:rsid w:val="009A0E8D"/>
    <w:rsid w:val="009A1015"/>
    <w:rsid w:val="009A1DCB"/>
    <w:rsid w:val="009A22A2"/>
    <w:rsid w:val="009A2A55"/>
    <w:rsid w:val="009A4E34"/>
    <w:rsid w:val="009A4E45"/>
    <w:rsid w:val="009A5068"/>
    <w:rsid w:val="009A53E5"/>
    <w:rsid w:val="009A66F3"/>
    <w:rsid w:val="009B7983"/>
    <w:rsid w:val="009C052F"/>
    <w:rsid w:val="009C0AB3"/>
    <w:rsid w:val="009C2677"/>
    <w:rsid w:val="009C313D"/>
    <w:rsid w:val="009C4CE3"/>
    <w:rsid w:val="009E004F"/>
    <w:rsid w:val="009E1037"/>
    <w:rsid w:val="009E18AC"/>
    <w:rsid w:val="009E5FA4"/>
    <w:rsid w:val="009E6C5B"/>
    <w:rsid w:val="009F0B96"/>
    <w:rsid w:val="009F1A73"/>
    <w:rsid w:val="009F27C7"/>
    <w:rsid w:val="009F38A6"/>
    <w:rsid w:val="009F4118"/>
    <w:rsid w:val="009F5073"/>
    <w:rsid w:val="00A006FA"/>
    <w:rsid w:val="00A0157C"/>
    <w:rsid w:val="00A01DBF"/>
    <w:rsid w:val="00A02E99"/>
    <w:rsid w:val="00A05C0C"/>
    <w:rsid w:val="00A12F7B"/>
    <w:rsid w:val="00A1681B"/>
    <w:rsid w:val="00A173A5"/>
    <w:rsid w:val="00A22E1F"/>
    <w:rsid w:val="00A26015"/>
    <w:rsid w:val="00A26ED9"/>
    <w:rsid w:val="00A3017E"/>
    <w:rsid w:val="00A4335B"/>
    <w:rsid w:val="00A4408A"/>
    <w:rsid w:val="00A506F8"/>
    <w:rsid w:val="00A56511"/>
    <w:rsid w:val="00A60AC6"/>
    <w:rsid w:val="00A636C3"/>
    <w:rsid w:val="00A63790"/>
    <w:rsid w:val="00A703AE"/>
    <w:rsid w:val="00A71C60"/>
    <w:rsid w:val="00A73C4B"/>
    <w:rsid w:val="00A75C1A"/>
    <w:rsid w:val="00A81FF9"/>
    <w:rsid w:val="00A84919"/>
    <w:rsid w:val="00A84EDC"/>
    <w:rsid w:val="00A86DE2"/>
    <w:rsid w:val="00A92139"/>
    <w:rsid w:val="00A922D7"/>
    <w:rsid w:val="00A95231"/>
    <w:rsid w:val="00A95868"/>
    <w:rsid w:val="00AA0C5F"/>
    <w:rsid w:val="00AA1148"/>
    <w:rsid w:val="00AA2BD9"/>
    <w:rsid w:val="00AA3172"/>
    <w:rsid w:val="00AA36EE"/>
    <w:rsid w:val="00AB3037"/>
    <w:rsid w:val="00AB346E"/>
    <w:rsid w:val="00AB3BE8"/>
    <w:rsid w:val="00AB61EB"/>
    <w:rsid w:val="00AB6DCF"/>
    <w:rsid w:val="00AB74AA"/>
    <w:rsid w:val="00AC206B"/>
    <w:rsid w:val="00AC2B99"/>
    <w:rsid w:val="00AC52AC"/>
    <w:rsid w:val="00AC5EA3"/>
    <w:rsid w:val="00AD1BFF"/>
    <w:rsid w:val="00AD2513"/>
    <w:rsid w:val="00AD25AF"/>
    <w:rsid w:val="00AD42D2"/>
    <w:rsid w:val="00AD5FBD"/>
    <w:rsid w:val="00AE05DF"/>
    <w:rsid w:val="00AE1633"/>
    <w:rsid w:val="00AE21F5"/>
    <w:rsid w:val="00AE5AB8"/>
    <w:rsid w:val="00AE61CF"/>
    <w:rsid w:val="00AE7AE8"/>
    <w:rsid w:val="00AF2D7B"/>
    <w:rsid w:val="00AF3B22"/>
    <w:rsid w:val="00B02D39"/>
    <w:rsid w:val="00B02E48"/>
    <w:rsid w:val="00B03FE1"/>
    <w:rsid w:val="00B05946"/>
    <w:rsid w:val="00B106A3"/>
    <w:rsid w:val="00B11C5D"/>
    <w:rsid w:val="00B13CB0"/>
    <w:rsid w:val="00B2298D"/>
    <w:rsid w:val="00B2516D"/>
    <w:rsid w:val="00B2714D"/>
    <w:rsid w:val="00B32C7A"/>
    <w:rsid w:val="00B34BC9"/>
    <w:rsid w:val="00B35382"/>
    <w:rsid w:val="00B46A89"/>
    <w:rsid w:val="00B4745D"/>
    <w:rsid w:val="00B47509"/>
    <w:rsid w:val="00B47F2A"/>
    <w:rsid w:val="00B523C8"/>
    <w:rsid w:val="00B52AD1"/>
    <w:rsid w:val="00B540AB"/>
    <w:rsid w:val="00B54CBD"/>
    <w:rsid w:val="00B573E8"/>
    <w:rsid w:val="00B602C2"/>
    <w:rsid w:val="00B60504"/>
    <w:rsid w:val="00B62162"/>
    <w:rsid w:val="00B634F3"/>
    <w:rsid w:val="00B6625F"/>
    <w:rsid w:val="00B80225"/>
    <w:rsid w:val="00B83E63"/>
    <w:rsid w:val="00B84BF6"/>
    <w:rsid w:val="00B87E94"/>
    <w:rsid w:val="00B95B41"/>
    <w:rsid w:val="00BA1289"/>
    <w:rsid w:val="00BA140A"/>
    <w:rsid w:val="00BB16F8"/>
    <w:rsid w:val="00BB3D02"/>
    <w:rsid w:val="00BB4786"/>
    <w:rsid w:val="00BB4F3B"/>
    <w:rsid w:val="00BB67C8"/>
    <w:rsid w:val="00BC409A"/>
    <w:rsid w:val="00BC5EC8"/>
    <w:rsid w:val="00BD2070"/>
    <w:rsid w:val="00BD2D2F"/>
    <w:rsid w:val="00BD7169"/>
    <w:rsid w:val="00BE1130"/>
    <w:rsid w:val="00C006CD"/>
    <w:rsid w:val="00C008AF"/>
    <w:rsid w:val="00C044C0"/>
    <w:rsid w:val="00C04C47"/>
    <w:rsid w:val="00C10D60"/>
    <w:rsid w:val="00C11E61"/>
    <w:rsid w:val="00C12707"/>
    <w:rsid w:val="00C12FFC"/>
    <w:rsid w:val="00C143D9"/>
    <w:rsid w:val="00C21835"/>
    <w:rsid w:val="00C22F6A"/>
    <w:rsid w:val="00C2613D"/>
    <w:rsid w:val="00C342F0"/>
    <w:rsid w:val="00C34824"/>
    <w:rsid w:val="00C3682A"/>
    <w:rsid w:val="00C41334"/>
    <w:rsid w:val="00C42F81"/>
    <w:rsid w:val="00C43603"/>
    <w:rsid w:val="00C44946"/>
    <w:rsid w:val="00C46BC4"/>
    <w:rsid w:val="00C56D74"/>
    <w:rsid w:val="00C7236F"/>
    <w:rsid w:val="00C75EBE"/>
    <w:rsid w:val="00C76766"/>
    <w:rsid w:val="00C80001"/>
    <w:rsid w:val="00C82135"/>
    <w:rsid w:val="00C82751"/>
    <w:rsid w:val="00C90BE7"/>
    <w:rsid w:val="00C926AD"/>
    <w:rsid w:val="00C951DF"/>
    <w:rsid w:val="00C976A2"/>
    <w:rsid w:val="00CA3174"/>
    <w:rsid w:val="00CA52D1"/>
    <w:rsid w:val="00CB28A4"/>
    <w:rsid w:val="00CB3856"/>
    <w:rsid w:val="00CB7D46"/>
    <w:rsid w:val="00CC362E"/>
    <w:rsid w:val="00CC3702"/>
    <w:rsid w:val="00CC6A28"/>
    <w:rsid w:val="00CC73E9"/>
    <w:rsid w:val="00CD149B"/>
    <w:rsid w:val="00CD2565"/>
    <w:rsid w:val="00CD2A81"/>
    <w:rsid w:val="00CD7825"/>
    <w:rsid w:val="00CE0BD7"/>
    <w:rsid w:val="00CE52DD"/>
    <w:rsid w:val="00CE7B99"/>
    <w:rsid w:val="00CF0B29"/>
    <w:rsid w:val="00CF1931"/>
    <w:rsid w:val="00CF3FE5"/>
    <w:rsid w:val="00CF618F"/>
    <w:rsid w:val="00CF62B2"/>
    <w:rsid w:val="00CF6FD3"/>
    <w:rsid w:val="00D0048E"/>
    <w:rsid w:val="00D01358"/>
    <w:rsid w:val="00D02CC6"/>
    <w:rsid w:val="00D04B45"/>
    <w:rsid w:val="00D05D64"/>
    <w:rsid w:val="00D06516"/>
    <w:rsid w:val="00D10C93"/>
    <w:rsid w:val="00D12B3D"/>
    <w:rsid w:val="00D1388C"/>
    <w:rsid w:val="00D22A15"/>
    <w:rsid w:val="00D23652"/>
    <w:rsid w:val="00D24898"/>
    <w:rsid w:val="00D2696E"/>
    <w:rsid w:val="00D327ED"/>
    <w:rsid w:val="00D335B2"/>
    <w:rsid w:val="00D33E52"/>
    <w:rsid w:val="00D361D7"/>
    <w:rsid w:val="00D37344"/>
    <w:rsid w:val="00D40DF5"/>
    <w:rsid w:val="00D421AB"/>
    <w:rsid w:val="00D426B3"/>
    <w:rsid w:val="00D43653"/>
    <w:rsid w:val="00D44137"/>
    <w:rsid w:val="00D474A3"/>
    <w:rsid w:val="00D524D4"/>
    <w:rsid w:val="00D6083C"/>
    <w:rsid w:val="00D61DD9"/>
    <w:rsid w:val="00D62DA4"/>
    <w:rsid w:val="00D63626"/>
    <w:rsid w:val="00D63EAB"/>
    <w:rsid w:val="00D717E1"/>
    <w:rsid w:val="00D73866"/>
    <w:rsid w:val="00D74336"/>
    <w:rsid w:val="00D74B9E"/>
    <w:rsid w:val="00D74D72"/>
    <w:rsid w:val="00D76D13"/>
    <w:rsid w:val="00D77430"/>
    <w:rsid w:val="00D80B3A"/>
    <w:rsid w:val="00D818B3"/>
    <w:rsid w:val="00D8203C"/>
    <w:rsid w:val="00D828F2"/>
    <w:rsid w:val="00D850A9"/>
    <w:rsid w:val="00D874B2"/>
    <w:rsid w:val="00D912E2"/>
    <w:rsid w:val="00D914BB"/>
    <w:rsid w:val="00D91E49"/>
    <w:rsid w:val="00D9289A"/>
    <w:rsid w:val="00D95983"/>
    <w:rsid w:val="00DA0670"/>
    <w:rsid w:val="00DA3349"/>
    <w:rsid w:val="00DA6724"/>
    <w:rsid w:val="00DA6912"/>
    <w:rsid w:val="00DB0070"/>
    <w:rsid w:val="00DB514A"/>
    <w:rsid w:val="00DB7757"/>
    <w:rsid w:val="00DC3FFC"/>
    <w:rsid w:val="00DD1A5E"/>
    <w:rsid w:val="00DE3A3F"/>
    <w:rsid w:val="00DE44A6"/>
    <w:rsid w:val="00DF355E"/>
    <w:rsid w:val="00DF4A6A"/>
    <w:rsid w:val="00DF7DDE"/>
    <w:rsid w:val="00E02323"/>
    <w:rsid w:val="00E038E6"/>
    <w:rsid w:val="00E10B72"/>
    <w:rsid w:val="00E111B6"/>
    <w:rsid w:val="00E1375F"/>
    <w:rsid w:val="00E14EB2"/>
    <w:rsid w:val="00E1584B"/>
    <w:rsid w:val="00E16EE4"/>
    <w:rsid w:val="00E17A42"/>
    <w:rsid w:val="00E20B20"/>
    <w:rsid w:val="00E23854"/>
    <w:rsid w:val="00E3309E"/>
    <w:rsid w:val="00E330D3"/>
    <w:rsid w:val="00E40E22"/>
    <w:rsid w:val="00E45961"/>
    <w:rsid w:val="00E46223"/>
    <w:rsid w:val="00E46FF5"/>
    <w:rsid w:val="00E50BD4"/>
    <w:rsid w:val="00E5436D"/>
    <w:rsid w:val="00E5703E"/>
    <w:rsid w:val="00E62110"/>
    <w:rsid w:val="00E64936"/>
    <w:rsid w:val="00E6554F"/>
    <w:rsid w:val="00E675C8"/>
    <w:rsid w:val="00E75836"/>
    <w:rsid w:val="00E75C84"/>
    <w:rsid w:val="00E8434B"/>
    <w:rsid w:val="00E86410"/>
    <w:rsid w:val="00E902BE"/>
    <w:rsid w:val="00E92B35"/>
    <w:rsid w:val="00E942E5"/>
    <w:rsid w:val="00E94B5B"/>
    <w:rsid w:val="00E965D7"/>
    <w:rsid w:val="00E97192"/>
    <w:rsid w:val="00EA0F8C"/>
    <w:rsid w:val="00EB24C8"/>
    <w:rsid w:val="00EB4848"/>
    <w:rsid w:val="00EB6B5A"/>
    <w:rsid w:val="00EC1B8F"/>
    <w:rsid w:val="00EC2DF1"/>
    <w:rsid w:val="00ED32E1"/>
    <w:rsid w:val="00ED4000"/>
    <w:rsid w:val="00EE06CB"/>
    <w:rsid w:val="00EE0CE3"/>
    <w:rsid w:val="00EE5FDB"/>
    <w:rsid w:val="00EE65EE"/>
    <w:rsid w:val="00F015F2"/>
    <w:rsid w:val="00F01615"/>
    <w:rsid w:val="00F019A6"/>
    <w:rsid w:val="00F03A06"/>
    <w:rsid w:val="00F0400C"/>
    <w:rsid w:val="00F07C25"/>
    <w:rsid w:val="00F104B9"/>
    <w:rsid w:val="00F12487"/>
    <w:rsid w:val="00F147D3"/>
    <w:rsid w:val="00F147E1"/>
    <w:rsid w:val="00F16954"/>
    <w:rsid w:val="00F20227"/>
    <w:rsid w:val="00F306CD"/>
    <w:rsid w:val="00F312DC"/>
    <w:rsid w:val="00F34EED"/>
    <w:rsid w:val="00F36E12"/>
    <w:rsid w:val="00F42F23"/>
    <w:rsid w:val="00F46402"/>
    <w:rsid w:val="00F54718"/>
    <w:rsid w:val="00F55C0D"/>
    <w:rsid w:val="00F576DD"/>
    <w:rsid w:val="00F57B42"/>
    <w:rsid w:val="00F6644F"/>
    <w:rsid w:val="00F726EA"/>
    <w:rsid w:val="00F82900"/>
    <w:rsid w:val="00F8392A"/>
    <w:rsid w:val="00F83A8E"/>
    <w:rsid w:val="00F84969"/>
    <w:rsid w:val="00F84BDC"/>
    <w:rsid w:val="00F853EB"/>
    <w:rsid w:val="00F870BD"/>
    <w:rsid w:val="00F8737E"/>
    <w:rsid w:val="00F87E49"/>
    <w:rsid w:val="00F91553"/>
    <w:rsid w:val="00F94C0C"/>
    <w:rsid w:val="00F95936"/>
    <w:rsid w:val="00FA0A04"/>
    <w:rsid w:val="00FA40DA"/>
    <w:rsid w:val="00FA5D16"/>
    <w:rsid w:val="00FA754A"/>
    <w:rsid w:val="00FA7779"/>
    <w:rsid w:val="00FA7B39"/>
    <w:rsid w:val="00FB1CC0"/>
    <w:rsid w:val="00FB2D5D"/>
    <w:rsid w:val="00FB56A4"/>
    <w:rsid w:val="00FB617B"/>
    <w:rsid w:val="00FB7BC2"/>
    <w:rsid w:val="00FC1DF6"/>
    <w:rsid w:val="00FC1EDF"/>
    <w:rsid w:val="00FC4FBC"/>
    <w:rsid w:val="00FC65FC"/>
    <w:rsid w:val="00FC78FC"/>
    <w:rsid w:val="00FC7B1D"/>
    <w:rsid w:val="00FD0C0B"/>
    <w:rsid w:val="00FD2037"/>
    <w:rsid w:val="00FD46FB"/>
    <w:rsid w:val="00FD6D60"/>
    <w:rsid w:val="00FD714A"/>
    <w:rsid w:val="00FE2D96"/>
    <w:rsid w:val="00FE41F6"/>
    <w:rsid w:val="00FE662A"/>
    <w:rsid w:val="00FE69B2"/>
    <w:rsid w:val="00FE6E20"/>
    <w:rsid w:val="00FF14F2"/>
    <w:rsid w:val="00FF18E9"/>
    <w:rsid w:val="00FF60A0"/>
    <w:rsid w:val="29FC799D"/>
    <w:rsid w:val="3C965DA7"/>
    <w:rsid w:val="3E195337"/>
    <w:rsid w:val="73728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8887C"/>
  <w14:defaultImageDpi w14:val="32767"/>
  <w15:docId w15:val="{E74049FB-9FE1-48D0-AD24-5EDE8D5C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B5E"/>
    <w:pPr>
      <w:tabs>
        <w:tab w:val="center" w:pos="4680"/>
        <w:tab w:val="right" w:pos="9360"/>
      </w:tabs>
    </w:pPr>
  </w:style>
  <w:style w:type="character" w:customStyle="1" w:styleId="HeaderChar">
    <w:name w:val="Header Char"/>
    <w:basedOn w:val="DefaultParagraphFont"/>
    <w:link w:val="Header"/>
    <w:uiPriority w:val="99"/>
    <w:rsid w:val="00193B5E"/>
  </w:style>
  <w:style w:type="paragraph" w:styleId="Footer">
    <w:name w:val="footer"/>
    <w:basedOn w:val="Normal"/>
    <w:link w:val="FooterChar"/>
    <w:uiPriority w:val="99"/>
    <w:unhideWhenUsed/>
    <w:rsid w:val="00193B5E"/>
    <w:pPr>
      <w:tabs>
        <w:tab w:val="center" w:pos="4680"/>
        <w:tab w:val="right" w:pos="9360"/>
      </w:tabs>
    </w:pPr>
  </w:style>
  <w:style w:type="character" w:customStyle="1" w:styleId="FooterChar">
    <w:name w:val="Footer Char"/>
    <w:basedOn w:val="DefaultParagraphFont"/>
    <w:link w:val="Footer"/>
    <w:uiPriority w:val="99"/>
    <w:rsid w:val="00193B5E"/>
  </w:style>
  <w:style w:type="character" w:styleId="PageNumber">
    <w:name w:val="page number"/>
    <w:basedOn w:val="DefaultParagraphFont"/>
    <w:uiPriority w:val="99"/>
    <w:semiHidden/>
    <w:unhideWhenUsed/>
    <w:rsid w:val="00193B5E"/>
  </w:style>
  <w:style w:type="paragraph" w:customStyle="1" w:styleId="TableParagraph">
    <w:name w:val="Table Paragraph"/>
    <w:basedOn w:val="Normal"/>
    <w:qFormat/>
    <w:rsid w:val="0091601E"/>
    <w:pPr>
      <w:widowControl w:val="0"/>
    </w:pPr>
    <w:rPr>
      <w:sz w:val="22"/>
      <w:szCs w:val="22"/>
    </w:rPr>
  </w:style>
  <w:style w:type="paragraph" w:styleId="ListParagraph">
    <w:name w:val="List Paragraph"/>
    <w:aliases w:val="Bullet level 2,Bullet Styles para,TOC etc.,Numbered Standard,List Paragraph - RFP,Numbered Para 1,Dot pt,No Spacing1,List Paragraph Char Char Char,Indicator Text,List Paragraph1,Bullet Points,MAIN CONTENT,List Paragraph12"/>
    <w:basedOn w:val="Normal"/>
    <w:link w:val="ListParagraphChar"/>
    <w:uiPriority w:val="34"/>
    <w:qFormat/>
    <w:rsid w:val="009A66F3"/>
    <w:pPr>
      <w:ind w:left="720"/>
      <w:contextualSpacing/>
    </w:pPr>
  </w:style>
  <w:style w:type="paragraph" w:styleId="BalloonText">
    <w:name w:val="Balloon Text"/>
    <w:basedOn w:val="Normal"/>
    <w:link w:val="BalloonTextChar"/>
    <w:uiPriority w:val="99"/>
    <w:semiHidden/>
    <w:unhideWhenUsed/>
    <w:rsid w:val="00B54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BD"/>
    <w:rPr>
      <w:rFonts w:ascii="Segoe UI" w:hAnsi="Segoe UI" w:cs="Segoe UI"/>
      <w:sz w:val="18"/>
      <w:szCs w:val="18"/>
    </w:rPr>
  </w:style>
  <w:style w:type="character" w:styleId="CommentReference">
    <w:name w:val="annotation reference"/>
    <w:basedOn w:val="DefaultParagraphFont"/>
    <w:unhideWhenUsed/>
    <w:rsid w:val="00880DD8"/>
    <w:rPr>
      <w:sz w:val="16"/>
      <w:szCs w:val="16"/>
    </w:rPr>
  </w:style>
  <w:style w:type="paragraph" w:styleId="CommentText">
    <w:name w:val="annotation text"/>
    <w:basedOn w:val="Normal"/>
    <w:link w:val="CommentTextChar"/>
    <w:uiPriority w:val="99"/>
    <w:unhideWhenUsed/>
    <w:rsid w:val="00880DD8"/>
    <w:rPr>
      <w:sz w:val="20"/>
      <w:szCs w:val="20"/>
    </w:rPr>
  </w:style>
  <w:style w:type="character" w:customStyle="1" w:styleId="CommentTextChar">
    <w:name w:val="Comment Text Char"/>
    <w:basedOn w:val="DefaultParagraphFont"/>
    <w:link w:val="CommentText"/>
    <w:uiPriority w:val="99"/>
    <w:rsid w:val="00880DD8"/>
    <w:rPr>
      <w:sz w:val="20"/>
      <w:szCs w:val="20"/>
    </w:rPr>
  </w:style>
  <w:style w:type="paragraph" w:styleId="BodyText">
    <w:name w:val="Body Text"/>
    <w:link w:val="BodyTextChar"/>
    <w:uiPriority w:val="99"/>
    <w:unhideWhenUsed/>
    <w:qFormat/>
    <w:rsid w:val="0077610A"/>
    <w:pPr>
      <w:spacing w:after="280" w:line="320" w:lineRule="atLeast"/>
      <w:jc w:val="both"/>
    </w:pPr>
    <w:rPr>
      <w:color w:val="000000"/>
      <w:sz w:val="22"/>
      <w:szCs w:val="22"/>
    </w:rPr>
  </w:style>
  <w:style w:type="character" w:customStyle="1" w:styleId="BodyTextChar">
    <w:name w:val="Body Text Char"/>
    <w:basedOn w:val="DefaultParagraphFont"/>
    <w:link w:val="BodyText"/>
    <w:uiPriority w:val="99"/>
    <w:rsid w:val="0077610A"/>
    <w:rPr>
      <w:color w:val="000000"/>
      <w:sz w:val="22"/>
      <w:szCs w:val="22"/>
    </w:rPr>
  </w:style>
  <w:style w:type="paragraph" w:styleId="ListBullet2">
    <w:name w:val="List Bullet 2"/>
    <w:basedOn w:val="BodyText"/>
    <w:unhideWhenUsed/>
    <w:qFormat/>
    <w:rsid w:val="00E64936"/>
    <w:pPr>
      <w:numPr>
        <w:numId w:val="24"/>
      </w:numPr>
      <w:spacing w:after="240" w:line="240" w:lineRule="auto"/>
    </w:pPr>
  </w:style>
  <w:style w:type="paragraph" w:styleId="ListBullet">
    <w:name w:val="List Bullet"/>
    <w:basedOn w:val="Normal"/>
    <w:uiPriority w:val="99"/>
    <w:unhideWhenUsed/>
    <w:rsid w:val="00371B66"/>
    <w:pPr>
      <w:numPr>
        <w:numId w:val="25"/>
      </w:numPr>
      <w:contextualSpacing/>
    </w:pPr>
  </w:style>
  <w:style w:type="paragraph" w:styleId="FootnoteText">
    <w:name w:val="footnote text"/>
    <w:aliases w:val="Footnote Text DAV,E3 Footnote Text,Footnote Text1 Char,Footnote Text Char Ch"/>
    <w:basedOn w:val="BodyText"/>
    <w:link w:val="FootnoteTextChar"/>
    <w:unhideWhenUsed/>
    <w:qFormat/>
    <w:rsid w:val="00C41334"/>
    <w:pPr>
      <w:tabs>
        <w:tab w:val="left" w:pos="288"/>
      </w:tabs>
      <w:spacing w:after="60" w:line="240" w:lineRule="atLeast"/>
      <w:ind w:left="288" w:hanging="288"/>
      <w:jc w:val="left"/>
    </w:pPr>
    <w:rPr>
      <w:sz w:val="20"/>
      <w:szCs w:val="20"/>
    </w:rPr>
  </w:style>
  <w:style w:type="character" w:customStyle="1" w:styleId="FootnoteTextChar">
    <w:name w:val="Footnote Text Char"/>
    <w:aliases w:val="Footnote Text DAV Char,E3 Footnote Text Char,Footnote Text1 Char Char,Footnote Text Char Ch Char"/>
    <w:basedOn w:val="DefaultParagraphFont"/>
    <w:link w:val="FootnoteText"/>
    <w:rsid w:val="00C41334"/>
    <w:rPr>
      <w:color w:val="000000"/>
      <w:sz w:val="20"/>
      <w:szCs w:val="20"/>
    </w:rPr>
  </w:style>
  <w:style w:type="character" w:styleId="FootnoteReference">
    <w:name w:val="footnote reference"/>
    <w:aliases w:val="Footnote Ref,DAV,o,fr,Style 3,o1,o2,o3,o4,o5,o6,o11,o21,o7,B_Footnote Reference,-E Fußnotenzeichen"/>
    <w:basedOn w:val="DefaultParagraphFont"/>
    <w:unhideWhenUsed/>
    <w:qFormat/>
    <w:rsid w:val="00C41334"/>
    <w:rPr>
      <w:rFonts w:ascii="Calibri" w:hAnsi="Calibri"/>
      <w:position w:val="6"/>
      <w:sz w:val="16"/>
      <w:szCs w:val="16"/>
    </w:rPr>
  </w:style>
  <w:style w:type="character" w:styleId="Hyperlink">
    <w:name w:val="Hyperlink"/>
    <w:basedOn w:val="DefaultParagraphFont"/>
    <w:uiPriority w:val="99"/>
    <w:unhideWhenUsed/>
    <w:rsid w:val="00486C17"/>
    <w:rPr>
      <w:rFonts w:ascii="Calibri" w:hAnsi="Calibri"/>
      <w:color w:val="0000FF"/>
      <w:sz w:val="20"/>
      <w:u w:val="single"/>
    </w:rPr>
  </w:style>
  <w:style w:type="character" w:styleId="FollowedHyperlink">
    <w:name w:val="FollowedHyperlink"/>
    <w:basedOn w:val="DefaultParagraphFont"/>
    <w:uiPriority w:val="99"/>
    <w:semiHidden/>
    <w:unhideWhenUsed/>
    <w:rsid w:val="00063EE5"/>
    <w:rPr>
      <w:color w:val="954F72" w:themeColor="followedHyperlink"/>
      <w:u w:val="single"/>
    </w:rPr>
  </w:style>
  <w:style w:type="character" w:customStyle="1" w:styleId="ListParagraphChar">
    <w:name w:val="List Paragraph Char"/>
    <w:aliases w:val="Bullet level 2 Char,Bullet Styles para Char,TOC etc. Char,Numbered Standard Char,List Paragraph - RFP Char,Numbered Para 1 Char,Dot pt Char,No Spacing1 Char,List Paragraph Char Char Char Char,Indicator Text Char,List Paragraph1 Char"/>
    <w:basedOn w:val="DefaultParagraphFont"/>
    <w:link w:val="ListParagraph"/>
    <w:uiPriority w:val="34"/>
    <w:rsid w:val="005F3F80"/>
  </w:style>
  <w:style w:type="paragraph" w:styleId="Revision">
    <w:name w:val="Revision"/>
    <w:hidden/>
    <w:uiPriority w:val="99"/>
    <w:semiHidden/>
    <w:rsid w:val="00B05946"/>
  </w:style>
  <w:style w:type="paragraph" w:styleId="CommentSubject">
    <w:name w:val="annotation subject"/>
    <w:basedOn w:val="CommentText"/>
    <w:next w:val="CommentText"/>
    <w:link w:val="CommentSubjectChar"/>
    <w:uiPriority w:val="99"/>
    <w:semiHidden/>
    <w:unhideWhenUsed/>
    <w:rsid w:val="00FA5D16"/>
    <w:rPr>
      <w:b/>
      <w:bCs/>
    </w:rPr>
  </w:style>
  <w:style w:type="character" w:customStyle="1" w:styleId="CommentSubjectChar">
    <w:name w:val="Comment Subject Char"/>
    <w:basedOn w:val="CommentTextChar"/>
    <w:link w:val="CommentSubject"/>
    <w:uiPriority w:val="99"/>
    <w:semiHidden/>
    <w:rsid w:val="00FA5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6379">
      <w:bodyDiv w:val="1"/>
      <w:marLeft w:val="0"/>
      <w:marRight w:val="0"/>
      <w:marTop w:val="0"/>
      <w:marBottom w:val="0"/>
      <w:divBdr>
        <w:top w:val="none" w:sz="0" w:space="0" w:color="auto"/>
        <w:left w:val="none" w:sz="0" w:space="0" w:color="auto"/>
        <w:bottom w:val="none" w:sz="0" w:space="0" w:color="auto"/>
        <w:right w:val="none" w:sz="0" w:space="0" w:color="auto"/>
      </w:divBdr>
    </w:div>
    <w:div w:id="272827106">
      <w:bodyDiv w:val="1"/>
      <w:marLeft w:val="0"/>
      <w:marRight w:val="0"/>
      <w:marTop w:val="0"/>
      <w:marBottom w:val="0"/>
      <w:divBdr>
        <w:top w:val="none" w:sz="0" w:space="0" w:color="auto"/>
        <w:left w:val="none" w:sz="0" w:space="0" w:color="auto"/>
        <w:bottom w:val="none" w:sz="0" w:space="0" w:color="auto"/>
        <w:right w:val="none" w:sz="0" w:space="0" w:color="auto"/>
      </w:divBdr>
    </w:div>
    <w:div w:id="728917239">
      <w:bodyDiv w:val="1"/>
      <w:marLeft w:val="0"/>
      <w:marRight w:val="0"/>
      <w:marTop w:val="0"/>
      <w:marBottom w:val="0"/>
      <w:divBdr>
        <w:top w:val="none" w:sz="0" w:space="0" w:color="auto"/>
        <w:left w:val="none" w:sz="0" w:space="0" w:color="auto"/>
        <w:bottom w:val="none" w:sz="0" w:space="0" w:color="auto"/>
        <w:right w:val="none" w:sz="0" w:space="0" w:color="auto"/>
      </w:divBdr>
    </w:div>
    <w:div w:id="1040282392">
      <w:bodyDiv w:val="1"/>
      <w:marLeft w:val="0"/>
      <w:marRight w:val="0"/>
      <w:marTop w:val="0"/>
      <w:marBottom w:val="0"/>
      <w:divBdr>
        <w:top w:val="none" w:sz="0" w:space="0" w:color="auto"/>
        <w:left w:val="none" w:sz="0" w:space="0" w:color="auto"/>
        <w:bottom w:val="none" w:sz="0" w:space="0" w:color="auto"/>
        <w:right w:val="none" w:sz="0" w:space="0" w:color="auto"/>
      </w:divBdr>
    </w:div>
    <w:div w:id="1164012652">
      <w:bodyDiv w:val="1"/>
      <w:marLeft w:val="0"/>
      <w:marRight w:val="0"/>
      <w:marTop w:val="0"/>
      <w:marBottom w:val="0"/>
      <w:divBdr>
        <w:top w:val="none" w:sz="0" w:space="0" w:color="auto"/>
        <w:left w:val="none" w:sz="0" w:space="0" w:color="auto"/>
        <w:bottom w:val="none" w:sz="0" w:space="0" w:color="auto"/>
        <w:right w:val="none" w:sz="0" w:space="0" w:color="auto"/>
      </w:divBdr>
    </w:div>
    <w:div w:id="1474634398">
      <w:bodyDiv w:val="1"/>
      <w:marLeft w:val="0"/>
      <w:marRight w:val="0"/>
      <w:marTop w:val="0"/>
      <w:marBottom w:val="0"/>
      <w:divBdr>
        <w:top w:val="none" w:sz="0" w:space="0" w:color="auto"/>
        <w:left w:val="none" w:sz="0" w:space="0" w:color="auto"/>
        <w:bottom w:val="none" w:sz="0" w:space="0" w:color="auto"/>
        <w:right w:val="none" w:sz="0" w:space="0" w:color="auto"/>
      </w:divBdr>
    </w:div>
    <w:div w:id="1948468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cpuc.ca.gov%2F-%2Fmedia%2Fcpuc-website%2Fdivisions%2Fenergy-division%2Fdocuments%2Fsomah%2Fsomah_vendorassessment_final_20220201_.pdf&amp;data=05%7C01%7Camy%40verdantassoc.com%7C43c9dd539d10485279e708da2df24eb6%7Cbfa12df747f44a99a8ad1209e99b84fe%7C1%7C0%7C637872816014187229%7CUnknown%7CTWFpbGZsb3d8eyJWIjoiMC4wLjAwMDAiLCJQIjoiV2luMzIiLCJBTiI6Ik1haWwiLCJXVCI6Mn0%3D%7C3000%7C%7C%7C&amp;sdata=3yddl%2Fv%2BGwsQY10iYPL1hl%2F3AxO9QAzX0qJbO8cCAJ0%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E98B32D42F949884457CD2A10C6EA" ma:contentTypeVersion="12" ma:contentTypeDescription="Create a new document." ma:contentTypeScope="" ma:versionID="5c77ea18671cd0af69ee50deb2cc283e">
  <xsd:schema xmlns:xsd="http://www.w3.org/2001/XMLSchema" xmlns:xs="http://www.w3.org/2001/XMLSchema" xmlns:p="http://schemas.microsoft.com/office/2006/metadata/properties" xmlns:ns2="16de10f3-dff6-4de3-a260-08f6ee534fae" xmlns:ns3="f5f8dc4b-e3c2-4e49-921b-85c7357472df" targetNamespace="http://schemas.microsoft.com/office/2006/metadata/properties" ma:root="true" ma:fieldsID="d9fccaf6eaa33ecb5ffe60a5059479a1" ns2:_="" ns3:_="">
    <xsd:import namespace="16de10f3-dff6-4de3-a260-08f6ee534fae"/>
    <xsd:import namespace="f5f8dc4b-e3c2-4e49-921b-85c7357472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10f3-dff6-4de3-a260-08f6ee53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8dc4b-e3c2-4e49-921b-85c7357472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FE2E1-699D-4158-8C8E-23D42E8ABD7E}">
  <ds:schemaRefs>
    <ds:schemaRef ds:uri="http://schemas.openxmlformats.org/officeDocument/2006/bibliography"/>
  </ds:schemaRefs>
</ds:datastoreItem>
</file>

<file path=customXml/itemProps2.xml><?xml version="1.0" encoding="utf-8"?>
<ds:datastoreItem xmlns:ds="http://schemas.openxmlformats.org/officeDocument/2006/customXml" ds:itemID="{D61F0123-9B96-47DD-A91A-5762C594E500}">
  <ds:schemaRefs>
    <ds:schemaRef ds:uri="http://schemas.microsoft.com/sharepoint/v3/contenttype/forms"/>
  </ds:schemaRefs>
</ds:datastoreItem>
</file>

<file path=customXml/itemProps3.xml><?xml version="1.0" encoding="utf-8"?>
<ds:datastoreItem xmlns:ds="http://schemas.openxmlformats.org/officeDocument/2006/customXml" ds:itemID="{BD6C1AFC-081B-4C45-93BD-56DB624D1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10f3-dff6-4de3-a260-08f6ee534fae"/>
    <ds:schemaRef ds:uri="f5f8dc4b-e3c2-4e49-921b-85c735747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3C2EA-13A4-4095-8183-E14C295C7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yin</dc:creator>
  <cp:keywords/>
  <dc:description/>
  <cp:lastModifiedBy>Amy Buege</cp:lastModifiedBy>
  <cp:revision>5</cp:revision>
  <dcterms:created xsi:type="dcterms:W3CDTF">2022-06-08T18:17:00Z</dcterms:created>
  <dcterms:modified xsi:type="dcterms:W3CDTF">2022-06-08T18:19:00Z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0x010100D8DE98B32D42F949884457CD2A10C6EA</vt:lpwstr>
  </property>
  <property fmtid="{D5CDD505-2E9C-101B-9397-08002B2CF9AE}" pid="3" name="pgeRecordCategory">
    <vt:lpwstr/>
  </property>
</Properties>
</file>