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9155" w14:textId="77777777" w:rsidR="00E23699" w:rsidRDefault="00F05354" w:rsidP="004D2542">
      <w:pPr>
        <w:pStyle w:val="Heading1"/>
      </w:pPr>
      <w:r>
        <w:t>Background</w:t>
      </w:r>
    </w:p>
    <w:p w14:paraId="08554750" w14:textId="77777777" w:rsidR="004D2542" w:rsidRPr="008260A8" w:rsidRDefault="004D2542" w:rsidP="004D2542">
      <w:pPr>
        <w:pStyle w:val="Text"/>
      </w:pPr>
      <w:r w:rsidRPr="008260A8">
        <w:t xml:space="preserve">Given the changes in energy consumption that have occurred over the course of the COVID-19 pandemic, the need for alternative approaches to </w:t>
      </w:r>
      <w:proofErr w:type="spellStart"/>
      <w:r w:rsidRPr="008260A8">
        <w:t>CalTRACK</w:t>
      </w:r>
      <w:proofErr w:type="spellEnd"/>
      <w:r w:rsidRPr="008260A8">
        <w:t xml:space="preserve"> and similar, simple pre-post regression methods for estimating EE impacts is paramount. While adding comparison groups typically improves the accuracy of these energy saving estimates, there are three, main logistical challenges:</w:t>
      </w:r>
    </w:p>
    <w:p w14:paraId="4A9D8E0C" w14:textId="77777777" w:rsidR="004D2542" w:rsidRDefault="004D2542" w:rsidP="004D2542">
      <w:pPr>
        <w:pStyle w:val="Bullets0"/>
      </w:pPr>
      <w:r w:rsidRPr="001B2F0C">
        <w:rPr>
          <w:b/>
          <w:color w:val="8D82A3" w:themeColor="accent4"/>
        </w:rPr>
        <w:t>Privacy of non-participant customer data.</w:t>
      </w:r>
      <w:r w:rsidRPr="008260A8">
        <w:t xml:space="preserve"> Current California laws and regulation exist to protect the privacy of AMI/smart meter data for individual customers</w:t>
      </w:r>
      <w:r w:rsidRPr="0008531A">
        <w:rPr>
          <w:vertAlign w:val="superscript"/>
        </w:rPr>
        <w:footnoteReference w:id="1"/>
      </w:r>
      <w:r w:rsidR="0008531A">
        <w:t xml:space="preserve">. </w:t>
      </w:r>
      <w:r w:rsidRPr="008260A8">
        <w:t xml:space="preserve">While EE program participants consent to sharing their consumption data for the purposes of evaluation and settlement, no such agreement exists for non-participants. The regulations limit the ability to use non-participant data for settlement of pay-for-performance programs and create tradeoffs between accuracy, transparency, and access to data, particularly for third-party program implementers. Relatedly, disclosure of participant and non-participant consumption data in any public setting is limited to aggregations of customers that do not violate the 15/15 rule. This rule requires that any public disclosure of consumption patterns be aggregated such that at least 15 customers are included in the aggregation and that no one customer makes up more than 15% of the total consumption. </w:t>
      </w:r>
      <w:bookmarkStart w:id="0" w:name="_Toc79762913"/>
    </w:p>
    <w:p w14:paraId="73959937" w14:textId="31C0087C" w:rsidR="004D2542" w:rsidRDefault="004D2542" w:rsidP="004D2542">
      <w:pPr>
        <w:pStyle w:val="Bullets0"/>
      </w:pPr>
      <w:r w:rsidRPr="001B2F0C">
        <w:rPr>
          <w:b/>
          <w:color w:val="8D82A3" w:themeColor="accent4"/>
        </w:rPr>
        <w:t>Transparency Challenges</w:t>
      </w:r>
      <w:bookmarkEnd w:id="0"/>
      <w:r w:rsidRPr="001B2F0C">
        <w:rPr>
          <w:b/>
          <w:color w:val="8D82A3" w:themeColor="accent4"/>
        </w:rPr>
        <w:t>.</w:t>
      </w:r>
      <w:r w:rsidRPr="008260A8">
        <w:t xml:space="preserve"> Many evaluation methods that rely on a comparison group require extensive calculation </w:t>
      </w:r>
      <w:proofErr w:type="gramStart"/>
      <w:r w:rsidRPr="008260A8">
        <w:t>in order to</w:t>
      </w:r>
      <w:proofErr w:type="gramEnd"/>
      <w:r w:rsidRPr="008260A8">
        <w:t xml:space="preserve"> construct the comparison group from a large pool of eligible non-participants. Additionally, they require familiarity with statistical matching methods and access to high-powered servers with statistical applications to produce the matching variables and construct the comparison groups. This complex system, when operated by an experienced statistician, can result in </w:t>
      </w:r>
      <w:proofErr w:type="gramStart"/>
      <w:r w:rsidRPr="008260A8">
        <w:t>precisely-matched</w:t>
      </w:r>
      <w:proofErr w:type="gramEnd"/>
      <w:r w:rsidRPr="008260A8">
        <w:t xml:space="preserve"> comparison groups. </w:t>
      </w:r>
      <w:r w:rsidR="00CB50BF">
        <w:t>However, i</w:t>
      </w:r>
      <w:r w:rsidRPr="008260A8">
        <w:t xml:space="preserve">t can hinder independent review and/or replication of the findings. Transparency is limited further if reviewers or implementers do not have access to the non-participant data due to privacy concerns.  </w:t>
      </w:r>
    </w:p>
    <w:p w14:paraId="4D23D761" w14:textId="77777777" w:rsidR="004D2542" w:rsidRPr="008260A8" w:rsidRDefault="004D2542" w:rsidP="004D2542">
      <w:pPr>
        <w:pStyle w:val="Bullets0"/>
      </w:pPr>
      <w:r w:rsidRPr="001B2F0C">
        <w:rPr>
          <w:b/>
          <w:color w:val="8D82A3" w:themeColor="accent4"/>
        </w:rPr>
        <w:t>Complexity and frequency.</w:t>
      </w:r>
      <w:r w:rsidRPr="001B2F0C">
        <w:rPr>
          <w:color w:val="8D82A3" w:themeColor="accent4"/>
        </w:rPr>
        <w:t xml:space="preserve"> </w:t>
      </w:r>
      <w:r w:rsidRPr="008260A8">
        <w:t xml:space="preserve">PG&amp;E and third-party EE program implementers target a wide range of customer segments and geographic areas. Program enrollment occurs throughout the year and different customer sites have unique pre-intervention periods used for baseline periods. Because developing comparison groups typically relies on finding non-participants with similar consumption profiles and demographic indicators during pre-intervention periods, it can require constructing distinct comparison groups for each implementer, participating customer segment, and treatment period; a proposition that adds complexity to existing program administration processes. </w:t>
      </w:r>
    </w:p>
    <w:p w14:paraId="730A7C93" w14:textId="2ED6DAF0" w:rsidR="004D2542" w:rsidRDefault="00CB50BF">
      <w:r>
        <w:t>To address these concerns, PG&amp;E has implemented profiles of aggregated groups of non-participants, called granular profiles (GPs)</w:t>
      </w:r>
      <w:r w:rsidR="009E13BC">
        <w:t xml:space="preserve">. These profiles are comprised of 200 or more non-participant premises that have similar characteristics or segmentation. Published </w:t>
      </w:r>
      <w:proofErr w:type="gramStart"/>
      <w:r w:rsidR="009E13BC">
        <w:t>on a monthly basis</w:t>
      </w:r>
      <w:proofErr w:type="gramEnd"/>
      <w:r w:rsidR="009E13BC">
        <w:t xml:space="preserve">, these profiles are hourly (or daily for gas profiles) aggregations of actual historic consumption for groups of customers. Because </w:t>
      </w:r>
      <w:r w:rsidR="009E13BC">
        <w:lastRenderedPageBreak/>
        <w:t xml:space="preserve">these profiles are reliant on actual consumption patterns of non-participants, they can account for exogenous changes in energy use when combined with participant consumption and treatment data. </w:t>
      </w:r>
    </w:p>
    <w:p w14:paraId="0399F77E" w14:textId="3CAFF9B2" w:rsidR="009E13BC" w:rsidRDefault="009E13BC">
      <w:r>
        <w:t xml:space="preserve">This document provides the methodology for the construction of the granular profiles for PG&amp;E, with particular focus on how segmentation is developed. </w:t>
      </w:r>
    </w:p>
    <w:p w14:paraId="745A1985" w14:textId="77777777" w:rsidR="00F05354" w:rsidRDefault="00F05354" w:rsidP="004D2542">
      <w:pPr>
        <w:pStyle w:val="Heading1"/>
      </w:pPr>
      <w:r>
        <w:lastRenderedPageBreak/>
        <w:t>Granular Profile Construction</w:t>
      </w:r>
    </w:p>
    <w:p w14:paraId="3F9208EA" w14:textId="0C063AF5" w:rsidR="00D70620" w:rsidRDefault="00D70620" w:rsidP="00116D01">
      <w:pPr>
        <w:pStyle w:val="Text"/>
      </w:pPr>
      <w:r>
        <w:t>The procedure to g</w:t>
      </w:r>
      <w:r w:rsidR="0001157D">
        <w:t xml:space="preserve">enerate the granular profile relies on identifying eligible premises that are not enrolled in any energy efficiency programs, applying additional eligibility, size, and volatility screens, then aggregating granular consumption data according to pre-specified segmentation. This section describes the procedure for determining customer segmentation, sampling of granular profile participants, and finally </w:t>
      </w:r>
      <w:r w:rsidR="009818CF">
        <w:t xml:space="preserve">constructing </w:t>
      </w:r>
      <w:r w:rsidR="0001157D">
        <w:t xml:space="preserve">the profiles themselves. </w:t>
      </w:r>
    </w:p>
    <w:p w14:paraId="606CCDC0" w14:textId="228700B8" w:rsidR="00EB3C47" w:rsidRDefault="00EB3C47" w:rsidP="00116D01">
      <w:pPr>
        <w:pStyle w:val="Text"/>
      </w:pPr>
      <w:r>
        <w:t xml:space="preserve">PG&amp;E originally produced granular profiles according to segmentation developed for their PY2019 M&amp;V for Residential Pay-for-Performance and Commercial On-Bill Financing Alternative Pathway programs. These segmentation strategies will be replaced by the new residential and commercial granular profile segmentations in the upcoming months. New segmentation was performed </w:t>
      </w:r>
      <w:proofErr w:type="gramStart"/>
      <w:r>
        <w:t>in order to</w:t>
      </w:r>
      <w:proofErr w:type="gramEnd"/>
      <w:r>
        <w:t xml:space="preserve"> better reflect the diversity of residential load shapes and offer a wider variety of non-residential industry segments. The new segmentation also includes enhanced quality control and validation processes. For reference, both segmentation strategies are defined in this and the following section. While each paragraph in the below highlights a dimension of customer segmentation, note that all granular profiles are constructed for all segmentation dimensions combined</w:t>
      </w:r>
      <w:r w:rsidR="009818CF">
        <w:t xml:space="preserve">; for example, </w:t>
      </w:r>
      <w:r>
        <w:t xml:space="preserve"> a residential granular profile will represent solar customers in climate zone X with summer size bin Y. </w:t>
      </w:r>
    </w:p>
    <w:p w14:paraId="1CCCEB6B" w14:textId="039739B4" w:rsidR="00D70620" w:rsidRDefault="00C5362E" w:rsidP="005A4155">
      <w:pPr>
        <w:pStyle w:val="Heading2"/>
        <w:ind w:left="288" w:hanging="288"/>
      </w:pPr>
      <w:r>
        <w:t>Define the segmentation S</w:t>
      </w:r>
      <w:r w:rsidR="005A4155">
        <w:t>trata</w:t>
      </w:r>
    </w:p>
    <w:p w14:paraId="7C701C3E" w14:textId="77777777" w:rsidR="00C5362E" w:rsidRPr="00C5362E" w:rsidRDefault="00C5362E" w:rsidP="00C5362E">
      <w:pPr>
        <w:pStyle w:val="Heading3"/>
      </w:pPr>
      <w:r>
        <w:t>Residential: Motivation</w:t>
      </w:r>
    </w:p>
    <w:p w14:paraId="73F87573" w14:textId="77777777" w:rsidR="00C5362E" w:rsidRDefault="00C5362E" w:rsidP="00116D01">
      <w:pPr>
        <w:pStyle w:val="Text"/>
      </w:pPr>
      <w:r>
        <w:t xml:space="preserve">In determining the new segmentation strategies for residential granular profiles, PG&amp;E and DSA defined several high-level principles for selecting customer segments. These principles originated in conversation with Recurve to ensure that all parties were confident that program estimates could be produced accurately. </w:t>
      </w:r>
    </w:p>
    <w:p w14:paraId="1DBEB198" w14:textId="77777777" w:rsidR="00C5362E" w:rsidRDefault="00C5362E" w:rsidP="00116D01">
      <w:pPr>
        <w:pStyle w:val="Bullets0"/>
        <w:ind w:left="810"/>
      </w:pPr>
      <w:r w:rsidRPr="003B11D8">
        <w:rPr>
          <w:b/>
          <w:color w:val="E66827" w:themeColor="accent3"/>
        </w:rPr>
        <w:t>Diversity of load shapes:</w:t>
      </w:r>
      <w:r w:rsidRPr="003B11D8">
        <w:rPr>
          <w:color w:val="E66827" w:themeColor="accent3"/>
        </w:rPr>
        <w:t xml:space="preserve"> </w:t>
      </w:r>
      <w:r w:rsidRPr="00B518F2">
        <w:t xml:space="preserve">Per Recurve, residential load shapes need a variety of load </w:t>
      </w:r>
      <w:proofErr w:type="gramStart"/>
      <w:r w:rsidRPr="00B518F2">
        <w:t>profiles</w:t>
      </w:r>
      <w:proofErr w:type="gramEnd"/>
    </w:p>
    <w:p w14:paraId="37AFCE97" w14:textId="77777777" w:rsidR="00C5362E" w:rsidRDefault="00C5362E" w:rsidP="00C5362E">
      <w:pPr>
        <w:pStyle w:val="Bullets0"/>
        <w:numPr>
          <w:ilvl w:val="1"/>
          <w:numId w:val="3"/>
        </w:numPr>
        <w:ind w:left="1440"/>
      </w:pPr>
      <w:r w:rsidRPr="00B518F2">
        <w:t>Construct segmentation on load shape variables</w:t>
      </w:r>
    </w:p>
    <w:p w14:paraId="6E953D6F" w14:textId="77777777" w:rsidR="00C5362E" w:rsidRDefault="00C5362E" w:rsidP="00116D01">
      <w:pPr>
        <w:pStyle w:val="Bullets0"/>
        <w:ind w:left="810"/>
      </w:pPr>
      <w:r w:rsidRPr="003B11D8">
        <w:rPr>
          <w:b/>
          <w:color w:val="E66827" w:themeColor="accent3"/>
        </w:rPr>
        <w:t>Capture solar and non-solar profiles:</w:t>
      </w:r>
      <w:r w:rsidRPr="003B11D8">
        <w:rPr>
          <w:color w:val="E66827" w:themeColor="accent3"/>
        </w:rPr>
        <w:t xml:space="preserve"> </w:t>
      </w:r>
      <w:r w:rsidRPr="00B518F2">
        <w:t xml:space="preserve">Solar customers look significantly different to non-solar </w:t>
      </w:r>
      <w:proofErr w:type="gramStart"/>
      <w:r w:rsidRPr="00B518F2">
        <w:t>customers</w:t>
      </w:r>
      <w:proofErr w:type="gramEnd"/>
    </w:p>
    <w:p w14:paraId="6E62CF92" w14:textId="77777777" w:rsidR="00C5362E" w:rsidRDefault="00C5362E" w:rsidP="00C5362E">
      <w:pPr>
        <w:pStyle w:val="Bullets0"/>
        <w:numPr>
          <w:ilvl w:val="1"/>
          <w:numId w:val="3"/>
        </w:numPr>
        <w:ind w:left="1440"/>
      </w:pPr>
      <w:r w:rsidRPr="00B518F2">
        <w:t xml:space="preserve">Produce separate shapes by solar </w:t>
      </w:r>
      <w:proofErr w:type="gramStart"/>
      <w:r w:rsidRPr="00B518F2">
        <w:t>status</w:t>
      </w:r>
      <w:proofErr w:type="gramEnd"/>
    </w:p>
    <w:p w14:paraId="5FC204CE" w14:textId="77777777" w:rsidR="00C5362E" w:rsidRDefault="00C5362E" w:rsidP="00116D01">
      <w:pPr>
        <w:pStyle w:val="Bullets0"/>
        <w:ind w:left="810"/>
      </w:pPr>
      <w:r w:rsidRPr="00FB3E7D">
        <w:rPr>
          <w:b/>
          <w:color w:val="E66827" w:themeColor="accent3"/>
        </w:rPr>
        <w:t>Consider base characteristics that influence consumption:</w:t>
      </w:r>
      <w:r w:rsidRPr="00FB3E7D">
        <w:rPr>
          <w:color w:val="E66827" w:themeColor="accent3"/>
        </w:rPr>
        <w:t xml:space="preserve"> </w:t>
      </w:r>
      <w:r w:rsidRPr="00B518F2">
        <w:t xml:space="preserve">Granular profiles should be separated by climate zone and/or geography to reflect differences in weather and economic </w:t>
      </w:r>
      <w:proofErr w:type="gramStart"/>
      <w:r w:rsidRPr="00B518F2">
        <w:t>conditions</w:t>
      </w:r>
      <w:proofErr w:type="gramEnd"/>
    </w:p>
    <w:p w14:paraId="313F3AEA" w14:textId="77777777" w:rsidR="00C5362E" w:rsidRDefault="00C5362E" w:rsidP="00C5362E">
      <w:pPr>
        <w:pStyle w:val="Bullets0"/>
        <w:numPr>
          <w:ilvl w:val="1"/>
          <w:numId w:val="3"/>
        </w:numPr>
        <w:ind w:left="1440"/>
      </w:pPr>
      <w:r w:rsidRPr="00B518F2">
        <w:t xml:space="preserve">Produce segments by climate zone groups and electric heat </w:t>
      </w:r>
      <w:proofErr w:type="gramStart"/>
      <w:r w:rsidRPr="00B518F2">
        <w:t>status</w:t>
      </w:r>
      <w:proofErr w:type="gramEnd"/>
    </w:p>
    <w:p w14:paraId="61C3E1F2" w14:textId="77777777" w:rsidR="00C5362E" w:rsidRDefault="00C5362E" w:rsidP="00116D01">
      <w:pPr>
        <w:pStyle w:val="Bullets0"/>
        <w:ind w:left="810"/>
      </w:pPr>
      <w:r w:rsidRPr="00FB3E7D">
        <w:rPr>
          <w:b/>
          <w:color w:val="E66827" w:themeColor="accent3"/>
        </w:rPr>
        <w:t>Simple to calculate:</w:t>
      </w:r>
      <w:r w:rsidRPr="00FB3E7D">
        <w:rPr>
          <w:color w:val="E66827" w:themeColor="accent3"/>
        </w:rPr>
        <w:t xml:space="preserve"> </w:t>
      </w:r>
      <w:r w:rsidRPr="00B518F2">
        <w:t>Should not require undue calculations for PG&amp;E</w:t>
      </w:r>
    </w:p>
    <w:p w14:paraId="32BFF0EF" w14:textId="77777777" w:rsidR="00C5362E" w:rsidRDefault="00C5362E" w:rsidP="00C5362E">
      <w:pPr>
        <w:pStyle w:val="Bullets0"/>
        <w:numPr>
          <w:ilvl w:val="1"/>
          <w:numId w:val="3"/>
        </w:numPr>
        <w:ind w:left="1440"/>
      </w:pPr>
      <w:r w:rsidRPr="00B518F2">
        <w:t xml:space="preserve">Simple segmentation – load shape variables easy to </w:t>
      </w:r>
      <w:proofErr w:type="gramStart"/>
      <w:r w:rsidRPr="00B518F2">
        <w:t>calculate</w:t>
      </w:r>
      <w:proofErr w:type="gramEnd"/>
    </w:p>
    <w:p w14:paraId="088AC982" w14:textId="77777777" w:rsidR="00C5362E" w:rsidRDefault="00C5362E" w:rsidP="00116D01">
      <w:pPr>
        <w:pStyle w:val="Bullets0"/>
        <w:ind w:left="810"/>
      </w:pPr>
      <w:r w:rsidRPr="00FB3E7D">
        <w:rPr>
          <w:b/>
          <w:color w:val="E66827" w:themeColor="accent3"/>
        </w:rPr>
        <w:t>Data sufficiency:</w:t>
      </w:r>
      <w:r w:rsidRPr="00FB3E7D">
        <w:rPr>
          <w:color w:val="E66827" w:themeColor="accent3"/>
        </w:rPr>
        <w:t xml:space="preserve"> </w:t>
      </w:r>
      <w:r w:rsidRPr="00B518F2">
        <w:t xml:space="preserve">Profiles should have enough customers so that outliers and account churn can be </w:t>
      </w:r>
      <w:proofErr w:type="gramStart"/>
      <w:r w:rsidRPr="00B518F2">
        <w:t>accommodated</w:t>
      </w:r>
      <w:proofErr w:type="gramEnd"/>
    </w:p>
    <w:p w14:paraId="4F613B0B" w14:textId="77777777" w:rsidR="00C5362E" w:rsidRDefault="00C5362E" w:rsidP="00C5362E">
      <w:pPr>
        <w:pStyle w:val="Bullets0"/>
        <w:numPr>
          <w:ilvl w:val="1"/>
          <w:numId w:val="3"/>
        </w:numPr>
        <w:ind w:left="1440"/>
      </w:pPr>
      <w:r w:rsidRPr="00B518F2">
        <w:lastRenderedPageBreak/>
        <w:t xml:space="preserve">Require </w:t>
      </w:r>
      <w:r>
        <w:t>sufficient premises</w:t>
      </w:r>
      <w:r w:rsidRPr="00B518F2">
        <w:t xml:space="preserve"> in each segment to ensure profile </w:t>
      </w:r>
      <w:proofErr w:type="gramStart"/>
      <w:r w:rsidRPr="00B518F2">
        <w:t>robustness</w:t>
      </w:r>
      <w:proofErr w:type="gramEnd"/>
    </w:p>
    <w:p w14:paraId="60230563" w14:textId="77777777" w:rsidR="00564754" w:rsidRDefault="00C5362E" w:rsidP="00116D01">
      <w:pPr>
        <w:pStyle w:val="Text"/>
      </w:pPr>
      <w:r>
        <w:t xml:space="preserve">The segmentation strategy that resulted from these principles relies on grouping residential premises in according to four categories: </w:t>
      </w:r>
      <w:r w:rsidRPr="00116D01">
        <w:t>Climate Zone Groups</w:t>
      </w:r>
      <w:r w:rsidR="00564754" w:rsidRPr="00116D01">
        <w:t xml:space="preserve">, </w:t>
      </w:r>
      <w:r w:rsidRPr="00116D01">
        <w:t>Solar Status</w:t>
      </w:r>
      <w:r w:rsidR="00564754" w:rsidRPr="00116D01">
        <w:t xml:space="preserve">, </w:t>
      </w:r>
      <w:r w:rsidRPr="00116D01">
        <w:t>Premise Characteristics</w:t>
      </w:r>
      <w:r w:rsidR="00564754" w:rsidRPr="00116D01">
        <w:t xml:space="preserve">, and </w:t>
      </w:r>
      <w:r w:rsidRPr="00116D01">
        <w:t>Load Shape Characteristics</w:t>
      </w:r>
      <w:r w:rsidR="00564754" w:rsidRPr="00116D01">
        <w:t xml:space="preserve">. </w:t>
      </w:r>
    </w:p>
    <w:p w14:paraId="3A92927D" w14:textId="461EF131" w:rsidR="00C5362E" w:rsidRDefault="00C5362E" w:rsidP="00116D01">
      <w:pPr>
        <w:pStyle w:val="Text"/>
      </w:pPr>
      <w:r>
        <w:t>The load shape segmentation is a new addition to the residential granular profiles and addresses concerns that Recurve had regarding how to accurately capture peak and net peak savings. This statistic is calculated by computing the percent of total daily consumption that occurs between 1pm and 4pm on summer weekdays with no heating or cooling load (based on temperature conditions). This allows for more accurate assessment</w:t>
      </w:r>
      <w:r w:rsidR="00D87089">
        <w:t>s</w:t>
      </w:r>
      <w:r>
        <w:t xml:space="preserve"> of customer occupancy and produces a diversity of granular profile load shapes. Shown in </w:t>
      </w:r>
      <w:r>
        <w:fldChar w:fldCharType="begin"/>
      </w:r>
      <w:r>
        <w:instrText xml:space="preserve"> REF _Ref113357496 \h </w:instrText>
      </w:r>
      <w:r w:rsidR="009818CF">
        <w:instrText xml:space="preserve"> \* MERGEFORMAT </w:instrText>
      </w:r>
      <w:r>
        <w:fldChar w:fldCharType="separate"/>
      </w:r>
      <w:r>
        <w:t>Figure 1</w:t>
      </w:r>
      <w:r>
        <w:fldChar w:fldCharType="end"/>
      </w:r>
      <w:r>
        <w:t xml:space="preserve"> are example granular profiles produced from this segmentation. Each cluster of five load shapes represents one of four quartiles of load shape segmentation for </w:t>
      </w:r>
      <w:proofErr w:type="gramStart"/>
      <w:r>
        <w:t>Non-Solar</w:t>
      </w:r>
      <w:proofErr w:type="gramEnd"/>
      <w:r>
        <w:t xml:space="preserve"> customers in the Coastal climate zones. The five load shapes in each segment represent the four quartiles of annual consumption plus the electric heat customer group. </w:t>
      </w:r>
    </w:p>
    <w:p w14:paraId="240A91FD" w14:textId="77777777" w:rsidR="00C5362E" w:rsidRDefault="00C5362E" w:rsidP="00C5362E">
      <w:pPr>
        <w:pStyle w:val="TableFigureorCaption"/>
      </w:pPr>
      <w:bookmarkStart w:id="1" w:name="_Ref113357496"/>
      <w:r>
        <w:t xml:space="preserve">Figure </w:t>
      </w:r>
      <w:r w:rsidR="00000000">
        <w:fldChar w:fldCharType="begin"/>
      </w:r>
      <w:r w:rsidR="00000000">
        <w:instrText xml:space="preserve"> SEQ Figure \* ARABIC </w:instrText>
      </w:r>
      <w:r w:rsidR="00000000">
        <w:fldChar w:fldCharType="separate"/>
      </w:r>
      <w:r>
        <w:rPr>
          <w:noProof/>
        </w:rPr>
        <w:t>1</w:t>
      </w:r>
      <w:r w:rsidR="00000000">
        <w:rPr>
          <w:noProof/>
        </w:rPr>
        <w:fldChar w:fldCharType="end"/>
      </w:r>
      <w:bookmarkEnd w:id="1"/>
      <w:r>
        <w:t>: Example Load Shape Segmentation Results</w:t>
      </w:r>
    </w:p>
    <w:p w14:paraId="448F62D0" w14:textId="77777777" w:rsidR="00C5362E" w:rsidRPr="00C5362E" w:rsidRDefault="00555DE0" w:rsidP="00C5362E">
      <w:r w:rsidRPr="004D2542">
        <w:rPr>
          <w:noProof/>
        </w:rPr>
        <w:drawing>
          <wp:inline distT="0" distB="0" distL="0" distR="0" wp14:anchorId="0AF5890B" wp14:editId="089733E8">
            <wp:extent cx="5943600" cy="2654935"/>
            <wp:effectExtent l="0" t="0" r="0" b="0"/>
            <wp:docPr id="6"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654935"/>
                    </a:xfrm>
                    <a:prstGeom prst="rect">
                      <a:avLst/>
                    </a:prstGeom>
                    <a:ln>
                      <a:noFill/>
                    </a:ln>
                  </pic:spPr>
                </pic:pic>
              </a:graphicData>
            </a:graphic>
          </wp:inline>
        </w:drawing>
      </w:r>
    </w:p>
    <w:p w14:paraId="4BCE9F7A" w14:textId="77777777" w:rsidR="00555DE0" w:rsidRDefault="00555DE0" w:rsidP="000A11E3">
      <w:pPr>
        <w:pStyle w:val="Heading3"/>
      </w:pPr>
      <w:r>
        <w:t>Commercial: Motivation</w:t>
      </w:r>
    </w:p>
    <w:p w14:paraId="50C8E3F6" w14:textId="2AD08633" w:rsidR="00555DE0" w:rsidRDefault="00555DE0" w:rsidP="00D87089">
      <w:pPr>
        <w:pStyle w:val="Text"/>
      </w:pPr>
      <w:r>
        <w:t xml:space="preserve">Commercial granular profiles reflect the diversity of industries in PG&amp;E’s territory. Rather than using load shape segmentation – as was done for residential premises – the non-residential segmentation strategy involves segmenting customers into sizes and industries within a climate zone group. The industry mapping is done </w:t>
      </w:r>
      <w:proofErr w:type="gramStart"/>
      <w:r>
        <w:t>on the basis of</w:t>
      </w:r>
      <w:proofErr w:type="gramEnd"/>
      <w:r>
        <w:t xml:space="preserve"> premise NAICS codes and includes mapping for the groups listed in </w:t>
      </w:r>
      <w:r>
        <w:fldChar w:fldCharType="begin"/>
      </w:r>
      <w:r>
        <w:instrText xml:space="preserve"> REF _Ref113451891 \h </w:instrText>
      </w:r>
      <w:r w:rsidR="00D87089">
        <w:instrText xml:space="preserve"> \* MERGEFORMAT </w:instrText>
      </w:r>
      <w:r>
        <w:fldChar w:fldCharType="separate"/>
      </w:r>
      <w:r w:rsidR="00D87089">
        <w:t>Table 2</w:t>
      </w:r>
      <w:r>
        <w:fldChar w:fldCharType="end"/>
      </w:r>
      <w:r>
        <w:t xml:space="preserve">. </w:t>
      </w:r>
    </w:p>
    <w:p w14:paraId="45DE29A3" w14:textId="31A56CC0" w:rsidR="00555DE0" w:rsidRPr="00FE0245" w:rsidRDefault="00555DE0" w:rsidP="00555DE0">
      <w:pPr>
        <w:pStyle w:val="TableFigureorCaption"/>
      </w:pPr>
      <w:bookmarkStart w:id="2" w:name="_Ref113451891"/>
      <w:r>
        <w:t xml:space="preserve">Table </w:t>
      </w:r>
      <w:r w:rsidR="00000000">
        <w:fldChar w:fldCharType="begin"/>
      </w:r>
      <w:r w:rsidR="00000000">
        <w:instrText xml:space="preserve"> SEQ Table \* ARABIC </w:instrText>
      </w:r>
      <w:r w:rsidR="00000000">
        <w:fldChar w:fldCharType="separate"/>
      </w:r>
      <w:r w:rsidR="00D87089">
        <w:rPr>
          <w:noProof/>
        </w:rPr>
        <w:t>2</w:t>
      </w:r>
      <w:r w:rsidR="00000000">
        <w:rPr>
          <w:noProof/>
        </w:rPr>
        <w:fldChar w:fldCharType="end"/>
      </w:r>
      <w:bookmarkEnd w:id="2"/>
      <w:r>
        <w:t>: List of Commercial Granular Profile Industry Segments</w:t>
      </w:r>
    </w:p>
    <w:tbl>
      <w:tblPr>
        <w:tblW w:w="8620" w:type="dxa"/>
        <w:jc w:val="center"/>
        <w:tblCellMar>
          <w:left w:w="0" w:type="dxa"/>
          <w:right w:w="0" w:type="dxa"/>
        </w:tblCellMar>
        <w:tblLook w:val="0600" w:firstRow="0" w:lastRow="0" w:firstColumn="0" w:lastColumn="0" w:noHBand="1" w:noVBand="1"/>
      </w:tblPr>
      <w:tblGrid>
        <w:gridCol w:w="4310"/>
        <w:gridCol w:w="4310"/>
      </w:tblGrid>
      <w:tr w:rsidR="00555DE0" w:rsidRPr="007D4E6A" w14:paraId="101D6E45" w14:textId="77777777" w:rsidTr="00116D01">
        <w:trPr>
          <w:trHeight w:val="450"/>
          <w:jc w:val="center"/>
        </w:trPr>
        <w:tc>
          <w:tcPr>
            <w:tcW w:w="4310"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76F020D0" w14:textId="77777777" w:rsidR="00555DE0" w:rsidRPr="007D4E6A" w:rsidRDefault="00555DE0" w:rsidP="007B1A7C">
            <w:r w:rsidRPr="007D4E6A">
              <w:t>Agriculture and Pumping</w:t>
            </w:r>
          </w:p>
        </w:tc>
        <w:tc>
          <w:tcPr>
            <w:tcW w:w="4310"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7527BA27" w14:textId="77777777" w:rsidR="00555DE0" w:rsidRPr="007D4E6A" w:rsidRDefault="00555DE0" w:rsidP="007B1A7C">
            <w:r w:rsidRPr="007D4E6A">
              <w:t>Manufacturing</w:t>
            </w:r>
          </w:p>
        </w:tc>
      </w:tr>
      <w:tr w:rsidR="00555DE0" w:rsidRPr="007D4E6A" w14:paraId="5BEE3BE4" w14:textId="77777777" w:rsidTr="00116D01">
        <w:trPr>
          <w:trHeight w:val="450"/>
          <w:jc w:val="center"/>
        </w:trPr>
        <w:tc>
          <w:tcPr>
            <w:tcW w:w="4310"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541C0988" w14:textId="77777777" w:rsidR="00555DE0" w:rsidRPr="007D4E6A" w:rsidRDefault="00555DE0" w:rsidP="007B1A7C">
            <w:r w:rsidRPr="007D4E6A">
              <w:lastRenderedPageBreak/>
              <w:t>Automotive and Repair</w:t>
            </w:r>
          </w:p>
        </w:tc>
        <w:tc>
          <w:tcPr>
            <w:tcW w:w="4310"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52A696A6" w14:textId="77777777" w:rsidR="00555DE0" w:rsidRPr="007D4E6A" w:rsidRDefault="00555DE0" w:rsidP="007B1A7C">
            <w:r w:rsidRPr="007D4E6A">
              <w:t>Miscellaneous/Unknown</w:t>
            </w:r>
          </w:p>
        </w:tc>
      </w:tr>
      <w:tr w:rsidR="00555DE0" w:rsidRPr="007D4E6A" w14:paraId="6517E676" w14:textId="77777777" w:rsidTr="00116D01">
        <w:trPr>
          <w:trHeight w:val="450"/>
          <w:jc w:val="center"/>
        </w:trPr>
        <w:tc>
          <w:tcPr>
            <w:tcW w:w="4310"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5D7C6EA5" w14:textId="77777777" w:rsidR="00555DE0" w:rsidRPr="007D4E6A" w:rsidRDefault="00555DE0" w:rsidP="007B1A7C">
            <w:r w:rsidRPr="007D4E6A">
              <w:t>Education</w:t>
            </w:r>
          </w:p>
        </w:tc>
        <w:tc>
          <w:tcPr>
            <w:tcW w:w="4310"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09ADA176" w14:textId="77777777" w:rsidR="00555DE0" w:rsidRPr="007D4E6A" w:rsidRDefault="00555DE0" w:rsidP="007B1A7C">
            <w:r w:rsidRPr="007D4E6A">
              <w:t>Office</w:t>
            </w:r>
          </w:p>
        </w:tc>
      </w:tr>
      <w:tr w:rsidR="00555DE0" w:rsidRPr="007D4E6A" w14:paraId="64FB1B94" w14:textId="77777777" w:rsidTr="00116D01">
        <w:trPr>
          <w:trHeight w:val="450"/>
          <w:jc w:val="center"/>
        </w:trPr>
        <w:tc>
          <w:tcPr>
            <w:tcW w:w="4310"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60F1185A" w14:textId="77777777" w:rsidR="00555DE0" w:rsidRPr="007D4E6A" w:rsidRDefault="00555DE0" w:rsidP="007B1A7C">
            <w:r w:rsidRPr="007D4E6A">
              <w:t>Full-Service Restaurants and Bars</w:t>
            </w:r>
          </w:p>
        </w:tc>
        <w:tc>
          <w:tcPr>
            <w:tcW w:w="4310"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1C402C95" w14:textId="77777777" w:rsidR="00555DE0" w:rsidRPr="007D4E6A" w:rsidRDefault="00555DE0" w:rsidP="007B1A7C">
            <w:r w:rsidRPr="007D4E6A">
              <w:t>Personal Care Services</w:t>
            </w:r>
          </w:p>
        </w:tc>
      </w:tr>
      <w:tr w:rsidR="00555DE0" w:rsidRPr="007D4E6A" w14:paraId="460AA683" w14:textId="77777777" w:rsidTr="00116D01">
        <w:trPr>
          <w:trHeight w:val="450"/>
          <w:jc w:val="center"/>
        </w:trPr>
        <w:tc>
          <w:tcPr>
            <w:tcW w:w="4310"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105DF999" w14:textId="77777777" w:rsidR="00555DE0" w:rsidRPr="007D4E6A" w:rsidRDefault="00555DE0" w:rsidP="007B1A7C">
            <w:r w:rsidRPr="007D4E6A">
              <w:t>Gas Stations &amp; Convenience Stores</w:t>
            </w:r>
          </w:p>
        </w:tc>
        <w:tc>
          <w:tcPr>
            <w:tcW w:w="4310"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003D2D97" w14:textId="77777777" w:rsidR="00555DE0" w:rsidRPr="007D4E6A" w:rsidRDefault="00555DE0" w:rsidP="007B1A7C">
            <w:r w:rsidRPr="007D4E6A">
              <w:t>Property Management</w:t>
            </w:r>
          </w:p>
        </w:tc>
      </w:tr>
      <w:tr w:rsidR="00555DE0" w:rsidRPr="007D4E6A" w14:paraId="3AE36AFB" w14:textId="77777777" w:rsidTr="00116D01">
        <w:trPr>
          <w:trHeight w:val="450"/>
          <w:jc w:val="center"/>
        </w:trPr>
        <w:tc>
          <w:tcPr>
            <w:tcW w:w="4310"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21A2D353" w14:textId="77777777" w:rsidR="00555DE0" w:rsidRPr="007D4E6A" w:rsidRDefault="00555DE0" w:rsidP="007B1A7C">
            <w:r w:rsidRPr="007D4E6A">
              <w:t>Government-Institutional</w:t>
            </w:r>
          </w:p>
        </w:tc>
        <w:tc>
          <w:tcPr>
            <w:tcW w:w="4310"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7E91CFF2" w14:textId="77777777" w:rsidR="00555DE0" w:rsidRPr="007D4E6A" w:rsidRDefault="00555DE0" w:rsidP="007B1A7C">
            <w:r w:rsidRPr="007D4E6A">
              <w:t>Religious</w:t>
            </w:r>
          </w:p>
        </w:tc>
      </w:tr>
      <w:tr w:rsidR="00555DE0" w:rsidRPr="007D4E6A" w14:paraId="1F63A83B" w14:textId="77777777" w:rsidTr="00116D01">
        <w:trPr>
          <w:trHeight w:val="450"/>
          <w:jc w:val="center"/>
        </w:trPr>
        <w:tc>
          <w:tcPr>
            <w:tcW w:w="4310"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418BE099" w14:textId="77777777" w:rsidR="00555DE0" w:rsidRPr="007D4E6A" w:rsidRDefault="00555DE0" w:rsidP="007B1A7C">
            <w:r w:rsidRPr="007D4E6A">
              <w:t>Grocery</w:t>
            </w:r>
          </w:p>
        </w:tc>
        <w:tc>
          <w:tcPr>
            <w:tcW w:w="4310"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2E341703" w14:textId="77777777" w:rsidR="00555DE0" w:rsidRPr="007D4E6A" w:rsidRDefault="00555DE0" w:rsidP="007B1A7C">
            <w:r w:rsidRPr="007D4E6A">
              <w:t>Retail</w:t>
            </w:r>
          </w:p>
        </w:tc>
      </w:tr>
      <w:tr w:rsidR="00555DE0" w:rsidRPr="007D4E6A" w14:paraId="6CACB40F" w14:textId="77777777" w:rsidTr="00116D01">
        <w:trPr>
          <w:trHeight w:val="450"/>
          <w:jc w:val="center"/>
        </w:trPr>
        <w:tc>
          <w:tcPr>
            <w:tcW w:w="4310"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4D39A69D" w14:textId="77777777" w:rsidR="00555DE0" w:rsidRPr="007D4E6A" w:rsidRDefault="00555DE0" w:rsidP="007B1A7C">
            <w:r w:rsidRPr="007D4E6A">
              <w:t>Health</w:t>
            </w:r>
          </w:p>
        </w:tc>
        <w:tc>
          <w:tcPr>
            <w:tcW w:w="4310"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37B9C44E" w14:textId="77777777" w:rsidR="00555DE0" w:rsidRPr="007D4E6A" w:rsidRDefault="00555DE0" w:rsidP="007B1A7C">
            <w:r w:rsidRPr="007D4E6A">
              <w:t>Transportation, Communications, and Utilities</w:t>
            </w:r>
          </w:p>
        </w:tc>
      </w:tr>
      <w:tr w:rsidR="00555DE0" w:rsidRPr="007D4E6A" w14:paraId="07FBAEFB" w14:textId="77777777" w:rsidTr="00116D01">
        <w:trPr>
          <w:trHeight w:val="450"/>
          <w:jc w:val="center"/>
        </w:trPr>
        <w:tc>
          <w:tcPr>
            <w:tcW w:w="4310"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3884877B" w14:textId="77777777" w:rsidR="00555DE0" w:rsidRPr="007D4E6A" w:rsidRDefault="00555DE0" w:rsidP="007B1A7C">
            <w:r w:rsidRPr="007D4E6A">
              <w:t>Limited-Service  Restaurants</w:t>
            </w:r>
          </w:p>
        </w:tc>
        <w:tc>
          <w:tcPr>
            <w:tcW w:w="4310"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4F4E400A" w14:textId="77777777" w:rsidR="00555DE0" w:rsidRPr="007D4E6A" w:rsidRDefault="00555DE0" w:rsidP="007B1A7C">
            <w:r w:rsidRPr="007D4E6A">
              <w:t>Warehouse and Wholesale</w:t>
            </w:r>
          </w:p>
        </w:tc>
      </w:tr>
      <w:tr w:rsidR="00555DE0" w:rsidRPr="007D4E6A" w14:paraId="6B46AD28" w14:textId="77777777" w:rsidTr="00116D01">
        <w:trPr>
          <w:trHeight w:val="450"/>
          <w:jc w:val="center"/>
        </w:trPr>
        <w:tc>
          <w:tcPr>
            <w:tcW w:w="4310"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5D748383" w14:textId="77777777" w:rsidR="00555DE0" w:rsidRPr="007D4E6A" w:rsidRDefault="00555DE0" w:rsidP="007B1A7C">
            <w:r w:rsidRPr="007D4E6A">
              <w:t>Lodging and Entertainment</w:t>
            </w:r>
          </w:p>
        </w:tc>
        <w:tc>
          <w:tcPr>
            <w:tcW w:w="4310"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59E6187F" w14:textId="77777777" w:rsidR="00555DE0" w:rsidRPr="007D4E6A" w:rsidRDefault="00555DE0" w:rsidP="007B1A7C">
            <w:r w:rsidRPr="007D4E6A">
              <w:t>Construction</w:t>
            </w:r>
          </w:p>
        </w:tc>
      </w:tr>
    </w:tbl>
    <w:p w14:paraId="116DBC63" w14:textId="77777777" w:rsidR="00555DE0" w:rsidRDefault="00555DE0" w:rsidP="00555DE0"/>
    <w:p w14:paraId="39E0E853" w14:textId="77777777" w:rsidR="00555DE0" w:rsidRPr="007D4E6A" w:rsidRDefault="00555DE0" w:rsidP="00116D01">
      <w:pPr>
        <w:pStyle w:val="Text"/>
      </w:pPr>
      <w:r>
        <w:t xml:space="preserve">Granular profile premises are also segmented </w:t>
      </w:r>
      <w:proofErr w:type="gramStart"/>
      <w:r>
        <w:t>in to</w:t>
      </w:r>
      <w:proofErr w:type="gramEnd"/>
      <w:r>
        <w:t xml:space="preserve"> climate zone groups and customer size, as determined by the premise’s rate code. </w:t>
      </w:r>
    </w:p>
    <w:p w14:paraId="043D8123" w14:textId="77777777" w:rsidR="000A11E3" w:rsidRDefault="000A11E3" w:rsidP="000A11E3">
      <w:pPr>
        <w:pStyle w:val="Heading3"/>
      </w:pPr>
      <w:r>
        <w:t>Climate Zone Groups</w:t>
      </w:r>
    </w:p>
    <w:p w14:paraId="468FCC0B" w14:textId="77777777" w:rsidR="00DD0266" w:rsidRDefault="00DD0266" w:rsidP="00116D01">
      <w:pPr>
        <w:pStyle w:val="Text"/>
      </w:pPr>
      <w:r>
        <w:t>To improve reporting across a wider variety of weather conditions, both commercial and residential granular profiles will now be produced for each of four climate zone groups:</w:t>
      </w:r>
    </w:p>
    <w:p w14:paraId="1593A1E8" w14:textId="77777777" w:rsidR="00DD0266" w:rsidRDefault="00DD0266" w:rsidP="0017458B">
      <w:pPr>
        <w:pStyle w:val="Bullets0"/>
        <w:numPr>
          <w:ilvl w:val="0"/>
          <w:numId w:val="16"/>
        </w:numPr>
        <w:ind w:left="720" w:hanging="270"/>
      </w:pPr>
      <w:r>
        <w:t>Coastal (Zones 1, 3, and 5)</w:t>
      </w:r>
    </w:p>
    <w:p w14:paraId="5BB707F0" w14:textId="77777777" w:rsidR="00DD0266" w:rsidRDefault="00DD0266" w:rsidP="0017458B">
      <w:pPr>
        <w:pStyle w:val="Bullets0"/>
        <w:numPr>
          <w:ilvl w:val="0"/>
          <w:numId w:val="16"/>
        </w:numPr>
        <w:ind w:left="720" w:hanging="270"/>
      </w:pPr>
      <w:r>
        <w:t>Inland (Zones 2 and 4)</w:t>
      </w:r>
    </w:p>
    <w:p w14:paraId="17B8670B" w14:textId="77777777" w:rsidR="00DD0266" w:rsidRDefault="00DD0266" w:rsidP="0017458B">
      <w:pPr>
        <w:pStyle w:val="Bullets0"/>
        <w:numPr>
          <w:ilvl w:val="0"/>
          <w:numId w:val="16"/>
        </w:numPr>
        <w:ind w:left="720" w:hanging="270"/>
      </w:pPr>
      <w:r>
        <w:t>North Central Valley (Zones 11 and 12)</w:t>
      </w:r>
    </w:p>
    <w:p w14:paraId="1855D735" w14:textId="77777777" w:rsidR="00DD0266" w:rsidRDefault="00DD0266" w:rsidP="0017458B">
      <w:pPr>
        <w:pStyle w:val="Bullets0"/>
        <w:numPr>
          <w:ilvl w:val="0"/>
          <w:numId w:val="16"/>
        </w:numPr>
        <w:ind w:left="720" w:hanging="270"/>
      </w:pPr>
      <w:r>
        <w:t>South Central Valley (Zone 13)</w:t>
      </w:r>
    </w:p>
    <w:p w14:paraId="302DC74C" w14:textId="77777777" w:rsidR="008064DE" w:rsidRPr="00DD0266" w:rsidRDefault="008064DE" w:rsidP="00116D01">
      <w:pPr>
        <w:pStyle w:val="Text"/>
      </w:pPr>
      <w:r>
        <w:t xml:space="preserve">This segmentation improves on the 2 climate zone groups available for non-residential customers in the prior version of the granular profiles, while also accommodating an additional dimension of segmentation for residential customers (that is, adding load shape segmentation). </w:t>
      </w:r>
    </w:p>
    <w:p w14:paraId="67438D8B" w14:textId="77777777" w:rsidR="000A11E3" w:rsidRDefault="000A11E3" w:rsidP="000A11E3">
      <w:pPr>
        <w:pStyle w:val="Heading3"/>
      </w:pPr>
      <w:r>
        <w:t>Residential: Solar Status</w:t>
      </w:r>
    </w:p>
    <w:p w14:paraId="2599ECA8" w14:textId="77777777" w:rsidR="003A6158" w:rsidRPr="003A6158" w:rsidRDefault="003A6158" w:rsidP="00116D01">
      <w:pPr>
        <w:pStyle w:val="Text"/>
      </w:pPr>
      <w:r>
        <w:t xml:space="preserve">Residential granular profiles are constructed separately for customers with installed solar PV and for those without. The information about whether a premise has solar installed comes from PG&amp;E’s interconnection database, which documents the interconnection date and installed capacity for each premise. </w:t>
      </w:r>
    </w:p>
    <w:p w14:paraId="1D18B6BC" w14:textId="77777777" w:rsidR="000A11E3" w:rsidRDefault="000A11E3" w:rsidP="000A11E3">
      <w:pPr>
        <w:pStyle w:val="Heading3"/>
      </w:pPr>
      <w:r>
        <w:t>Residential: Customer Size</w:t>
      </w:r>
      <w:r w:rsidR="003A6158">
        <w:t xml:space="preserve"> and Electric Heat</w:t>
      </w:r>
    </w:p>
    <w:p w14:paraId="58270BA2" w14:textId="55F04E72" w:rsidR="003A6158" w:rsidRDefault="003A6158" w:rsidP="00116D01">
      <w:pPr>
        <w:pStyle w:val="Text"/>
      </w:pPr>
      <w:r>
        <w:t xml:space="preserve">Residential granular profile candidates are segmented </w:t>
      </w:r>
      <w:proofErr w:type="gramStart"/>
      <w:r>
        <w:t>in to</w:t>
      </w:r>
      <w:proofErr w:type="gramEnd"/>
      <w:r>
        <w:t xml:space="preserve"> groups based on electric heat status</w:t>
      </w:r>
      <w:r w:rsidR="009D5B18">
        <w:t>, as defined by the electric end-use rate code within PG&amp;E’s customer database</w:t>
      </w:r>
      <w:r>
        <w:t xml:space="preserve">. For sites without electric </w:t>
      </w:r>
      <w:r>
        <w:lastRenderedPageBreak/>
        <w:t xml:space="preserve">heat, they are further segmented based on size bins within each climate zone group. </w:t>
      </w:r>
      <w:r w:rsidR="00AB6F52">
        <w:t xml:space="preserve">The size bins are constructed </w:t>
      </w:r>
      <w:proofErr w:type="gramStart"/>
      <w:r w:rsidR="00711F4C">
        <w:t>on the basis of</w:t>
      </w:r>
      <w:proofErr w:type="gramEnd"/>
      <w:r w:rsidR="00711F4C">
        <w:t xml:space="preserve"> relevant premise characteristics: installed solar capacity for solar customers, annual kWh for non-solar customers, and annual </w:t>
      </w:r>
      <w:proofErr w:type="spellStart"/>
      <w:r w:rsidR="00711F4C">
        <w:t>therms</w:t>
      </w:r>
      <w:proofErr w:type="spellEnd"/>
      <w:r w:rsidR="00711F4C">
        <w:t xml:space="preserve"> for gas customers. </w:t>
      </w:r>
      <w:r w:rsidR="00B30F4F">
        <w:t xml:space="preserve">A summary is shown below. </w:t>
      </w:r>
    </w:p>
    <w:p w14:paraId="6CF62EAC" w14:textId="77777777" w:rsidR="00B30F4F" w:rsidRDefault="00B30F4F" w:rsidP="00B30F4F">
      <w:pPr>
        <w:pStyle w:val="TableFigureorCaption"/>
      </w:pPr>
      <w:r>
        <w:t xml:space="preserve">Table </w:t>
      </w:r>
      <w:r w:rsidR="00000000">
        <w:fldChar w:fldCharType="begin"/>
      </w:r>
      <w:r w:rsidR="00000000">
        <w:instrText xml:space="preserve"> SEQ Table \* ARABIC </w:instrText>
      </w:r>
      <w:r w:rsidR="00000000">
        <w:fldChar w:fldCharType="separate"/>
      </w:r>
      <w:r w:rsidR="00203646">
        <w:rPr>
          <w:noProof/>
        </w:rPr>
        <w:t>3</w:t>
      </w:r>
      <w:r w:rsidR="00000000">
        <w:rPr>
          <w:noProof/>
        </w:rPr>
        <w:fldChar w:fldCharType="end"/>
      </w:r>
      <w:r>
        <w:t>: New Residential Premise Size Segmentation</w:t>
      </w:r>
    </w:p>
    <w:tbl>
      <w:tblPr>
        <w:tblStyle w:val="ListTable3-Accent1"/>
        <w:tblW w:w="10080" w:type="dxa"/>
        <w:jc w:val="center"/>
        <w:tblLook w:val="04A0" w:firstRow="1" w:lastRow="0" w:firstColumn="1" w:lastColumn="0" w:noHBand="0" w:noVBand="1"/>
      </w:tblPr>
      <w:tblGrid>
        <w:gridCol w:w="881"/>
        <w:gridCol w:w="3066"/>
        <w:gridCol w:w="3066"/>
        <w:gridCol w:w="3067"/>
      </w:tblGrid>
      <w:tr w:rsidR="003A6158" w14:paraId="0E482D91" w14:textId="77777777" w:rsidTr="00C86F5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81" w:type="dxa"/>
          </w:tcPr>
          <w:p w14:paraId="3B69811C" w14:textId="77777777" w:rsidR="003A6158" w:rsidRDefault="00F4215A" w:rsidP="003A6158">
            <w:r>
              <w:t xml:space="preserve">Bin </w:t>
            </w:r>
          </w:p>
        </w:tc>
        <w:tc>
          <w:tcPr>
            <w:tcW w:w="3066" w:type="dxa"/>
          </w:tcPr>
          <w:p w14:paraId="598AD621" w14:textId="77777777" w:rsidR="003A6158" w:rsidRDefault="00F4215A" w:rsidP="003A6158">
            <w:pPr>
              <w:cnfStyle w:val="100000000000" w:firstRow="1" w:lastRow="0" w:firstColumn="0" w:lastColumn="0" w:oddVBand="0" w:evenVBand="0" w:oddHBand="0" w:evenHBand="0" w:firstRowFirstColumn="0" w:firstRowLastColumn="0" w:lastRowFirstColumn="0" w:lastRowLastColumn="0"/>
            </w:pPr>
            <w:r>
              <w:t xml:space="preserve">Electric - </w:t>
            </w:r>
            <w:r w:rsidR="003A6158">
              <w:t>Solar</w:t>
            </w:r>
          </w:p>
        </w:tc>
        <w:tc>
          <w:tcPr>
            <w:tcW w:w="3066" w:type="dxa"/>
          </w:tcPr>
          <w:p w14:paraId="3E458A5A" w14:textId="77777777" w:rsidR="003A6158" w:rsidRDefault="00F4215A" w:rsidP="003A6158">
            <w:pPr>
              <w:cnfStyle w:val="100000000000" w:firstRow="1" w:lastRow="0" w:firstColumn="0" w:lastColumn="0" w:oddVBand="0" w:evenVBand="0" w:oddHBand="0" w:evenHBand="0" w:firstRowFirstColumn="0" w:firstRowLastColumn="0" w:lastRowFirstColumn="0" w:lastRowLastColumn="0"/>
            </w:pPr>
            <w:r>
              <w:t xml:space="preserve">Electric - </w:t>
            </w:r>
            <w:r w:rsidR="003A6158">
              <w:t>Non-Solar</w:t>
            </w:r>
          </w:p>
        </w:tc>
        <w:tc>
          <w:tcPr>
            <w:tcW w:w="3067" w:type="dxa"/>
          </w:tcPr>
          <w:p w14:paraId="0CD97AC9" w14:textId="77777777" w:rsidR="003A6158" w:rsidRDefault="00F4215A" w:rsidP="003A6158">
            <w:pPr>
              <w:cnfStyle w:val="100000000000" w:firstRow="1" w:lastRow="0" w:firstColumn="0" w:lastColumn="0" w:oddVBand="0" w:evenVBand="0" w:oddHBand="0" w:evenHBand="0" w:firstRowFirstColumn="0" w:firstRowLastColumn="0" w:lastRowFirstColumn="0" w:lastRowLastColumn="0"/>
            </w:pPr>
            <w:r>
              <w:t>Gas</w:t>
            </w:r>
          </w:p>
        </w:tc>
      </w:tr>
      <w:tr w:rsidR="003A6158" w14:paraId="5A0D1A8E" w14:textId="77777777" w:rsidTr="00C86F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1" w:type="dxa"/>
          </w:tcPr>
          <w:p w14:paraId="0208BE2A" w14:textId="77777777" w:rsidR="003A6158" w:rsidRDefault="003A6158" w:rsidP="003A6158">
            <w:r>
              <w:t>Electric Heat</w:t>
            </w:r>
          </w:p>
        </w:tc>
        <w:tc>
          <w:tcPr>
            <w:tcW w:w="3066" w:type="dxa"/>
            <w:vAlign w:val="center"/>
          </w:tcPr>
          <w:p w14:paraId="2474045C" w14:textId="77777777" w:rsidR="003A6158" w:rsidRDefault="003A6158" w:rsidP="006F6B1B">
            <w:pPr>
              <w:cnfStyle w:val="000000100000" w:firstRow="0" w:lastRow="0" w:firstColumn="0" w:lastColumn="0" w:oddVBand="0" w:evenVBand="0" w:oddHBand="1" w:evenHBand="0" w:firstRowFirstColumn="0" w:firstRowLastColumn="0" w:lastRowFirstColumn="0" w:lastRowLastColumn="0"/>
            </w:pPr>
            <w:r>
              <w:t>All Electric Heat</w:t>
            </w:r>
          </w:p>
        </w:tc>
        <w:tc>
          <w:tcPr>
            <w:tcW w:w="3066" w:type="dxa"/>
            <w:vAlign w:val="center"/>
          </w:tcPr>
          <w:p w14:paraId="11D8129F" w14:textId="77777777" w:rsidR="003A6158" w:rsidRDefault="003A6158" w:rsidP="006F6B1B">
            <w:pPr>
              <w:cnfStyle w:val="000000100000" w:firstRow="0" w:lastRow="0" w:firstColumn="0" w:lastColumn="0" w:oddVBand="0" w:evenVBand="0" w:oddHBand="1" w:evenHBand="0" w:firstRowFirstColumn="0" w:firstRowLastColumn="0" w:lastRowFirstColumn="0" w:lastRowLastColumn="0"/>
            </w:pPr>
            <w:r>
              <w:t>All Electric Heat</w:t>
            </w:r>
          </w:p>
        </w:tc>
        <w:tc>
          <w:tcPr>
            <w:tcW w:w="3067" w:type="dxa"/>
            <w:vAlign w:val="center"/>
          </w:tcPr>
          <w:p w14:paraId="294F1609" w14:textId="77777777" w:rsidR="003A6158" w:rsidRDefault="003A6158" w:rsidP="006F6B1B">
            <w:pPr>
              <w:cnfStyle w:val="000000100000" w:firstRow="0" w:lastRow="0" w:firstColumn="0" w:lastColumn="0" w:oddVBand="0" w:evenVBand="0" w:oddHBand="1" w:evenHBand="0" w:firstRowFirstColumn="0" w:firstRowLastColumn="0" w:lastRowFirstColumn="0" w:lastRowLastColumn="0"/>
            </w:pPr>
            <w:r>
              <w:t>N/A</w:t>
            </w:r>
          </w:p>
        </w:tc>
      </w:tr>
      <w:tr w:rsidR="00BB3569" w14:paraId="486E5116" w14:textId="77777777" w:rsidTr="00C86F56">
        <w:trPr>
          <w:jc w:val="center"/>
        </w:trPr>
        <w:tc>
          <w:tcPr>
            <w:cnfStyle w:val="001000000000" w:firstRow="0" w:lastRow="0" w:firstColumn="1" w:lastColumn="0" w:oddVBand="0" w:evenVBand="0" w:oddHBand="0" w:evenHBand="0" w:firstRowFirstColumn="0" w:firstRowLastColumn="0" w:lastRowFirstColumn="0" w:lastRowLastColumn="0"/>
            <w:tcW w:w="881" w:type="dxa"/>
          </w:tcPr>
          <w:p w14:paraId="43C097C5" w14:textId="77777777" w:rsidR="00BB3569" w:rsidRDefault="00BB3569" w:rsidP="00BB3569">
            <w:r>
              <w:t>Bin 1</w:t>
            </w:r>
          </w:p>
        </w:tc>
        <w:tc>
          <w:tcPr>
            <w:tcW w:w="3066" w:type="dxa"/>
            <w:vAlign w:val="center"/>
          </w:tcPr>
          <w:p w14:paraId="4E8B46C5" w14:textId="77777777" w:rsidR="00BB3569" w:rsidRDefault="00BB3569" w:rsidP="006F6B1B">
            <w:pPr>
              <w:cnfStyle w:val="000000000000" w:firstRow="0" w:lastRow="0" w:firstColumn="0" w:lastColumn="0" w:oddVBand="0" w:evenVBand="0" w:oddHBand="0" w:evenHBand="0" w:firstRowFirstColumn="0" w:firstRowLastColumn="0" w:lastRowFirstColumn="0" w:lastRowLastColumn="0"/>
            </w:pPr>
            <w:r>
              <w:t>0-25</w:t>
            </w:r>
            <w:r w:rsidRPr="003A6158">
              <w:rPr>
                <w:vertAlign w:val="superscript"/>
              </w:rPr>
              <w:t>th</w:t>
            </w:r>
            <w:r>
              <w:t xml:space="preserve"> </w:t>
            </w:r>
            <w:proofErr w:type="spellStart"/>
            <w:r>
              <w:t>Pctile</w:t>
            </w:r>
            <w:proofErr w:type="spellEnd"/>
            <w:r>
              <w:t xml:space="preserve"> PV kW Capacity</w:t>
            </w:r>
          </w:p>
        </w:tc>
        <w:tc>
          <w:tcPr>
            <w:tcW w:w="3066" w:type="dxa"/>
            <w:vAlign w:val="center"/>
          </w:tcPr>
          <w:p w14:paraId="5026C41D" w14:textId="77777777" w:rsidR="00BB3569" w:rsidRDefault="00BB3569" w:rsidP="006F6B1B">
            <w:pPr>
              <w:cnfStyle w:val="000000000000" w:firstRow="0" w:lastRow="0" w:firstColumn="0" w:lastColumn="0" w:oddVBand="0" w:evenVBand="0" w:oddHBand="0" w:evenHBand="0" w:firstRowFirstColumn="0" w:firstRowLastColumn="0" w:lastRowFirstColumn="0" w:lastRowLastColumn="0"/>
            </w:pPr>
            <w:r>
              <w:t>0-25</w:t>
            </w:r>
            <w:r w:rsidRPr="003A6158">
              <w:rPr>
                <w:vertAlign w:val="superscript"/>
              </w:rPr>
              <w:t>th</w:t>
            </w:r>
            <w:r>
              <w:t xml:space="preserve"> </w:t>
            </w:r>
            <w:proofErr w:type="spellStart"/>
            <w:r>
              <w:t>Pctile</w:t>
            </w:r>
            <w:proofErr w:type="spellEnd"/>
            <w:r>
              <w:t xml:space="preserve"> Annual kWh</w:t>
            </w:r>
          </w:p>
        </w:tc>
        <w:tc>
          <w:tcPr>
            <w:tcW w:w="3067" w:type="dxa"/>
            <w:vAlign w:val="center"/>
          </w:tcPr>
          <w:p w14:paraId="7A3E707C" w14:textId="77777777" w:rsidR="00BB3569" w:rsidRDefault="00BB3569" w:rsidP="006F6B1B">
            <w:pPr>
              <w:cnfStyle w:val="000000000000" w:firstRow="0" w:lastRow="0" w:firstColumn="0" w:lastColumn="0" w:oddVBand="0" w:evenVBand="0" w:oddHBand="0" w:evenHBand="0" w:firstRowFirstColumn="0" w:firstRowLastColumn="0" w:lastRowFirstColumn="0" w:lastRowLastColumn="0"/>
            </w:pPr>
            <w:r>
              <w:t>0-25</w:t>
            </w:r>
            <w:r w:rsidRPr="003A6158">
              <w:rPr>
                <w:vertAlign w:val="superscript"/>
              </w:rPr>
              <w:t>th</w:t>
            </w:r>
            <w:r>
              <w:t xml:space="preserve"> </w:t>
            </w:r>
            <w:proofErr w:type="spellStart"/>
            <w:r>
              <w:t>Pctile</w:t>
            </w:r>
            <w:proofErr w:type="spellEnd"/>
            <w:r>
              <w:t xml:space="preserve"> Annual </w:t>
            </w:r>
            <w:proofErr w:type="spellStart"/>
            <w:r>
              <w:t>Therms</w:t>
            </w:r>
            <w:proofErr w:type="spellEnd"/>
          </w:p>
        </w:tc>
      </w:tr>
      <w:tr w:rsidR="00BB3569" w14:paraId="6D8B33FD" w14:textId="77777777" w:rsidTr="00C86F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1" w:type="dxa"/>
          </w:tcPr>
          <w:p w14:paraId="4B29A590" w14:textId="77777777" w:rsidR="00BB3569" w:rsidRDefault="00BB3569" w:rsidP="00BB3569">
            <w:r>
              <w:t>Bin 2</w:t>
            </w:r>
          </w:p>
        </w:tc>
        <w:tc>
          <w:tcPr>
            <w:tcW w:w="3066" w:type="dxa"/>
            <w:vAlign w:val="center"/>
          </w:tcPr>
          <w:p w14:paraId="17C166B9" w14:textId="77777777" w:rsidR="00BB3569" w:rsidRDefault="00BB3569" w:rsidP="006F6B1B">
            <w:pPr>
              <w:cnfStyle w:val="000000100000" w:firstRow="0" w:lastRow="0" w:firstColumn="0" w:lastColumn="0" w:oddVBand="0" w:evenVBand="0" w:oddHBand="1" w:evenHBand="0" w:firstRowFirstColumn="0" w:firstRowLastColumn="0" w:lastRowFirstColumn="0" w:lastRowLastColumn="0"/>
            </w:pPr>
            <w:r>
              <w:t>26-50</w:t>
            </w:r>
            <w:r w:rsidRPr="003A6158">
              <w:rPr>
                <w:vertAlign w:val="superscript"/>
              </w:rPr>
              <w:t>th</w:t>
            </w:r>
            <w:r>
              <w:t xml:space="preserve"> </w:t>
            </w:r>
            <w:proofErr w:type="spellStart"/>
            <w:r>
              <w:t>Pctile</w:t>
            </w:r>
            <w:proofErr w:type="spellEnd"/>
            <w:r>
              <w:t xml:space="preserve"> PV kW Capacity</w:t>
            </w:r>
          </w:p>
        </w:tc>
        <w:tc>
          <w:tcPr>
            <w:tcW w:w="3066" w:type="dxa"/>
            <w:vAlign w:val="center"/>
          </w:tcPr>
          <w:p w14:paraId="718E7FC6" w14:textId="77777777" w:rsidR="00BB3569" w:rsidRDefault="00BB3569" w:rsidP="006F6B1B">
            <w:pPr>
              <w:cnfStyle w:val="000000100000" w:firstRow="0" w:lastRow="0" w:firstColumn="0" w:lastColumn="0" w:oddVBand="0" w:evenVBand="0" w:oddHBand="1" w:evenHBand="0" w:firstRowFirstColumn="0" w:firstRowLastColumn="0" w:lastRowFirstColumn="0" w:lastRowLastColumn="0"/>
            </w:pPr>
            <w:r>
              <w:t>26-50</w:t>
            </w:r>
            <w:r w:rsidRPr="003A6158">
              <w:rPr>
                <w:vertAlign w:val="superscript"/>
              </w:rPr>
              <w:t>th</w:t>
            </w:r>
            <w:r>
              <w:t xml:space="preserve"> </w:t>
            </w:r>
            <w:proofErr w:type="spellStart"/>
            <w:r>
              <w:t>Pctile</w:t>
            </w:r>
            <w:proofErr w:type="spellEnd"/>
            <w:r>
              <w:t xml:space="preserve"> Annual kWh</w:t>
            </w:r>
          </w:p>
        </w:tc>
        <w:tc>
          <w:tcPr>
            <w:tcW w:w="3067" w:type="dxa"/>
            <w:vAlign w:val="center"/>
          </w:tcPr>
          <w:p w14:paraId="02C8D475" w14:textId="77777777" w:rsidR="00BB3569" w:rsidRDefault="00BB3569" w:rsidP="006F6B1B">
            <w:pPr>
              <w:cnfStyle w:val="000000100000" w:firstRow="0" w:lastRow="0" w:firstColumn="0" w:lastColumn="0" w:oddVBand="0" w:evenVBand="0" w:oddHBand="1" w:evenHBand="0" w:firstRowFirstColumn="0" w:firstRowLastColumn="0" w:lastRowFirstColumn="0" w:lastRowLastColumn="0"/>
            </w:pPr>
            <w:r>
              <w:t>26-50</w:t>
            </w:r>
            <w:r w:rsidRPr="003A6158">
              <w:rPr>
                <w:vertAlign w:val="superscript"/>
              </w:rPr>
              <w:t>th</w:t>
            </w:r>
            <w:r>
              <w:t xml:space="preserve"> </w:t>
            </w:r>
            <w:proofErr w:type="spellStart"/>
            <w:r>
              <w:t>Pctile</w:t>
            </w:r>
            <w:proofErr w:type="spellEnd"/>
            <w:r>
              <w:t xml:space="preserve"> Annual </w:t>
            </w:r>
            <w:proofErr w:type="spellStart"/>
            <w:r>
              <w:t>Therms</w:t>
            </w:r>
            <w:proofErr w:type="spellEnd"/>
          </w:p>
        </w:tc>
      </w:tr>
      <w:tr w:rsidR="00BB3569" w14:paraId="79C331CB" w14:textId="77777777" w:rsidTr="00C86F56">
        <w:trPr>
          <w:jc w:val="center"/>
        </w:trPr>
        <w:tc>
          <w:tcPr>
            <w:cnfStyle w:val="001000000000" w:firstRow="0" w:lastRow="0" w:firstColumn="1" w:lastColumn="0" w:oddVBand="0" w:evenVBand="0" w:oddHBand="0" w:evenHBand="0" w:firstRowFirstColumn="0" w:firstRowLastColumn="0" w:lastRowFirstColumn="0" w:lastRowLastColumn="0"/>
            <w:tcW w:w="881" w:type="dxa"/>
          </w:tcPr>
          <w:p w14:paraId="1056668E" w14:textId="77777777" w:rsidR="00BB3569" w:rsidRDefault="00BB3569" w:rsidP="00BB3569">
            <w:r>
              <w:t>Bin 3</w:t>
            </w:r>
          </w:p>
        </w:tc>
        <w:tc>
          <w:tcPr>
            <w:tcW w:w="3066" w:type="dxa"/>
            <w:vAlign w:val="center"/>
          </w:tcPr>
          <w:p w14:paraId="5DA90085" w14:textId="77777777" w:rsidR="00BB3569" w:rsidRDefault="00BB3569" w:rsidP="006F6B1B">
            <w:pPr>
              <w:cnfStyle w:val="000000000000" w:firstRow="0" w:lastRow="0" w:firstColumn="0" w:lastColumn="0" w:oddVBand="0" w:evenVBand="0" w:oddHBand="0" w:evenHBand="0" w:firstRowFirstColumn="0" w:firstRowLastColumn="0" w:lastRowFirstColumn="0" w:lastRowLastColumn="0"/>
            </w:pPr>
            <w:r>
              <w:t>51-75</w:t>
            </w:r>
            <w:r w:rsidRPr="003A6158">
              <w:rPr>
                <w:vertAlign w:val="superscript"/>
              </w:rPr>
              <w:t>th</w:t>
            </w:r>
            <w:r>
              <w:t xml:space="preserve"> </w:t>
            </w:r>
            <w:proofErr w:type="spellStart"/>
            <w:r>
              <w:t>Pctile</w:t>
            </w:r>
            <w:proofErr w:type="spellEnd"/>
            <w:r>
              <w:t xml:space="preserve"> PV kW Capacity</w:t>
            </w:r>
          </w:p>
        </w:tc>
        <w:tc>
          <w:tcPr>
            <w:tcW w:w="3066" w:type="dxa"/>
            <w:vAlign w:val="center"/>
          </w:tcPr>
          <w:p w14:paraId="3785CB3A" w14:textId="77777777" w:rsidR="00BB3569" w:rsidRDefault="00BB3569" w:rsidP="006F6B1B">
            <w:pPr>
              <w:cnfStyle w:val="000000000000" w:firstRow="0" w:lastRow="0" w:firstColumn="0" w:lastColumn="0" w:oddVBand="0" w:evenVBand="0" w:oddHBand="0" w:evenHBand="0" w:firstRowFirstColumn="0" w:firstRowLastColumn="0" w:lastRowFirstColumn="0" w:lastRowLastColumn="0"/>
            </w:pPr>
            <w:r>
              <w:t>51-75</w:t>
            </w:r>
            <w:r w:rsidRPr="003A6158">
              <w:rPr>
                <w:vertAlign w:val="superscript"/>
              </w:rPr>
              <w:t>th</w:t>
            </w:r>
            <w:r>
              <w:t xml:space="preserve"> </w:t>
            </w:r>
            <w:proofErr w:type="spellStart"/>
            <w:r>
              <w:t>Pctile</w:t>
            </w:r>
            <w:proofErr w:type="spellEnd"/>
            <w:r>
              <w:t xml:space="preserve"> Annual kWh</w:t>
            </w:r>
          </w:p>
        </w:tc>
        <w:tc>
          <w:tcPr>
            <w:tcW w:w="3067" w:type="dxa"/>
            <w:vAlign w:val="center"/>
          </w:tcPr>
          <w:p w14:paraId="22D252E7" w14:textId="77777777" w:rsidR="00BB3569" w:rsidRDefault="00BB3569" w:rsidP="006F6B1B">
            <w:pPr>
              <w:cnfStyle w:val="000000000000" w:firstRow="0" w:lastRow="0" w:firstColumn="0" w:lastColumn="0" w:oddVBand="0" w:evenVBand="0" w:oddHBand="0" w:evenHBand="0" w:firstRowFirstColumn="0" w:firstRowLastColumn="0" w:lastRowFirstColumn="0" w:lastRowLastColumn="0"/>
            </w:pPr>
            <w:r>
              <w:t>51-75</w:t>
            </w:r>
            <w:r w:rsidRPr="003A6158">
              <w:rPr>
                <w:vertAlign w:val="superscript"/>
              </w:rPr>
              <w:t>th</w:t>
            </w:r>
            <w:r>
              <w:t xml:space="preserve"> </w:t>
            </w:r>
            <w:proofErr w:type="spellStart"/>
            <w:r>
              <w:t>Pctile</w:t>
            </w:r>
            <w:proofErr w:type="spellEnd"/>
            <w:r>
              <w:t xml:space="preserve"> Annual </w:t>
            </w:r>
            <w:proofErr w:type="spellStart"/>
            <w:r>
              <w:t>Therms</w:t>
            </w:r>
            <w:proofErr w:type="spellEnd"/>
          </w:p>
        </w:tc>
      </w:tr>
      <w:tr w:rsidR="00BB3569" w14:paraId="357CF2BD" w14:textId="77777777" w:rsidTr="00C86F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1" w:type="dxa"/>
          </w:tcPr>
          <w:p w14:paraId="505A3CB2" w14:textId="77777777" w:rsidR="00BB3569" w:rsidRDefault="00BB3569" w:rsidP="00BB3569">
            <w:r>
              <w:t>Bin 4</w:t>
            </w:r>
          </w:p>
        </w:tc>
        <w:tc>
          <w:tcPr>
            <w:tcW w:w="3066" w:type="dxa"/>
            <w:vAlign w:val="center"/>
          </w:tcPr>
          <w:p w14:paraId="30D74D8F" w14:textId="77777777" w:rsidR="00BB3569" w:rsidRDefault="00BB3569" w:rsidP="006F6B1B">
            <w:pPr>
              <w:cnfStyle w:val="000000100000" w:firstRow="0" w:lastRow="0" w:firstColumn="0" w:lastColumn="0" w:oddVBand="0" w:evenVBand="0" w:oddHBand="1" w:evenHBand="0" w:firstRowFirstColumn="0" w:firstRowLastColumn="0" w:lastRowFirstColumn="0" w:lastRowLastColumn="0"/>
            </w:pPr>
            <w:r>
              <w:t>76-100</w:t>
            </w:r>
            <w:r w:rsidRPr="003A6158">
              <w:rPr>
                <w:vertAlign w:val="superscript"/>
              </w:rPr>
              <w:t>th</w:t>
            </w:r>
            <w:r>
              <w:t xml:space="preserve"> </w:t>
            </w:r>
            <w:proofErr w:type="spellStart"/>
            <w:r>
              <w:t>Pctile</w:t>
            </w:r>
            <w:proofErr w:type="spellEnd"/>
            <w:r>
              <w:t xml:space="preserve"> PV kW Capacity</w:t>
            </w:r>
          </w:p>
        </w:tc>
        <w:tc>
          <w:tcPr>
            <w:tcW w:w="3066" w:type="dxa"/>
            <w:vAlign w:val="center"/>
          </w:tcPr>
          <w:p w14:paraId="4EC73912" w14:textId="77777777" w:rsidR="00BB3569" w:rsidRDefault="00BB3569" w:rsidP="006F6B1B">
            <w:pPr>
              <w:cnfStyle w:val="000000100000" w:firstRow="0" w:lastRow="0" w:firstColumn="0" w:lastColumn="0" w:oddVBand="0" w:evenVBand="0" w:oddHBand="1" w:evenHBand="0" w:firstRowFirstColumn="0" w:firstRowLastColumn="0" w:lastRowFirstColumn="0" w:lastRowLastColumn="0"/>
            </w:pPr>
            <w:r>
              <w:t>76-100</w:t>
            </w:r>
            <w:r w:rsidRPr="003A6158">
              <w:rPr>
                <w:vertAlign w:val="superscript"/>
              </w:rPr>
              <w:t>th</w:t>
            </w:r>
            <w:r>
              <w:t xml:space="preserve"> </w:t>
            </w:r>
            <w:proofErr w:type="spellStart"/>
            <w:r>
              <w:t>Pctile</w:t>
            </w:r>
            <w:proofErr w:type="spellEnd"/>
            <w:r>
              <w:t xml:space="preserve"> Annual kWh</w:t>
            </w:r>
          </w:p>
        </w:tc>
        <w:tc>
          <w:tcPr>
            <w:tcW w:w="3067" w:type="dxa"/>
            <w:vAlign w:val="center"/>
          </w:tcPr>
          <w:p w14:paraId="4BE54460" w14:textId="77777777" w:rsidR="00BB3569" w:rsidRDefault="00BB3569" w:rsidP="006F6B1B">
            <w:pPr>
              <w:cnfStyle w:val="000000100000" w:firstRow="0" w:lastRow="0" w:firstColumn="0" w:lastColumn="0" w:oddVBand="0" w:evenVBand="0" w:oddHBand="1" w:evenHBand="0" w:firstRowFirstColumn="0" w:firstRowLastColumn="0" w:lastRowFirstColumn="0" w:lastRowLastColumn="0"/>
            </w:pPr>
            <w:r>
              <w:t>76-100</w:t>
            </w:r>
            <w:r w:rsidRPr="003A6158">
              <w:rPr>
                <w:vertAlign w:val="superscript"/>
              </w:rPr>
              <w:t>th</w:t>
            </w:r>
            <w:r>
              <w:t xml:space="preserve"> </w:t>
            </w:r>
            <w:proofErr w:type="spellStart"/>
            <w:r>
              <w:t>Pctile</w:t>
            </w:r>
            <w:proofErr w:type="spellEnd"/>
            <w:r>
              <w:t xml:space="preserve"> Annual </w:t>
            </w:r>
            <w:proofErr w:type="spellStart"/>
            <w:r>
              <w:t>Therms</w:t>
            </w:r>
            <w:proofErr w:type="spellEnd"/>
          </w:p>
        </w:tc>
      </w:tr>
    </w:tbl>
    <w:p w14:paraId="15790AAA" w14:textId="77777777" w:rsidR="003A6158" w:rsidRDefault="003A6158" w:rsidP="003A6158"/>
    <w:p w14:paraId="5F9AD29B" w14:textId="77777777" w:rsidR="00E06222" w:rsidRPr="003A6158" w:rsidRDefault="00E06222" w:rsidP="003A6158">
      <w:r>
        <w:t xml:space="preserve">As was the case with the old segmentation, the cut-points for each size bin are saved so that </w:t>
      </w:r>
      <w:r w:rsidR="00935547">
        <w:t xml:space="preserve">any new customers will </w:t>
      </w:r>
      <w:r w:rsidR="00540F9C">
        <w:t xml:space="preserve">be added to the same size bin, instead of recalculating quartiles of usage from a different sample. </w:t>
      </w:r>
    </w:p>
    <w:p w14:paraId="518E5CA6" w14:textId="77777777" w:rsidR="000A11E3" w:rsidRDefault="000A11E3" w:rsidP="000A11E3">
      <w:pPr>
        <w:pStyle w:val="Heading3"/>
      </w:pPr>
      <w:r>
        <w:t>Residential: Customer Load Shapes</w:t>
      </w:r>
      <w:r w:rsidR="00784B1C">
        <w:t xml:space="preserve"> (Electric Only)</w:t>
      </w:r>
    </w:p>
    <w:p w14:paraId="5D852C10" w14:textId="77777777" w:rsidR="00AC66E1" w:rsidRDefault="00AC66E1" w:rsidP="00116D01">
      <w:pPr>
        <w:pStyle w:val="Text"/>
      </w:pPr>
      <w:r>
        <w:t xml:space="preserve">A new feature for residential </w:t>
      </w:r>
      <w:r w:rsidR="00784B1C">
        <w:t xml:space="preserve">electric </w:t>
      </w:r>
      <w:r>
        <w:t xml:space="preserve">granular profile segmentation is </w:t>
      </w:r>
      <w:r w:rsidR="00784B1C">
        <w:t>customer load shapes. This dimension was added to improve matching across a range of residential occupancy patterns. The steps to construct the load shape variables are:</w:t>
      </w:r>
    </w:p>
    <w:p w14:paraId="58F840E5" w14:textId="77777777" w:rsidR="00784B1C" w:rsidRDefault="00784B1C" w:rsidP="00E06222">
      <w:pPr>
        <w:pStyle w:val="Bullets0"/>
        <w:numPr>
          <w:ilvl w:val="0"/>
          <w:numId w:val="18"/>
        </w:numPr>
        <w:ind w:left="720"/>
      </w:pPr>
      <w:r>
        <w:t xml:space="preserve">Find days with no heating or cooling load in the last year. These days have an average temperature between 59F and 61F and a daily maximum temperature of less than 77F across a simple average of coastal and inland weather stations. </w:t>
      </w:r>
    </w:p>
    <w:p w14:paraId="46DE7E49" w14:textId="1CB914C4" w:rsidR="00784B1C" w:rsidRDefault="00784B1C" w:rsidP="00E06222">
      <w:pPr>
        <w:pStyle w:val="Bullets0"/>
        <w:numPr>
          <w:ilvl w:val="0"/>
          <w:numId w:val="18"/>
        </w:numPr>
        <w:ind w:left="720"/>
      </w:pPr>
      <w:r>
        <w:t xml:space="preserve">For each </w:t>
      </w:r>
      <w:r w:rsidR="00D87089">
        <w:t xml:space="preserve">premise </w:t>
      </w:r>
      <w:r>
        <w:t xml:space="preserve">on each of these days, compute the percentage of the daily total kWh consumed between 1pm and 4pm (HE14-HE16). </w:t>
      </w:r>
    </w:p>
    <w:p w14:paraId="609FA257" w14:textId="77777777" w:rsidR="00784B1C" w:rsidRDefault="00784B1C" w:rsidP="00E06222">
      <w:pPr>
        <w:pStyle w:val="Bullets0"/>
        <w:numPr>
          <w:ilvl w:val="0"/>
          <w:numId w:val="18"/>
        </w:numPr>
        <w:ind w:left="720"/>
      </w:pPr>
      <w:r>
        <w:t xml:space="preserve">Average the percentage consumed across the days identified in Step 1 for each premise. </w:t>
      </w:r>
    </w:p>
    <w:p w14:paraId="6723CC0E" w14:textId="035E6C90" w:rsidR="00784B1C" w:rsidRDefault="00784B1C" w:rsidP="00E06222">
      <w:pPr>
        <w:pStyle w:val="Bullets0"/>
        <w:numPr>
          <w:ilvl w:val="0"/>
          <w:numId w:val="18"/>
        </w:numPr>
        <w:ind w:left="720"/>
      </w:pPr>
      <w:r>
        <w:t xml:space="preserve">Within each climate zone group, solar status, and size bin, construct four quartiles </w:t>
      </w:r>
      <w:r w:rsidR="004F3161">
        <w:t xml:space="preserve">representing equal bins of </w:t>
      </w:r>
      <w:r w:rsidR="00D87089">
        <w:t xml:space="preserve">premises </w:t>
      </w:r>
      <w:r w:rsidR="004F3161">
        <w:t>ranked based on the average percent of consumption occurring in the midday hours.</w:t>
      </w:r>
    </w:p>
    <w:p w14:paraId="635816DE" w14:textId="77777777" w:rsidR="004F3161" w:rsidRPr="00AC66E1" w:rsidRDefault="004F3161" w:rsidP="00116D01">
      <w:pPr>
        <w:pStyle w:val="Text"/>
      </w:pPr>
      <w:r w:rsidRPr="004F3161">
        <w:t xml:space="preserve">This allows for more accurate assessment of customer occupancy and produces a diversity of granular profile load shapes. </w:t>
      </w:r>
      <w:r w:rsidR="00E06222">
        <w:t xml:space="preserve">As with the customer size bins, the cut-points of the initial segment development are saved to be reapplied in the future. </w:t>
      </w:r>
    </w:p>
    <w:p w14:paraId="45721E10" w14:textId="77777777" w:rsidR="000A11E3" w:rsidRDefault="000A11E3" w:rsidP="000A11E3">
      <w:pPr>
        <w:pStyle w:val="Heading3"/>
      </w:pPr>
      <w:r>
        <w:t>Commercial: Industry</w:t>
      </w:r>
      <w:r w:rsidR="00E5007F">
        <w:t xml:space="preserve"> and Size</w:t>
      </w:r>
    </w:p>
    <w:p w14:paraId="45F8165E" w14:textId="62A68B41" w:rsidR="00353020" w:rsidRDefault="00E64799" w:rsidP="00116D01">
      <w:pPr>
        <w:pStyle w:val="Text"/>
      </w:pPr>
      <w:r>
        <w:t xml:space="preserve">The segmentation for commercial customers is </w:t>
      </w:r>
      <w:proofErr w:type="gramStart"/>
      <w:r>
        <w:t>similar to</w:t>
      </w:r>
      <w:proofErr w:type="gramEnd"/>
      <w:r>
        <w:t xml:space="preserve"> that which was done originally: the combination of industry and customer size, which is determined by the customer’s rate class. </w:t>
      </w:r>
      <w:r w:rsidR="001B7203">
        <w:t xml:space="preserve">However, additional industries have been added and profiles are constructed for each customer size, </w:t>
      </w:r>
      <w:proofErr w:type="gramStart"/>
      <w:r w:rsidR="001B7203">
        <w:t>provided that</w:t>
      </w:r>
      <w:proofErr w:type="gramEnd"/>
      <w:r w:rsidR="001B7203">
        <w:t xml:space="preserve"> there are enough customers in the segment, size group, and climate zone group to support it. In cases where there are not enough customers to have separate small and medium/large size bins for a </w:t>
      </w:r>
      <w:r w:rsidR="001B7203">
        <w:lastRenderedPageBreak/>
        <w:t>given industry and climate zone group, the groups are combined across customer sizes</w:t>
      </w:r>
      <w:r w:rsidR="00D648D0">
        <w:t xml:space="preserve"> as shown</w:t>
      </w:r>
      <w:r w:rsidR="00A83716">
        <w:t xml:space="preserve"> in green</w:t>
      </w:r>
      <w:r w:rsidR="00D648D0">
        <w:t xml:space="preserve"> in </w:t>
      </w:r>
      <w:r w:rsidR="00D648D0">
        <w:fldChar w:fldCharType="begin"/>
      </w:r>
      <w:r w:rsidR="00D648D0">
        <w:instrText xml:space="preserve"> REF _Ref113549757 \h </w:instrText>
      </w:r>
      <w:r w:rsidR="00537BCB">
        <w:instrText xml:space="preserve"> \* MERGEFORMAT </w:instrText>
      </w:r>
      <w:r w:rsidR="00D648D0">
        <w:fldChar w:fldCharType="separate"/>
      </w:r>
      <w:r w:rsidR="00D648D0">
        <w:t>Table 4</w:t>
      </w:r>
      <w:r w:rsidR="00D648D0">
        <w:fldChar w:fldCharType="end"/>
      </w:r>
      <w:r w:rsidR="001B7203">
        <w:t xml:space="preserve">. </w:t>
      </w:r>
    </w:p>
    <w:p w14:paraId="597EE3B9" w14:textId="77777777" w:rsidR="00D648D0" w:rsidRDefault="00D648D0" w:rsidP="00D648D0">
      <w:pPr>
        <w:pStyle w:val="TableFigureorCaption"/>
      </w:pPr>
      <w:bookmarkStart w:id="3" w:name="_Ref113549757"/>
      <w:r>
        <w:t xml:space="preserve">Table </w:t>
      </w:r>
      <w:r w:rsidR="00000000">
        <w:fldChar w:fldCharType="begin"/>
      </w:r>
      <w:r w:rsidR="00000000">
        <w:instrText xml:space="preserve"> SEQ Table \* ARABIC </w:instrText>
      </w:r>
      <w:r w:rsidR="00000000">
        <w:fldChar w:fldCharType="separate"/>
      </w:r>
      <w:r w:rsidR="00203646">
        <w:rPr>
          <w:noProof/>
        </w:rPr>
        <w:t>4</w:t>
      </w:r>
      <w:r w:rsidR="00000000">
        <w:rPr>
          <w:noProof/>
        </w:rPr>
        <w:fldChar w:fldCharType="end"/>
      </w:r>
      <w:bookmarkEnd w:id="3"/>
      <w:r>
        <w:t>: Commercial Customer Counts and Combined Industry/Size Segmentation</w:t>
      </w:r>
    </w:p>
    <w:p w14:paraId="73F3064C" w14:textId="77777777" w:rsidR="00D648D0" w:rsidRPr="00353020" w:rsidRDefault="00D648D0" w:rsidP="00D648D0">
      <w:pPr>
        <w:pStyle w:val="Caption"/>
      </w:pPr>
      <w:r w:rsidRPr="00D648D0">
        <w:rPr>
          <w:noProof/>
        </w:rPr>
        <w:drawing>
          <wp:inline distT="0" distB="0" distL="0" distR="0" wp14:anchorId="2071E94C" wp14:editId="7053424A">
            <wp:extent cx="5943600" cy="3624580"/>
            <wp:effectExtent l="0" t="0" r="0" b="0"/>
            <wp:docPr id="10" name="Content Placeholder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pic:cNvPicPr>
                      <a:picLocks noGrp="1" noChangeAspect="1"/>
                    </pic:cNvPicPr>
                  </pic:nvPicPr>
                  <pic:blipFill>
                    <a:blip r:embed="rId13"/>
                    <a:stretch>
                      <a:fillRect/>
                    </a:stretch>
                  </pic:blipFill>
                  <pic:spPr>
                    <a:xfrm>
                      <a:off x="0" y="0"/>
                      <a:ext cx="5943600" cy="3624580"/>
                    </a:xfrm>
                    <a:prstGeom prst="rect">
                      <a:avLst/>
                    </a:prstGeom>
                    <a:ln>
                      <a:noFill/>
                    </a:ln>
                  </pic:spPr>
                </pic:pic>
              </a:graphicData>
            </a:graphic>
          </wp:inline>
        </w:drawing>
      </w:r>
    </w:p>
    <w:p w14:paraId="4D45867F" w14:textId="77777777" w:rsidR="005A4155" w:rsidRPr="005A4155" w:rsidRDefault="00CE36BF" w:rsidP="00116D01">
      <w:pPr>
        <w:pStyle w:val="Text"/>
      </w:pPr>
      <w:r>
        <w:t xml:space="preserve">Rates are defined as they were in the old segmentation. Customers in A1, A6, AG1, AG2, AG4 and AGA rates are classified as small while customers on A10, A15, B19, E19, B20, E20 AGB, AGC, and AG5 rates are classified as medium/large. Customers on any other set of rates (transportation, streetlights, electric vehicles, standby or special rates) are excluded. </w:t>
      </w:r>
    </w:p>
    <w:p w14:paraId="7F459DC2" w14:textId="77777777" w:rsidR="005A4155" w:rsidRDefault="005A4155" w:rsidP="005A4155">
      <w:pPr>
        <w:pStyle w:val="Heading2"/>
        <w:ind w:left="288" w:hanging="288"/>
      </w:pPr>
      <w:r>
        <w:t xml:space="preserve">Sample </w:t>
      </w:r>
      <w:r w:rsidR="0017619C">
        <w:t xml:space="preserve">GP </w:t>
      </w:r>
      <w:r>
        <w:t>part</w:t>
      </w:r>
      <w:r w:rsidR="00D50CCC">
        <w:t>icipants for E</w:t>
      </w:r>
      <w:r>
        <w:t xml:space="preserve">ach </w:t>
      </w:r>
      <w:r w:rsidR="00D50CCC">
        <w:t>S</w:t>
      </w:r>
      <w:r>
        <w:t>egment</w:t>
      </w:r>
    </w:p>
    <w:p w14:paraId="2CC223B3" w14:textId="77777777" w:rsidR="001F70DC" w:rsidRDefault="001F70DC" w:rsidP="001F70DC">
      <w:pPr>
        <w:pStyle w:val="Heading3"/>
      </w:pPr>
      <w:r>
        <w:t>Valid Granular Profile Participants</w:t>
      </w:r>
    </w:p>
    <w:p w14:paraId="2C828EB8" w14:textId="2C031C25" w:rsidR="00203646" w:rsidRDefault="004067FE" w:rsidP="004067FE">
      <w:r>
        <w:t xml:space="preserve">The initial production of granular profiles relies on identifying valid premises that can be sampled </w:t>
      </w:r>
      <w:proofErr w:type="gramStart"/>
      <w:r>
        <w:t>in to</w:t>
      </w:r>
      <w:proofErr w:type="gramEnd"/>
      <w:r>
        <w:t xml:space="preserve"> the profiles. </w:t>
      </w:r>
      <w:r w:rsidR="00537BCB">
        <w:t>Additionally</w:t>
      </w:r>
      <w:r w:rsidR="00203646">
        <w:t xml:space="preserve">, sites should be screened </w:t>
      </w:r>
      <w:r w:rsidR="00537BCB">
        <w:t xml:space="preserve">every month </w:t>
      </w:r>
      <w:r w:rsidR="00203646">
        <w:t xml:space="preserve">to ensure they still meet the criteria defined in </w:t>
      </w:r>
      <w:r w:rsidR="00203646">
        <w:rPr>
          <w:rFonts w:ascii="Corbel" w:eastAsia="Times New Roman" w:hAnsi="Corbel" w:cs="Nirmala UI"/>
        </w:rPr>
        <w:fldChar w:fldCharType="begin"/>
      </w:r>
      <w:r w:rsidR="00203646">
        <w:instrText xml:space="preserve"> REF _Ref113550343 \h </w:instrText>
      </w:r>
      <w:r w:rsidR="00537BCB">
        <w:instrText xml:space="preserve"> \* MERGEFORMAT </w:instrText>
      </w:r>
      <w:r w:rsidR="00203646">
        <w:rPr>
          <w:rFonts w:ascii="Corbel" w:eastAsia="Times New Roman" w:hAnsi="Corbel" w:cs="Nirmala UI"/>
        </w:rPr>
      </w:r>
      <w:r w:rsidR="00203646">
        <w:rPr>
          <w:rFonts w:ascii="Corbel" w:eastAsia="Times New Roman" w:hAnsi="Corbel" w:cs="Nirmala UI"/>
        </w:rPr>
        <w:fldChar w:fldCharType="separate"/>
      </w:r>
      <w:r w:rsidR="00203646">
        <w:t>Table 5</w:t>
      </w:r>
      <w:r w:rsidR="00203646">
        <w:rPr>
          <w:rFonts w:ascii="Corbel" w:eastAsia="Times New Roman" w:hAnsi="Corbel" w:cs="Nirmala UI"/>
        </w:rPr>
        <w:fldChar w:fldCharType="end"/>
      </w:r>
      <w:r w:rsidR="00203646">
        <w:t xml:space="preserve">. </w:t>
      </w:r>
    </w:p>
    <w:p w14:paraId="27A9E2B1" w14:textId="77777777" w:rsidR="00203646" w:rsidRDefault="00203646" w:rsidP="00203646">
      <w:pPr>
        <w:pStyle w:val="TableFigureorCaption"/>
      </w:pPr>
      <w:bookmarkStart w:id="4" w:name="_Ref113550343"/>
      <w:r>
        <w:t xml:space="preserve">Table </w:t>
      </w:r>
      <w:r w:rsidR="00000000">
        <w:fldChar w:fldCharType="begin"/>
      </w:r>
      <w:r w:rsidR="00000000">
        <w:instrText xml:space="preserve"> SEQ Table \* ARABIC </w:instrText>
      </w:r>
      <w:r w:rsidR="00000000">
        <w:fldChar w:fldCharType="separate"/>
      </w:r>
      <w:r>
        <w:rPr>
          <w:noProof/>
        </w:rPr>
        <w:t>5</w:t>
      </w:r>
      <w:r w:rsidR="00000000">
        <w:rPr>
          <w:noProof/>
        </w:rPr>
        <w:fldChar w:fldCharType="end"/>
      </w:r>
      <w:bookmarkEnd w:id="4"/>
      <w:r>
        <w:t>: Granular Profile Candidate Exclusions</w:t>
      </w:r>
    </w:p>
    <w:tbl>
      <w:tblPr>
        <w:tblStyle w:val="ListTable3-Accent1"/>
        <w:tblW w:w="0" w:type="auto"/>
        <w:tblLook w:val="04A0" w:firstRow="1" w:lastRow="0" w:firstColumn="1" w:lastColumn="0" w:noHBand="0" w:noVBand="1"/>
      </w:tblPr>
      <w:tblGrid>
        <w:gridCol w:w="1435"/>
        <w:gridCol w:w="4798"/>
        <w:gridCol w:w="3117"/>
      </w:tblGrid>
      <w:tr w:rsidR="00203646" w14:paraId="704DAE14" w14:textId="77777777" w:rsidTr="002036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5" w:type="dxa"/>
          </w:tcPr>
          <w:p w14:paraId="3B6A5C78" w14:textId="77777777" w:rsidR="00203646" w:rsidRDefault="00203646" w:rsidP="004067FE"/>
        </w:tc>
        <w:tc>
          <w:tcPr>
            <w:tcW w:w="4798" w:type="dxa"/>
          </w:tcPr>
          <w:p w14:paraId="7A6A3BF6" w14:textId="77777777" w:rsidR="00203646" w:rsidRDefault="00203646" w:rsidP="004067FE">
            <w:pPr>
              <w:cnfStyle w:val="100000000000" w:firstRow="1" w:lastRow="0" w:firstColumn="0" w:lastColumn="0" w:oddVBand="0" w:evenVBand="0" w:oddHBand="0" w:evenHBand="0" w:firstRowFirstColumn="0" w:firstRowLastColumn="0" w:lastRowFirstColumn="0" w:lastRowLastColumn="0"/>
            </w:pPr>
            <w:r>
              <w:t>Electric</w:t>
            </w:r>
          </w:p>
        </w:tc>
        <w:tc>
          <w:tcPr>
            <w:tcW w:w="3117" w:type="dxa"/>
          </w:tcPr>
          <w:p w14:paraId="588B3A70" w14:textId="77777777" w:rsidR="00203646" w:rsidRDefault="00203646" w:rsidP="004067FE">
            <w:pPr>
              <w:cnfStyle w:val="100000000000" w:firstRow="1" w:lastRow="0" w:firstColumn="0" w:lastColumn="0" w:oddVBand="0" w:evenVBand="0" w:oddHBand="0" w:evenHBand="0" w:firstRowFirstColumn="0" w:firstRowLastColumn="0" w:lastRowFirstColumn="0" w:lastRowLastColumn="0"/>
            </w:pPr>
            <w:r>
              <w:t>Gas</w:t>
            </w:r>
          </w:p>
        </w:tc>
      </w:tr>
      <w:tr w:rsidR="00203646" w14:paraId="4C8AB1DD" w14:textId="77777777" w:rsidTr="00203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6F1C3BD6" w14:textId="77777777" w:rsidR="00203646" w:rsidRDefault="00203646" w:rsidP="004067FE">
            <w:r>
              <w:t>Residential</w:t>
            </w:r>
          </w:p>
        </w:tc>
        <w:tc>
          <w:tcPr>
            <w:tcW w:w="4798" w:type="dxa"/>
          </w:tcPr>
          <w:p w14:paraId="29306346" w14:textId="77777777" w:rsidR="00564617" w:rsidRDefault="00564617" w:rsidP="00203646">
            <w:pPr>
              <w:pStyle w:val="Bullets0"/>
              <w:ind w:left="466"/>
              <w:cnfStyle w:val="000000100000" w:firstRow="0" w:lastRow="0" w:firstColumn="0" w:lastColumn="0" w:oddVBand="0" w:evenVBand="0" w:oddHBand="1" w:evenHBand="0" w:firstRowFirstColumn="0" w:firstRowLastColumn="0" w:lastRowFirstColumn="0" w:lastRowLastColumn="0"/>
            </w:pPr>
            <w:r>
              <w:t>Full panel of data for the prior year</w:t>
            </w:r>
          </w:p>
          <w:p w14:paraId="405D48E0" w14:textId="77777777" w:rsidR="00203646" w:rsidRDefault="00203646" w:rsidP="00203646">
            <w:pPr>
              <w:pStyle w:val="Bullets0"/>
              <w:ind w:left="466"/>
              <w:cnfStyle w:val="000000100000" w:firstRow="0" w:lastRow="0" w:firstColumn="0" w:lastColumn="0" w:oddVBand="0" w:evenVBand="0" w:oddHBand="1" w:evenHBand="0" w:firstRowFirstColumn="0" w:firstRowLastColumn="0" w:lastRowFirstColumn="0" w:lastRowLastColumn="0"/>
            </w:pPr>
            <w:r>
              <w:t>No change in solar status</w:t>
            </w:r>
            <w:r w:rsidR="00EF09B0">
              <w:t xml:space="preserve"> (no addition of onsite solar, no adding of incremental capacity)</w:t>
            </w:r>
          </w:p>
          <w:p w14:paraId="55C1880C" w14:textId="77777777" w:rsidR="00203646" w:rsidRDefault="00203646" w:rsidP="00203646">
            <w:pPr>
              <w:pStyle w:val="Bullets0"/>
              <w:ind w:left="466"/>
              <w:cnfStyle w:val="000000100000" w:firstRow="0" w:lastRow="0" w:firstColumn="0" w:lastColumn="0" w:oddVBand="0" w:evenVBand="0" w:oddHBand="1" w:evenHBand="0" w:firstRowFirstColumn="0" w:firstRowLastColumn="0" w:lastRowFirstColumn="0" w:lastRowLastColumn="0"/>
            </w:pPr>
            <w:r>
              <w:lastRenderedPageBreak/>
              <w:t xml:space="preserve">No EV </w:t>
            </w:r>
            <w:proofErr w:type="gramStart"/>
            <w:r>
              <w:t>rates</w:t>
            </w:r>
            <w:proofErr w:type="gramEnd"/>
          </w:p>
          <w:p w14:paraId="7C8D29EB" w14:textId="77777777" w:rsidR="00203646" w:rsidRDefault="00203646" w:rsidP="00203646">
            <w:pPr>
              <w:pStyle w:val="Bullets0"/>
              <w:ind w:left="466"/>
              <w:cnfStyle w:val="000000100000" w:firstRow="0" w:lastRow="0" w:firstColumn="0" w:lastColumn="0" w:oddVBand="0" w:evenVBand="0" w:oddHBand="1" w:evenHBand="0" w:firstRowFirstColumn="0" w:firstRowLastColumn="0" w:lastRowFirstColumn="0" w:lastRowLastColumn="0"/>
            </w:pPr>
            <w:r>
              <w:t>No other DERs (</w:t>
            </w:r>
            <w:proofErr w:type="gramStart"/>
            <w:r w:rsidR="00D50CCC">
              <w:t>e.g.</w:t>
            </w:r>
            <w:proofErr w:type="gramEnd"/>
            <w:r>
              <w:t xml:space="preserve"> batteries)</w:t>
            </w:r>
          </w:p>
          <w:p w14:paraId="4E8E1C59" w14:textId="77777777" w:rsidR="00203646" w:rsidRDefault="00203646" w:rsidP="00203646">
            <w:pPr>
              <w:pStyle w:val="Bullets0"/>
              <w:ind w:left="466"/>
              <w:cnfStyle w:val="000000100000" w:firstRow="0" w:lastRow="0" w:firstColumn="0" w:lastColumn="0" w:oddVBand="0" w:evenVBand="0" w:oddHBand="1" w:evenHBand="0" w:firstRowFirstColumn="0" w:firstRowLastColumn="0" w:lastRowFirstColumn="0" w:lastRowLastColumn="0"/>
            </w:pPr>
            <w:r>
              <w:t>No EE participation in the last 12 months</w:t>
            </w:r>
          </w:p>
        </w:tc>
        <w:tc>
          <w:tcPr>
            <w:tcW w:w="3117" w:type="dxa"/>
          </w:tcPr>
          <w:p w14:paraId="3CE26576" w14:textId="77777777" w:rsidR="00564617" w:rsidRDefault="00564617" w:rsidP="00564617">
            <w:pPr>
              <w:pStyle w:val="Bullets0"/>
              <w:ind w:left="466"/>
              <w:cnfStyle w:val="000000100000" w:firstRow="0" w:lastRow="0" w:firstColumn="0" w:lastColumn="0" w:oddVBand="0" w:evenVBand="0" w:oddHBand="1" w:evenHBand="0" w:firstRowFirstColumn="0" w:firstRowLastColumn="0" w:lastRowFirstColumn="0" w:lastRowLastColumn="0"/>
            </w:pPr>
            <w:r>
              <w:lastRenderedPageBreak/>
              <w:t>Full panel of data for the prior year</w:t>
            </w:r>
          </w:p>
          <w:p w14:paraId="545B459E" w14:textId="77777777" w:rsidR="00203646" w:rsidRPr="00203646" w:rsidRDefault="00203646" w:rsidP="00203646">
            <w:pPr>
              <w:pStyle w:val="Bullets0"/>
              <w:ind w:left="466"/>
              <w:cnfStyle w:val="000000100000" w:firstRow="0" w:lastRow="0" w:firstColumn="0" w:lastColumn="0" w:oddVBand="0" w:evenVBand="0" w:oddHBand="1" w:evenHBand="0" w:firstRowFirstColumn="0" w:firstRowLastColumn="0" w:lastRowFirstColumn="0" w:lastRowLastColumn="0"/>
            </w:pPr>
            <w:r w:rsidRPr="00203646">
              <w:t>No EE participation in the last 12 months</w:t>
            </w:r>
          </w:p>
        </w:tc>
      </w:tr>
      <w:tr w:rsidR="00203646" w14:paraId="265E3C8E" w14:textId="77777777" w:rsidTr="00203646">
        <w:tc>
          <w:tcPr>
            <w:cnfStyle w:val="001000000000" w:firstRow="0" w:lastRow="0" w:firstColumn="1" w:lastColumn="0" w:oddVBand="0" w:evenVBand="0" w:oddHBand="0" w:evenHBand="0" w:firstRowFirstColumn="0" w:firstRowLastColumn="0" w:lastRowFirstColumn="0" w:lastRowLastColumn="0"/>
            <w:tcW w:w="1435" w:type="dxa"/>
          </w:tcPr>
          <w:p w14:paraId="7FD64199" w14:textId="77777777" w:rsidR="00203646" w:rsidRDefault="00203646" w:rsidP="004067FE">
            <w:r>
              <w:t>Non-Residential</w:t>
            </w:r>
          </w:p>
        </w:tc>
        <w:tc>
          <w:tcPr>
            <w:tcW w:w="4798" w:type="dxa"/>
          </w:tcPr>
          <w:p w14:paraId="599F9460" w14:textId="77777777" w:rsidR="00564617" w:rsidRDefault="00564617" w:rsidP="00564617">
            <w:pPr>
              <w:pStyle w:val="Bullets0"/>
              <w:ind w:left="466"/>
              <w:cnfStyle w:val="000000000000" w:firstRow="0" w:lastRow="0" w:firstColumn="0" w:lastColumn="0" w:oddVBand="0" w:evenVBand="0" w:oddHBand="0" w:evenHBand="0" w:firstRowFirstColumn="0" w:firstRowLastColumn="0" w:lastRowFirstColumn="0" w:lastRowLastColumn="0"/>
            </w:pPr>
            <w:r>
              <w:t>Full panel of data for the prior year</w:t>
            </w:r>
          </w:p>
          <w:p w14:paraId="5A0C0236" w14:textId="77777777" w:rsidR="00203646" w:rsidRDefault="00203646" w:rsidP="00203646">
            <w:pPr>
              <w:pStyle w:val="Bullets0"/>
              <w:ind w:left="466"/>
              <w:cnfStyle w:val="000000000000" w:firstRow="0" w:lastRow="0" w:firstColumn="0" w:lastColumn="0" w:oddVBand="0" w:evenVBand="0" w:oddHBand="0" w:evenHBand="0" w:firstRowFirstColumn="0" w:firstRowLastColumn="0" w:lastRowFirstColumn="0" w:lastRowLastColumn="0"/>
            </w:pPr>
            <w:r>
              <w:t>No DERs (solar, battery, or other) onsite</w:t>
            </w:r>
          </w:p>
          <w:p w14:paraId="19BDBB92" w14:textId="77777777" w:rsidR="00203646" w:rsidRDefault="00203646" w:rsidP="00203646">
            <w:pPr>
              <w:pStyle w:val="Bullets0"/>
              <w:ind w:left="466"/>
              <w:cnfStyle w:val="000000000000" w:firstRow="0" w:lastRow="0" w:firstColumn="0" w:lastColumn="0" w:oddVBand="0" w:evenVBand="0" w:oddHBand="0" w:evenHBand="0" w:firstRowFirstColumn="0" w:firstRowLastColumn="0" w:lastRowFirstColumn="0" w:lastRowLastColumn="0"/>
            </w:pPr>
            <w:r>
              <w:t xml:space="preserve">No EV </w:t>
            </w:r>
            <w:proofErr w:type="gramStart"/>
            <w:r>
              <w:t>rates</w:t>
            </w:r>
            <w:proofErr w:type="gramEnd"/>
          </w:p>
          <w:p w14:paraId="1ED17D5F" w14:textId="77777777" w:rsidR="00203646" w:rsidRDefault="00203646" w:rsidP="00203646">
            <w:pPr>
              <w:pStyle w:val="Bullets0"/>
              <w:ind w:left="466"/>
              <w:cnfStyle w:val="000000000000" w:firstRow="0" w:lastRow="0" w:firstColumn="0" w:lastColumn="0" w:oddVBand="0" w:evenVBand="0" w:oddHBand="0" w:evenHBand="0" w:firstRowFirstColumn="0" w:firstRowLastColumn="0" w:lastRowFirstColumn="0" w:lastRowLastColumn="0"/>
            </w:pPr>
            <w:r>
              <w:t>No EE participation in the last 12 months</w:t>
            </w:r>
          </w:p>
        </w:tc>
        <w:tc>
          <w:tcPr>
            <w:tcW w:w="3117" w:type="dxa"/>
          </w:tcPr>
          <w:p w14:paraId="65C37B3A" w14:textId="77777777" w:rsidR="00564617" w:rsidRDefault="00564617" w:rsidP="00564617">
            <w:pPr>
              <w:pStyle w:val="Bullets0"/>
              <w:ind w:left="466"/>
              <w:cnfStyle w:val="000000000000" w:firstRow="0" w:lastRow="0" w:firstColumn="0" w:lastColumn="0" w:oddVBand="0" w:evenVBand="0" w:oddHBand="0" w:evenHBand="0" w:firstRowFirstColumn="0" w:firstRowLastColumn="0" w:lastRowFirstColumn="0" w:lastRowLastColumn="0"/>
            </w:pPr>
            <w:r>
              <w:t>Full panel of data for the prior year</w:t>
            </w:r>
          </w:p>
          <w:p w14:paraId="175B587C" w14:textId="77777777" w:rsidR="00203646" w:rsidRDefault="00203646" w:rsidP="00203646">
            <w:pPr>
              <w:pStyle w:val="Bullets0"/>
              <w:ind w:left="466"/>
              <w:cnfStyle w:val="000000000000" w:firstRow="0" w:lastRow="0" w:firstColumn="0" w:lastColumn="0" w:oddVBand="0" w:evenVBand="0" w:oddHBand="0" w:evenHBand="0" w:firstRowFirstColumn="0" w:firstRowLastColumn="0" w:lastRowFirstColumn="0" w:lastRowLastColumn="0"/>
            </w:pPr>
            <w:r>
              <w:t>No EE participation in the last 12 months</w:t>
            </w:r>
          </w:p>
        </w:tc>
      </w:tr>
    </w:tbl>
    <w:p w14:paraId="0845CD36" w14:textId="77777777" w:rsidR="004067FE" w:rsidRDefault="004067FE" w:rsidP="004067FE">
      <w:r>
        <w:t xml:space="preserve"> </w:t>
      </w:r>
    </w:p>
    <w:p w14:paraId="78DE37E0" w14:textId="77777777" w:rsidR="003A4D0D" w:rsidRPr="004067FE" w:rsidRDefault="003A4D0D" w:rsidP="00116D01">
      <w:pPr>
        <w:pStyle w:val="Text"/>
      </w:pPr>
      <w:r>
        <w:t xml:space="preserve">These exclusions were applied both to the old and new customer segmentation strategies. Additional construction and validation were done to produce the new granular profiles, which are described below. </w:t>
      </w:r>
    </w:p>
    <w:p w14:paraId="0012937A" w14:textId="77777777" w:rsidR="005A4155" w:rsidRDefault="00D50CCC" w:rsidP="005A4155">
      <w:pPr>
        <w:pStyle w:val="Heading3"/>
      </w:pPr>
      <w:r>
        <w:t>Picking Initial Sample</w:t>
      </w:r>
    </w:p>
    <w:p w14:paraId="63B04F9D" w14:textId="36420B04" w:rsidR="00494512" w:rsidRDefault="00A83716" w:rsidP="00116D01">
      <w:pPr>
        <w:pStyle w:val="Text"/>
      </w:pPr>
      <w:r>
        <w:t xml:space="preserve">To pick the initial sample of </w:t>
      </w:r>
      <w:r w:rsidR="00564617">
        <w:t xml:space="preserve">commercial </w:t>
      </w:r>
      <w:r>
        <w:t xml:space="preserve">granular profile customers, DSA used the full commercial population – removing any invalid premises as per </w:t>
      </w:r>
      <w:r>
        <w:fldChar w:fldCharType="begin"/>
      </w:r>
      <w:r>
        <w:instrText xml:space="preserve"> REF _Ref113550343 \h </w:instrText>
      </w:r>
      <w:r w:rsidR="00537BCB">
        <w:instrText xml:space="preserve"> \* MERGEFORMAT </w:instrText>
      </w:r>
      <w:r>
        <w:fldChar w:fldCharType="separate"/>
      </w:r>
      <w:r>
        <w:t>Table 5</w:t>
      </w:r>
      <w:r>
        <w:fldChar w:fldCharType="end"/>
      </w:r>
      <w:r>
        <w:t xml:space="preserve"> – to assess segment coverage and to perform the sampling for granular profiles. 300 </w:t>
      </w:r>
      <w:r w:rsidR="001F70DC">
        <w:t xml:space="preserve">unique </w:t>
      </w:r>
      <w:r>
        <w:t>premises per granular profile were picked</w:t>
      </w:r>
      <w:r w:rsidR="001F70DC">
        <w:t xml:space="preserve">. </w:t>
      </w:r>
      <w:r w:rsidR="00564617">
        <w:t xml:space="preserve">For residential, PG&amp;E provided a stratified random sample of residential sites meeting the exclusion criteria above. From that sample </w:t>
      </w:r>
      <w:r w:rsidR="003A4D0D">
        <w:t>–</w:t>
      </w:r>
      <w:r w:rsidR="00564617">
        <w:t xml:space="preserve"> </w:t>
      </w:r>
      <w:r w:rsidR="003A4D0D">
        <w:t xml:space="preserve">stratified by climate zone group, solar status, and electric heat status – 400 premises were selected. </w:t>
      </w:r>
    </w:p>
    <w:p w14:paraId="7DEB1EE3" w14:textId="77777777" w:rsidR="00494512" w:rsidRDefault="00494512" w:rsidP="00564617">
      <w:pPr>
        <w:pStyle w:val="Heading3"/>
      </w:pPr>
      <w:r>
        <w:t>Removing Large/Influential Sites</w:t>
      </w:r>
    </w:p>
    <w:p w14:paraId="400CE4AC" w14:textId="65D39783" w:rsidR="00564617" w:rsidRPr="00564617" w:rsidRDefault="00564617" w:rsidP="00116D01">
      <w:pPr>
        <w:pStyle w:val="Text"/>
      </w:pPr>
      <w:r>
        <w:t xml:space="preserve">Any </w:t>
      </w:r>
      <w:r w:rsidR="003A4D0D">
        <w:t xml:space="preserve">commercial </w:t>
      </w:r>
      <w:r>
        <w:t xml:space="preserve">premise with greater than 5% of the total consumption in that </w:t>
      </w:r>
      <w:r w:rsidR="00537BCB">
        <w:t>segment</w:t>
      </w:r>
      <w:r w:rsidR="00C55E4F">
        <w:t xml:space="preserve"> was removed. For residential, any site with annual consumption greater than the 99</w:t>
      </w:r>
      <w:r w:rsidR="00C55E4F" w:rsidRPr="00116D01">
        <w:t>th</w:t>
      </w:r>
      <w:r w:rsidR="00C55E4F">
        <w:t xml:space="preserve"> percentile or less than the 1</w:t>
      </w:r>
      <w:r w:rsidR="00C55E4F" w:rsidRPr="00116D01">
        <w:t>st</w:t>
      </w:r>
      <w:r w:rsidR="00C55E4F">
        <w:t xml:space="preserve"> percentile of the group was excluded. </w:t>
      </w:r>
    </w:p>
    <w:p w14:paraId="49AD7E37" w14:textId="77777777" w:rsidR="00C55E4F" w:rsidRDefault="00C55E4F" w:rsidP="00C55E4F">
      <w:pPr>
        <w:pStyle w:val="Heading3"/>
      </w:pPr>
      <w:r>
        <w:t>Selecting Primary Granular Profile Participants</w:t>
      </w:r>
    </w:p>
    <w:p w14:paraId="1FCFD4C1" w14:textId="0DA91109" w:rsidR="00A83716" w:rsidRPr="00A83716" w:rsidRDefault="00C55E4F" w:rsidP="00116D01">
      <w:pPr>
        <w:pStyle w:val="Text"/>
      </w:pPr>
      <w:r>
        <w:t xml:space="preserve">Once outliers were removed, </w:t>
      </w:r>
      <w:r w:rsidR="001F70DC">
        <w:t xml:space="preserve">200 premises were </w:t>
      </w:r>
      <w:r>
        <w:t>randomly s</w:t>
      </w:r>
      <w:r w:rsidR="001F70DC">
        <w:t xml:space="preserve">ampled </w:t>
      </w:r>
      <w:r>
        <w:t xml:space="preserve">within each segment </w:t>
      </w:r>
      <w:r w:rsidR="001F70DC">
        <w:t xml:space="preserve">to produce the primary premises for the granular profile. </w:t>
      </w:r>
      <w:r w:rsidR="00537BCB">
        <w:t xml:space="preserve">If there were not 200 premises in the segment, all customers were selected. This only occurs for a small subset of commercial industries. </w:t>
      </w:r>
    </w:p>
    <w:p w14:paraId="0321C29D" w14:textId="77777777" w:rsidR="0017619C" w:rsidRDefault="0017619C" w:rsidP="0017619C">
      <w:pPr>
        <w:pStyle w:val="Heading3"/>
      </w:pPr>
      <w:r>
        <w:t>Picking Alternate GP Participants</w:t>
      </w:r>
    </w:p>
    <w:p w14:paraId="4133B3FD" w14:textId="24CA2924" w:rsidR="00AF31AF" w:rsidRPr="00AF31AF" w:rsidRDefault="00AF31AF" w:rsidP="00116D01">
      <w:pPr>
        <w:pStyle w:val="Text"/>
      </w:pPr>
      <w:r>
        <w:t xml:space="preserve">A feature of the new GP production process is pre-selecting sites that will be used </w:t>
      </w:r>
      <w:r w:rsidR="0020018B">
        <w:t xml:space="preserve">to replace any premises that violate </w:t>
      </w:r>
      <w:r w:rsidR="00AD373C">
        <w:t xml:space="preserve">the eligibility criteria at any future point. The alternates are selected from the initial 300 or 400 premises and have the same size restrictions applied. The alternates are selected for each GP participant to closely match the existing premises </w:t>
      </w:r>
      <w:proofErr w:type="gramStart"/>
      <w:r w:rsidR="00AD373C">
        <w:t>on the basis of</w:t>
      </w:r>
      <w:proofErr w:type="gramEnd"/>
      <w:r w:rsidR="00AD373C">
        <w:t xml:space="preserve"> annual kWh. That is, for each primary premise, a list of </w:t>
      </w:r>
      <w:r w:rsidR="00F85799">
        <w:t xml:space="preserve">five </w:t>
      </w:r>
      <w:r w:rsidR="00AD373C">
        <w:t>alternate</w:t>
      </w:r>
      <w:r w:rsidR="00F85799">
        <w:t xml:space="preserve"> premises</w:t>
      </w:r>
      <w:r w:rsidR="00AD373C">
        <w:t xml:space="preserve"> </w:t>
      </w:r>
      <w:proofErr w:type="gramStart"/>
      <w:r w:rsidR="00AD373C">
        <w:t>are</w:t>
      </w:r>
      <w:proofErr w:type="gramEnd"/>
      <w:r w:rsidR="00AD373C">
        <w:t xml:space="preserve"> developed that are as close as possible in size to the primary customer. An alternate premise can act as an alternate for multiple primary premises</w:t>
      </w:r>
      <w:r w:rsidR="006172AE">
        <w:t xml:space="preserve">. More detail about the substitution procedure for primary GP participants can be found in Section </w:t>
      </w:r>
      <w:r w:rsidR="006172AE">
        <w:fldChar w:fldCharType="begin"/>
      </w:r>
      <w:r w:rsidR="006172AE">
        <w:instrText xml:space="preserve"> REF _Ref113551886 \r \h </w:instrText>
      </w:r>
      <w:r w:rsidR="00537BCB">
        <w:instrText xml:space="preserve"> \* MERGEFORMAT </w:instrText>
      </w:r>
      <w:r w:rsidR="006172AE">
        <w:fldChar w:fldCharType="separate"/>
      </w:r>
      <w:r w:rsidR="006172AE">
        <w:t>3</w:t>
      </w:r>
      <w:r w:rsidR="006172AE">
        <w:fldChar w:fldCharType="end"/>
      </w:r>
      <w:r w:rsidR="006172AE">
        <w:t xml:space="preserve">. </w:t>
      </w:r>
    </w:p>
    <w:p w14:paraId="778CB82B" w14:textId="77777777" w:rsidR="00F85799" w:rsidRDefault="005A4155" w:rsidP="00F85799">
      <w:pPr>
        <w:pStyle w:val="Heading2"/>
        <w:ind w:left="288" w:hanging="288"/>
      </w:pPr>
      <w:r>
        <w:lastRenderedPageBreak/>
        <w:t>Get AMI data for the extract of sampled sites</w:t>
      </w:r>
      <w:r w:rsidR="00B96160">
        <w:t xml:space="preserve"> &amp; </w:t>
      </w:r>
      <w:r w:rsidR="00F85799">
        <w:t>Screen outLiers</w:t>
      </w:r>
    </w:p>
    <w:p w14:paraId="6C82307F" w14:textId="13F63A56" w:rsidR="00F85799" w:rsidRDefault="00F85799" w:rsidP="00116D01">
      <w:pPr>
        <w:pStyle w:val="Text"/>
      </w:pPr>
      <w:r>
        <w:t xml:space="preserve">The initial sample of granular profile candidates were screened to have a full panel of data during the prior year. </w:t>
      </w:r>
      <w:r w:rsidR="009465E5">
        <w:t>Large sites were removed from each granular profile segment, however individual reads for primary participants will also be removed. These reads, which may contain spurious meter reads are identified based on the 3</w:t>
      </w:r>
      <w:r w:rsidR="009465E5" w:rsidRPr="00116D01">
        <w:t>rd</w:t>
      </w:r>
      <w:r w:rsidR="009465E5">
        <w:t xml:space="preserve"> and 97</w:t>
      </w:r>
      <w:r w:rsidR="009465E5" w:rsidRPr="00116D01">
        <w:t>th</w:t>
      </w:r>
      <w:r w:rsidR="009465E5">
        <w:t xml:space="preserve"> percentile of that premise’s full year of data. Reads that were </w:t>
      </w:r>
      <w:r w:rsidR="00537BCB">
        <w:t xml:space="preserve">removed were those with </w:t>
      </w:r>
      <w:r w:rsidR="009465E5">
        <w:t>greater than 3 times the 97</w:t>
      </w:r>
      <w:r w:rsidR="009465E5" w:rsidRPr="00116D01">
        <w:t>th</w:t>
      </w:r>
      <w:r w:rsidR="009465E5">
        <w:t xml:space="preserve"> percentile or:</w:t>
      </w:r>
    </w:p>
    <w:p w14:paraId="598B611C" w14:textId="78569BB9" w:rsidR="009465E5" w:rsidRDefault="009465E5" w:rsidP="009465E5">
      <w:pPr>
        <w:pStyle w:val="Bullets0"/>
      </w:pPr>
      <w:r>
        <w:t>Less than 0 net kWh</w:t>
      </w:r>
      <w:r w:rsidR="000446FE">
        <w:t xml:space="preserve"> </w:t>
      </w:r>
      <w:r>
        <w:t>for non-solar customers</w:t>
      </w:r>
      <w:r w:rsidR="00537BCB">
        <w:t>, or</w:t>
      </w:r>
    </w:p>
    <w:p w14:paraId="53195B71" w14:textId="016873E1" w:rsidR="009465E5" w:rsidRDefault="009465E5" w:rsidP="009465E5">
      <w:pPr>
        <w:pStyle w:val="Bullets0"/>
      </w:pPr>
      <w:r>
        <w:t xml:space="preserve">Less than </w:t>
      </w:r>
      <w:r w:rsidR="00537BCB">
        <w:t xml:space="preserve">3 times the </w:t>
      </w:r>
      <w:r>
        <w:t>3</w:t>
      </w:r>
      <w:r w:rsidRPr="009465E5">
        <w:rPr>
          <w:vertAlign w:val="superscript"/>
        </w:rPr>
        <w:t>rd</w:t>
      </w:r>
      <w:r>
        <w:t xml:space="preserve"> percentile for solar customers</w:t>
      </w:r>
      <w:r w:rsidR="00537BCB">
        <w:t xml:space="preserve">. As solar customers will have negative net kWh reads, this screen removes large negative readings. </w:t>
      </w:r>
    </w:p>
    <w:p w14:paraId="3F7CD855" w14:textId="77777777" w:rsidR="005A4155" w:rsidRPr="00D70620" w:rsidRDefault="005A4155" w:rsidP="005A4155">
      <w:pPr>
        <w:pStyle w:val="Heading2"/>
        <w:ind w:left="288" w:hanging="288"/>
      </w:pPr>
      <w:r>
        <w:t>Aggregate to a single time series per segment</w:t>
      </w:r>
    </w:p>
    <w:p w14:paraId="3384128A" w14:textId="64BA2E45" w:rsidR="007D4E6A" w:rsidRDefault="009465E5" w:rsidP="00116D01">
      <w:pPr>
        <w:pStyle w:val="Text"/>
      </w:pPr>
      <w:r>
        <w:t>For the valid primary premises and valid net meter reads (that is, delivered minus export</w:t>
      </w:r>
      <w:r w:rsidR="00537BCB">
        <w:t xml:space="preserve"> channels</w:t>
      </w:r>
      <w:r>
        <w:t xml:space="preserve">) were averaged for each </w:t>
      </w:r>
      <w:r w:rsidR="000446FE">
        <w:t xml:space="preserve">segment, date, and hour. The final dataset contains each granular profile, a date and hour indicator, and both an average customer consumption read and count of valid premises that reading contains. For gas profiles, the profiles are constructed </w:t>
      </w:r>
      <w:proofErr w:type="gramStart"/>
      <w:r w:rsidR="000446FE">
        <w:t>on a daily basis</w:t>
      </w:r>
      <w:proofErr w:type="gramEnd"/>
      <w:r w:rsidR="000446FE">
        <w:t xml:space="preserve"> rather than hourly. </w:t>
      </w:r>
    </w:p>
    <w:p w14:paraId="6CC813EB" w14:textId="77777777" w:rsidR="005A4155" w:rsidRDefault="005A4155" w:rsidP="007D4E6A"/>
    <w:p w14:paraId="52B10BC4" w14:textId="77777777" w:rsidR="005A4155" w:rsidRDefault="005A4155" w:rsidP="007D4E6A"/>
    <w:p w14:paraId="6D1D3F88" w14:textId="77777777" w:rsidR="005A4155" w:rsidRDefault="005A4155" w:rsidP="007D4E6A"/>
    <w:p w14:paraId="161B42BD" w14:textId="77777777" w:rsidR="007D4E6A" w:rsidRPr="007D4E6A" w:rsidRDefault="007D4E6A" w:rsidP="007D4E6A"/>
    <w:p w14:paraId="2EDC09BA" w14:textId="77777777" w:rsidR="00B873D0" w:rsidRDefault="00B873D0" w:rsidP="004D2542">
      <w:pPr>
        <w:pStyle w:val="Heading1"/>
      </w:pPr>
      <w:bookmarkStart w:id="5" w:name="_Ref113551886"/>
      <w:r>
        <w:lastRenderedPageBreak/>
        <w:t>Granular Profile Maintenance</w:t>
      </w:r>
      <w:bookmarkEnd w:id="5"/>
    </w:p>
    <w:p w14:paraId="4A6DFFD5" w14:textId="77777777" w:rsidR="00E74D55" w:rsidRPr="00A26461" w:rsidRDefault="006F1FAD" w:rsidP="00116D01">
      <w:pPr>
        <w:pStyle w:val="Text"/>
      </w:pPr>
      <w:r w:rsidRPr="00A26461">
        <w:t xml:space="preserve">This section documents the </w:t>
      </w:r>
      <w:r w:rsidR="00A26461">
        <w:t xml:space="preserve">updates to the granular profile maintenance </w:t>
      </w:r>
      <w:r w:rsidR="00A20E3B">
        <w:t xml:space="preserve">process that will be put in place for the new profiles. </w:t>
      </w:r>
    </w:p>
    <w:p w14:paraId="78FC715B" w14:textId="77777777" w:rsidR="000173A9" w:rsidRDefault="000173A9" w:rsidP="000173A9">
      <w:pPr>
        <w:pStyle w:val="Heading3"/>
      </w:pPr>
      <w:r>
        <w:t>Monthly Maintenance</w:t>
      </w:r>
    </w:p>
    <w:p w14:paraId="0795AE3E" w14:textId="2CBD8C7A" w:rsidR="00A20E3B" w:rsidRDefault="00A20E3B" w:rsidP="00116D01">
      <w:pPr>
        <w:pStyle w:val="Text"/>
      </w:pPr>
      <w:r>
        <w:t xml:space="preserve">Each month, granular profile primary premises and all alternates should be assessed to determine if they are still eligible to be part of the profile. This involves determining if any site now no longer meets the criteria outlined in </w:t>
      </w:r>
      <w:r>
        <w:fldChar w:fldCharType="begin"/>
      </w:r>
      <w:r>
        <w:instrText xml:space="preserve"> REF _Ref113550343 \h </w:instrText>
      </w:r>
      <w:r w:rsidR="00537BCB">
        <w:instrText xml:space="preserve"> \* MERGEFORMAT </w:instrText>
      </w:r>
      <w:r>
        <w:fldChar w:fldCharType="separate"/>
      </w:r>
      <w:r>
        <w:t>Table 5</w:t>
      </w:r>
      <w:r>
        <w:fldChar w:fldCharType="end"/>
      </w:r>
      <w:r>
        <w:t>. If any primary premise no longer meets these criteria, an alternate will be selected from the pre-defined list. The specific steps</w:t>
      </w:r>
      <w:r w:rsidR="005B3AF7">
        <w:t xml:space="preserve"> for this replacement procedure </w:t>
      </w:r>
      <w:proofErr w:type="gramStart"/>
      <w:r w:rsidR="005B3AF7">
        <w:t>is</w:t>
      </w:r>
      <w:proofErr w:type="gramEnd"/>
      <w:r w:rsidR="005B3AF7">
        <w:t xml:space="preserve"> as follows:</w:t>
      </w:r>
    </w:p>
    <w:p w14:paraId="144A2F82" w14:textId="77777777" w:rsidR="005B3AF7" w:rsidRPr="00537BCB" w:rsidRDefault="005B3AF7" w:rsidP="00116D01">
      <w:pPr>
        <w:pStyle w:val="Bullets0"/>
        <w:numPr>
          <w:ilvl w:val="0"/>
          <w:numId w:val="33"/>
        </w:numPr>
        <w:ind w:left="720"/>
      </w:pPr>
      <w:r w:rsidRPr="00537BCB">
        <w:t xml:space="preserve">Start with the file containing current primaries and all assigned </w:t>
      </w:r>
      <w:proofErr w:type="gramStart"/>
      <w:r w:rsidRPr="00537BCB">
        <w:t>alternates</w:t>
      </w:r>
      <w:proofErr w:type="gramEnd"/>
    </w:p>
    <w:p w14:paraId="7D0D3D6E" w14:textId="77777777" w:rsidR="005B3AF7" w:rsidRPr="00537BCB" w:rsidRDefault="005B3AF7" w:rsidP="00116D01">
      <w:pPr>
        <w:pStyle w:val="Bullets0"/>
        <w:numPr>
          <w:ilvl w:val="0"/>
          <w:numId w:val="33"/>
        </w:numPr>
        <w:ind w:left="720"/>
      </w:pPr>
      <w:r w:rsidRPr="00537BCB">
        <w:t xml:space="preserve">Identify any primaries </w:t>
      </w:r>
      <w:r w:rsidR="00916C04" w:rsidRPr="00537BCB">
        <w:t>and all alternates that</w:t>
      </w:r>
      <w:r w:rsidRPr="00537BCB">
        <w:t xml:space="preserve"> are now </w:t>
      </w:r>
      <w:proofErr w:type="gramStart"/>
      <w:r w:rsidRPr="00537BCB">
        <w:t>ineligible</w:t>
      </w:r>
      <w:proofErr w:type="gramEnd"/>
      <w:r w:rsidRPr="00537BCB">
        <w:t xml:space="preserve"> </w:t>
      </w:r>
    </w:p>
    <w:p w14:paraId="7FFA8F6E" w14:textId="77777777" w:rsidR="005B3AF7" w:rsidRPr="00537BCB" w:rsidRDefault="005B3AF7" w:rsidP="00116D01">
      <w:pPr>
        <w:pStyle w:val="Bullets0"/>
        <w:numPr>
          <w:ilvl w:val="0"/>
          <w:numId w:val="33"/>
        </w:numPr>
        <w:ind w:left="720"/>
      </w:pPr>
      <w:r w:rsidRPr="00537BCB">
        <w:t xml:space="preserve">For those that are ineligible, assign their most similar </w:t>
      </w:r>
      <w:r w:rsidR="00916C04" w:rsidRPr="00537BCB">
        <w:t xml:space="preserve">eligible </w:t>
      </w:r>
      <w:r w:rsidRPr="00537BCB">
        <w:t xml:space="preserve">alternate to be the new </w:t>
      </w:r>
      <w:proofErr w:type="gramStart"/>
      <w:r w:rsidRPr="00537BCB">
        <w:t>primary</w:t>
      </w:r>
      <w:proofErr w:type="gramEnd"/>
    </w:p>
    <w:p w14:paraId="4A5D7382" w14:textId="77777777" w:rsidR="005B3AF7" w:rsidRPr="00537BCB" w:rsidRDefault="005B3AF7" w:rsidP="00116D01">
      <w:pPr>
        <w:pStyle w:val="Bullets0"/>
        <w:numPr>
          <w:ilvl w:val="0"/>
          <w:numId w:val="33"/>
        </w:numPr>
        <w:ind w:left="720"/>
      </w:pPr>
      <w:r w:rsidRPr="00537BCB">
        <w:t xml:space="preserve">Go through the list of new primaries and ensure there are no </w:t>
      </w:r>
      <w:proofErr w:type="gramStart"/>
      <w:r w:rsidRPr="00537BCB">
        <w:t>duplicates</w:t>
      </w:r>
      <w:proofErr w:type="gramEnd"/>
    </w:p>
    <w:p w14:paraId="7E252880" w14:textId="77777777" w:rsidR="005B3AF7" w:rsidRPr="00537BCB" w:rsidRDefault="005B3AF7" w:rsidP="00116D01">
      <w:pPr>
        <w:pStyle w:val="Bullets0"/>
        <w:numPr>
          <w:ilvl w:val="0"/>
          <w:numId w:val="33"/>
        </w:numPr>
        <w:ind w:left="720"/>
      </w:pPr>
      <w:r w:rsidRPr="00537BCB">
        <w:t xml:space="preserve">This can happen because a secondary can be assigned to multiple primaries and could then be substituted for both if they both become </w:t>
      </w:r>
      <w:proofErr w:type="gramStart"/>
      <w:r w:rsidRPr="00537BCB">
        <w:t>ineligible</w:t>
      </w:r>
      <w:proofErr w:type="gramEnd"/>
    </w:p>
    <w:p w14:paraId="728FB460" w14:textId="77777777" w:rsidR="005B3AF7" w:rsidRPr="00537BCB" w:rsidRDefault="005B3AF7" w:rsidP="00116D01">
      <w:pPr>
        <w:pStyle w:val="Bullets0"/>
        <w:numPr>
          <w:ilvl w:val="0"/>
          <w:numId w:val="33"/>
        </w:numPr>
        <w:ind w:left="720"/>
      </w:pPr>
      <w:r w:rsidRPr="00537BCB">
        <w:t>If any duplicates occurred  drop the primary for all after the first occurrence of the customer and pull in the next alternates</w:t>
      </w:r>
    </w:p>
    <w:p w14:paraId="0E07CD13" w14:textId="77777777" w:rsidR="005B3AF7" w:rsidRPr="00537BCB" w:rsidRDefault="005B3AF7" w:rsidP="00116D01">
      <w:pPr>
        <w:pStyle w:val="Bullets0"/>
        <w:numPr>
          <w:ilvl w:val="0"/>
          <w:numId w:val="33"/>
        </w:numPr>
        <w:ind w:left="720"/>
      </w:pPr>
      <w:r w:rsidRPr="00537BCB">
        <w:t xml:space="preserve">Repeat the process until all primaries are </w:t>
      </w:r>
      <w:proofErr w:type="gramStart"/>
      <w:r w:rsidRPr="00537BCB">
        <w:t>unique</w:t>
      </w:r>
      <w:proofErr w:type="gramEnd"/>
    </w:p>
    <w:p w14:paraId="5C5311AA" w14:textId="77777777" w:rsidR="005B3AF7" w:rsidRPr="00916C04" w:rsidRDefault="005B3AF7" w:rsidP="00116D01">
      <w:pPr>
        <w:pStyle w:val="Bullets0"/>
        <w:numPr>
          <w:ilvl w:val="0"/>
          <w:numId w:val="33"/>
        </w:numPr>
        <w:ind w:left="720"/>
      </w:pPr>
      <w:r w:rsidRPr="00537BCB">
        <w:t xml:space="preserve">Update the list of alternates to remove the premises that have been promoted to primaries. </w:t>
      </w:r>
    </w:p>
    <w:p w14:paraId="79D996B3" w14:textId="0B123FFA" w:rsidR="00916C04" w:rsidRPr="00A20E3B" w:rsidRDefault="00916C04" w:rsidP="00116D01">
      <w:pPr>
        <w:pStyle w:val="Text"/>
      </w:pPr>
      <w:r w:rsidRPr="00537BCB">
        <w:t xml:space="preserve">Once the list of primaries has been updated, the new month of AMI data can be produced. When new premises are added to the primary list for a given segment, AMI data for the old primary should be truncated </w:t>
      </w:r>
      <w:r w:rsidR="00F35904" w:rsidRPr="00537BCB">
        <w:t>at the end of the prior month</w:t>
      </w:r>
      <w:r w:rsidRPr="00537BCB">
        <w:t>. That is, if during the September 2022 update to the granular profiles, it was found that a primary customer installed solar at their site as of August 15</w:t>
      </w:r>
      <w:r w:rsidRPr="00116D01">
        <w:t>th</w:t>
      </w:r>
      <w:r w:rsidRPr="00537BCB">
        <w:t xml:space="preserve">, their AMI data should run through </w:t>
      </w:r>
      <w:r w:rsidR="00F35904" w:rsidRPr="00537BCB">
        <w:t>July 31st</w:t>
      </w:r>
      <w:r w:rsidRPr="00537BCB">
        <w:t xml:space="preserve">, and their selected alternate’s data should be substituted starting August </w:t>
      </w:r>
      <w:r w:rsidR="00F35904" w:rsidRPr="00537BCB">
        <w:t>1st</w:t>
      </w:r>
      <w:r w:rsidRPr="00537BCB">
        <w:t xml:space="preserve">. The application of outlier screenings to the new AMI data should still apply as all primaries and alternates are required to have a full year of data from which to do segmentation and assess customer volatility. </w:t>
      </w:r>
    </w:p>
    <w:p w14:paraId="2B77391B" w14:textId="77777777" w:rsidR="000173A9" w:rsidRDefault="000173A9" w:rsidP="000173A9">
      <w:pPr>
        <w:pStyle w:val="Heading3"/>
      </w:pPr>
      <w:r>
        <w:t>Monthly Validation</w:t>
      </w:r>
    </w:p>
    <w:p w14:paraId="17D67FD3" w14:textId="77777777" w:rsidR="00271CC9" w:rsidRPr="00537BCB" w:rsidRDefault="00271CC9" w:rsidP="00116D01">
      <w:pPr>
        <w:pStyle w:val="Text"/>
      </w:pPr>
      <w:r w:rsidRPr="00537BCB">
        <w:t xml:space="preserve">As part of the updated granular profile production process, additional validation of each profile is done </w:t>
      </w:r>
      <w:proofErr w:type="gramStart"/>
      <w:r w:rsidRPr="00537BCB">
        <w:t>on a monthly basis</w:t>
      </w:r>
      <w:proofErr w:type="gramEnd"/>
      <w:r w:rsidRPr="00537BCB">
        <w:t>. The checks are detailed in code, but contain:</w:t>
      </w:r>
    </w:p>
    <w:p w14:paraId="1AF29247" w14:textId="562D1862" w:rsidR="00271CC9" w:rsidRPr="009B536D" w:rsidRDefault="00271CC9" w:rsidP="00FA6FAC">
      <w:pPr>
        <w:numPr>
          <w:ilvl w:val="0"/>
          <w:numId w:val="31"/>
        </w:numPr>
        <w:ind w:left="810"/>
        <w:rPr>
          <w:bCs/>
        </w:rPr>
      </w:pPr>
      <w:r w:rsidRPr="009B536D">
        <w:rPr>
          <w:bCs/>
        </w:rPr>
        <w:t xml:space="preserve">Visual inspection of profile loads for any trends, outliers, </w:t>
      </w:r>
      <w:r w:rsidR="00537BCB" w:rsidRPr="009B536D">
        <w:rPr>
          <w:bCs/>
        </w:rPr>
        <w:t>etc.</w:t>
      </w:r>
    </w:p>
    <w:p w14:paraId="66E2725A" w14:textId="77777777" w:rsidR="00271CC9" w:rsidRPr="009B536D" w:rsidRDefault="00271CC9" w:rsidP="00FA6FAC">
      <w:pPr>
        <w:numPr>
          <w:ilvl w:val="0"/>
          <w:numId w:val="31"/>
        </w:numPr>
        <w:ind w:left="810"/>
        <w:rPr>
          <w:bCs/>
        </w:rPr>
      </w:pPr>
      <w:r w:rsidRPr="009B536D">
        <w:rPr>
          <w:bCs/>
        </w:rPr>
        <w:t>Flagging any observation that has less than 90% of the target number of participants (</w:t>
      </w:r>
      <w:proofErr w:type="gramStart"/>
      <w:r w:rsidRPr="009B536D">
        <w:rPr>
          <w:bCs/>
        </w:rPr>
        <w:t>e.g.</w:t>
      </w:r>
      <w:proofErr w:type="gramEnd"/>
      <w:r w:rsidRPr="009B536D">
        <w:rPr>
          <w:bCs/>
        </w:rPr>
        <w:t xml:space="preserve"> fewer than 180 premises for commercial profiles which should contain 200 premises each)</w:t>
      </w:r>
    </w:p>
    <w:p w14:paraId="1849C841" w14:textId="77777777" w:rsidR="00271CC9" w:rsidRPr="009B536D" w:rsidRDefault="00271CC9" w:rsidP="00FA6FAC">
      <w:pPr>
        <w:numPr>
          <w:ilvl w:val="0"/>
          <w:numId w:val="31"/>
        </w:numPr>
        <w:ind w:left="810"/>
        <w:rPr>
          <w:bCs/>
        </w:rPr>
      </w:pPr>
      <w:r w:rsidRPr="009B536D">
        <w:rPr>
          <w:bCs/>
        </w:rPr>
        <w:lastRenderedPageBreak/>
        <w:t>Flagging any observation that violates a temperature-load trend (using local regressions to highlight major deviations in average daily consumption)</w:t>
      </w:r>
    </w:p>
    <w:p w14:paraId="61942C1E" w14:textId="77777777" w:rsidR="00271CC9" w:rsidRPr="009B536D" w:rsidRDefault="00271CC9" w:rsidP="00FA6FAC">
      <w:pPr>
        <w:numPr>
          <w:ilvl w:val="0"/>
          <w:numId w:val="31"/>
        </w:numPr>
        <w:ind w:left="810"/>
        <w:rPr>
          <w:bCs/>
        </w:rPr>
      </w:pPr>
      <w:r w:rsidRPr="009B536D">
        <w:rPr>
          <w:bCs/>
        </w:rPr>
        <w:t xml:space="preserve">Flagging </w:t>
      </w:r>
      <w:r w:rsidR="003215B2" w:rsidRPr="009B536D">
        <w:rPr>
          <w:bCs/>
        </w:rPr>
        <w:t>any observations that violate short-term trends in daily consumption (using local regressions to highlight major deviations over time)</w:t>
      </w:r>
    </w:p>
    <w:p w14:paraId="0C6D782F" w14:textId="77777777" w:rsidR="003215B2" w:rsidRPr="009B536D" w:rsidRDefault="003215B2" w:rsidP="00FA6FAC">
      <w:pPr>
        <w:numPr>
          <w:ilvl w:val="0"/>
          <w:numId w:val="31"/>
        </w:numPr>
        <w:ind w:left="810"/>
        <w:rPr>
          <w:bCs/>
        </w:rPr>
      </w:pPr>
      <w:r w:rsidRPr="009B536D">
        <w:rPr>
          <w:bCs/>
        </w:rPr>
        <w:t xml:space="preserve">Assessing any profiles or dates with multiple flags (typically more than 5% of days having </w:t>
      </w:r>
      <w:r w:rsidR="00C54133" w:rsidRPr="009B536D">
        <w:rPr>
          <w:bCs/>
        </w:rPr>
        <w:t>one or more flag)</w:t>
      </w:r>
    </w:p>
    <w:p w14:paraId="7958448D" w14:textId="77777777" w:rsidR="000173A9" w:rsidRPr="00537BCB" w:rsidRDefault="00C54133" w:rsidP="00116D01">
      <w:pPr>
        <w:pStyle w:val="Text"/>
      </w:pPr>
      <w:r w:rsidRPr="00537BCB">
        <w:t xml:space="preserve">In the case of concerns with a given profile, the underlying profile data should be investigated to see if there is a specific primary premise creating the issue. In that case, that premise may be substituted with a valid alternate. </w:t>
      </w:r>
    </w:p>
    <w:p w14:paraId="4A4ABB33" w14:textId="77777777" w:rsidR="000173A9" w:rsidRDefault="000173A9" w:rsidP="000173A9">
      <w:pPr>
        <w:pStyle w:val="Heading3"/>
      </w:pPr>
      <w:r>
        <w:t>Annual Maintenance</w:t>
      </w:r>
    </w:p>
    <w:p w14:paraId="2FFC759C" w14:textId="25343C19" w:rsidR="000173A9" w:rsidRPr="00537BCB" w:rsidRDefault="005B3AF7" w:rsidP="00116D01">
      <w:pPr>
        <w:pStyle w:val="Text"/>
      </w:pPr>
      <w:r w:rsidRPr="00537BCB">
        <w:t xml:space="preserve">On an annual basis, the list of alternates should be replenished </w:t>
      </w:r>
      <w:r w:rsidR="00746439" w:rsidRPr="00537BCB">
        <w:t>to ensure there are sufficient premises available</w:t>
      </w:r>
      <w:r w:rsidR="00916C04" w:rsidRPr="00E1766B">
        <w:t xml:space="preserve"> to backfill</w:t>
      </w:r>
      <w:r w:rsidR="00B906C3" w:rsidRPr="009403A2">
        <w:t xml:space="preserve"> ineligible primaries over time. While this process should happen at least annually, it can be done mo</w:t>
      </w:r>
      <w:r w:rsidR="00B906C3" w:rsidRPr="00116D01">
        <w:t>re frequently if a</w:t>
      </w:r>
      <w:r w:rsidR="00537BCB">
        <w:t>ll alternates have been depleted.</w:t>
      </w:r>
      <w:r w:rsidR="00B906C3" w:rsidRPr="00537BCB">
        <w:t xml:space="preserve"> . </w:t>
      </w:r>
    </w:p>
    <w:p w14:paraId="0338B299" w14:textId="77777777" w:rsidR="00F1317B" w:rsidRPr="00313AB1" w:rsidRDefault="00594C8D" w:rsidP="00FA6FAC">
      <w:pPr>
        <w:numPr>
          <w:ilvl w:val="0"/>
          <w:numId w:val="29"/>
        </w:numPr>
        <w:ind w:left="810"/>
        <w:rPr>
          <w:bCs/>
        </w:rPr>
      </w:pPr>
      <w:r w:rsidRPr="00313AB1">
        <w:rPr>
          <w:bCs/>
        </w:rPr>
        <w:t xml:space="preserve">Start with </w:t>
      </w:r>
      <w:r w:rsidR="00F1317B" w:rsidRPr="00313AB1">
        <w:rPr>
          <w:bCs/>
        </w:rPr>
        <w:t xml:space="preserve">most recent list of all </w:t>
      </w:r>
      <w:r w:rsidRPr="00313AB1">
        <w:rPr>
          <w:bCs/>
        </w:rPr>
        <w:t xml:space="preserve">eligible </w:t>
      </w:r>
      <w:r w:rsidR="00F1317B" w:rsidRPr="00313AB1">
        <w:rPr>
          <w:bCs/>
        </w:rPr>
        <w:t xml:space="preserve">premises that are not already in a GP. </w:t>
      </w:r>
    </w:p>
    <w:p w14:paraId="312851A7" w14:textId="77777777" w:rsidR="00F1317B" w:rsidRPr="00313AB1" w:rsidRDefault="00F1317B" w:rsidP="00FA6FAC">
      <w:pPr>
        <w:numPr>
          <w:ilvl w:val="0"/>
          <w:numId w:val="29"/>
        </w:numPr>
        <w:ind w:left="810"/>
        <w:rPr>
          <w:bCs/>
        </w:rPr>
      </w:pPr>
      <w:r w:rsidRPr="00313AB1">
        <w:rPr>
          <w:bCs/>
        </w:rPr>
        <w:t xml:space="preserve">Compute each premises granular profile segmentation using the prior year of their data. </w:t>
      </w:r>
    </w:p>
    <w:p w14:paraId="7DA57508" w14:textId="77777777" w:rsidR="00D06146" w:rsidRPr="00313AB1" w:rsidRDefault="00594C8D" w:rsidP="00FA6FAC">
      <w:pPr>
        <w:numPr>
          <w:ilvl w:val="0"/>
          <w:numId w:val="29"/>
        </w:numPr>
        <w:ind w:left="810"/>
        <w:rPr>
          <w:bCs/>
        </w:rPr>
      </w:pPr>
      <w:r w:rsidRPr="00313AB1">
        <w:rPr>
          <w:bCs/>
        </w:rPr>
        <w:t xml:space="preserve">Sample 300 (or as many are available) potential </w:t>
      </w:r>
      <w:r w:rsidR="00E26D5D" w:rsidRPr="00313AB1">
        <w:rPr>
          <w:bCs/>
        </w:rPr>
        <w:t>alternates</w:t>
      </w:r>
      <w:r w:rsidR="00F1317B" w:rsidRPr="00313AB1">
        <w:rPr>
          <w:bCs/>
        </w:rPr>
        <w:t xml:space="preserve"> for each </w:t>
      </w:r>
      <w:proofErr w:type="gramStart"/>
      <w:r w:rsidR="00F1317B" w:rsidRPr="00313AB1">
        <w:rPr>
          <w:bCs/>
        </w:rPr>
        <w:t>segment</w:t>
      </w:r>
      <w:proofErr w:type="gramEnd"/>
    </w:p>
    <w:p w14:paraId="4F87A3D9" w14:textId="77777777" w:rsidR="00D06146" w:rsidRPr="00313AB1" w:rsidRDefault="00594C8D" w:rsidP="00FA6FAC">
      <w:pPr>
        <w:numPr>
          <w:ilvl w:val="0"/>
          <w:numId w:val="29"/>
        </w:numPr>
        <w:ind w:left="810"/>
        <w:rPr>
          <w:bCs/>
        </w:rPr>
      </w:pPr>
      <w:r w:rsidRPr="00313AB1">
        <w:rPr>
          <w:bCs/>
        </w:rPr>
        <w:t xml:space="preserve">Filter out large customers based on customer annual </w:t>
      </w:r>
      <w:proofErr w:type="gramStart"/>
      <w:r w:rsidRPr="00313AB1">
        <w:rPr>
          <w:bCs/>
        </w:rPr>
        <w:t>usage</w:t>
      </w:r>
      <w:proofErr w:type="gramEnd"/>
    </w:p>
    <w:p w14:paraId="21A5A40F" w14:textId="77777777" w:rsidR="00F1317B" w:rsidRPr="00313AB1" w:rsidRDefault="00594C8D" w:rsidP="00116D01">
      <w:pPr>
        <w:numPr>
          <w:ilvl w:val="2"/>
          <w:numId w:val="31"/>
        </w:numPr>
        <w:ind w:left="1350"/>
        <w:rPr>
          <w:bCs/>
        </w:rPr>
      </w:pPr>
      <w:r w:rsidRPr="00313AB1">
        <w:rPr>
          <w:bCs/>
        </w:rPr>
        <w:t xml:space="preserve">If a customer makes </w:t>
      </w:r>
      <w:r w:rsidR="00E26D5D" w:rsidRPr="00313AB1">
        <w:rPr>
          <w:bCs/>
        </w:rPr>
        <w:t>up more</w:t>
      </w:r>
      <w:r w:rsidRPr="00313AB1">
        <w:rPr>
          <w:bCs/>
        </w:rPr>
        <w:t xml:space="preserve"> than 5% of the candidate GP group’s total annual </w:t>
      </w:r>
      <w:proofErr w:type="gramStart"/>
      <w:r w:rsidRPr="00313AB1">
        <w:rPr>
          <w:bCs/>
        </w:rPr>
        <w:t>usage</w:t>
      </w:r>
      <w:proofErr w:type="gramEnd"/>
      <w:r w:rsidRPr="00313AB1">
        <w:rPr>
          <w:bCs/>
        </w:rPr>
        <w:t xml:space="preserve"> then toss them out and check again.</w:t>
      </w:r>
    </w:p>
    <w:p w14:paraId="6A93A053" w14:textId="77777777" w:rsidR="00D06146" w:rsidRPr="00313AB1" w:rsidRDefault="00594C8D" w:rsidP="00FA6FAC">
      <w:pPr>
        <w:numPr>
          <w:ilvl w:val="0"/>
          <w:numId w:val="29"/>
        </w:numPr>
        <w:ind w:left="810"/>
        <w:rPr>
          <w:bCs/>
        </w:rPr>
      </w:pPr>
      <w:r w:rsidRPr="00313AB1">
        <w:rPr>
          <w:bCs/>
        </w:rPr>
        <w:t xml:space="preserve">Assign alternates to the primaries from those that remain in the candidate </w:t>
      </w:r>
      <w:proofErr w:type="gramStart"/>
      <w:r w:rsidRPr="00313AB1">
        <w:rPr>
          <w:bCs/>
        </w:rPr>
        <w:t>pool</w:t>
      </w:r>
      <w:proofErr w:type="gramEnd"/>
    </w:p>
    <w:p w14:paraId="3C7A77EE" w14:textId="77777777" w:rsidR="00D06146" w:rsidRPr="00313AB1" w:rsidRDefault="00594C8D" w:rsidP="00FA6FAC">
      <w:pPr>
        <w:numPr>
          <w:ilvl w:val="2"/>
          <w:numId w:val="31"/>
        </w:numPr>
        <w:ind w:left="1350"/>
        <w:rPr>
          <w:bCs/>
        </w:rPr>
      </w:pPr>
      <w:r w:rsidRPr="00313AB1">
        <w:rPr>
          <w:bCs/>
        </w:rPr>
        <w:t>Assign alternates to primaries based on which are closest to each primary in size (annual usage)</w:t>
      </w:r>
    </w:p>
    <w:p w14:paraId="4157AEE4" w14:textId="77777777" w:rsidR="00D06146" w:rsidRPr="00313AB1" w:rsidRDefault="00594C8D" w:rsidP="00FA6FAC">
      <w:pPr>
        <w:numPr>
          <w:ilvl w:val="2"/>
          <w:numId w:val="31"/>
        </w:numPr>
        <w:ind w:left="1350"/>
        <w:rPr>
          <w:bCs/>
        </w:rPr>
      </w:pPr>
      <w:r w:rsidRPr="00313AB1">
        <w:rPr>
          <w:bCs/>
        </w:rPr>
        <w:t>Each Primary gets 5 alternates and alternates can be assigned to multiple primaries at a time.</w:t>
      </w:r>
    </w:p>
    <w:p w14:paraId="512C0346" w14:textId="77777777" w:rsidR="000315EC" w:rsidRPr="000315EC" w:rsidRDefault="000315EC" w:rsidP="000315EC"/>
    <w:sectPr w:rsidR="000315EC" w:rsidRPr="000315E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34D5C" w14:textId="77777777" w:rsidR="00482371" w:rsidRDefault="00482371" w:rsidP="004D2542">
      <w:pPr>
        <w:spacing w:after="0" w:line="240" w:lineRule="auto"/>
      </w:pPr>
      <w:r>
        <w:separator/>
      </w:r>
    </w:p>
  </w:endnote>
  <w:endnote w:type="continuationSeparator" w:id="0">
    <w:p w14:paraId="78C00B93" w14:textId="77777777" w:rsidR="00482371" w:rsidRDefault="00482371" w:rsidP="004D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Nextype">
    <w:altName w:val="Calibri"/>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2D5A" w14:textId="06C3C700" w:rsidR="00AD735C" w:rsidRDefault="00AD735C">
    <w:pPr>
      <w:pStyle w:val="Footer0"/>
    </w:pPr>
    <w:r>
      <w:rPr>
        <w:noProof/>
      </w:rPr>
      <mc:AlternateContent>
        <mc:Choice Requires="wps">
          <w:drawing>
            <wp:anchor distT="0" distB="0" distL="114300" distR="114300" simplePos="0" relativeHeight="251658240" behindDoc="0" locked="0" layoutInCell="0" allowOverlap="1" wp14:anchorId="1FB605BF" wp14:editId="09034926">
              <wp:simplePos x="0" y="0"/>
              <wp:positionH relativeFrom="page">
                <wp:posOffset>0</wp:posOffset>
              </wp:positionH>
              <wp:positionV relativeFrom="page">
                <wp:posOffset>9594215</wp:posOffset>
              </wp:positionV>
              <wp:extent cx="7772400" cy="273050"/>
              <wp:effectExtent l="0" t="0" r="0" b="12700"/>
              <wp:wrapNone/>
              <wp:docPr id="1" name="MSIPCM5be34d7ebd7fb7b4e4da6c59" descr="{&quot;HashCode&quot;:-45198548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DC118" w14:textId="738C18C1" w:rsidR="00AD735C" w:rsidRPr="00AD735C" w:rsidRDefault="00AD735C" w:rsidP="00AD735C">
                          <w:pPr>
                            <w:spacing w:after="0"/>
                            <w:jc w:val="center"/>
                            <w:rPr>
                              <w:rFonts w:ascii="Calibri" w:hAnsi="Calibri" w:cs="Calibri"/>
                              <w:color w:val="000000"/>
                              <w:sz w:val="20"/>
                            </w:rPr>
                          </w:pPr>
                          <w:r w:rsidRPr="00AD735C">
                            <w:rPr>
                              <w:rFonts w:ascii="Calibri" w:hAnsi="Calibri" w:cs="Calibri"/>
                              <w:color w:val="000000"/>
                              <w:sz w:val="20"/>
                            </w:rPr>
                            <w:t xml:space="preserve">Internal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B605BF" id="_x0000_t202" coordsize="21600,21600" o:spt="202" path="m,l,21600r21600,l21600,xe">
              <v:stroke joinstyle="miter"/>
              <v:path gradientshapeok="t" o:connecttype="rect"/>
            </v:shapetype>
            <v:shape id="MSIPCM5be34d7ebd7fb7b4e4da6c59" o:spid="_x0000_s1026" type="#_x0000_t202" alt="{&quot;HashCode&quot;:-451985486,&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3C7DC118" w14:textId="738C18C1" w:rsidR="00AD735C" w:rsidRPr="00AD735C" w:rsidRDefault="00AD735C" w:rsidP="00AD735C">
                    <w:pPr>
                      <w:spacing w:after="0"/>
                      <w:jc w:val="center"/>
                      <w:rPr>
                        <w:rFonts w:ascii="Calibri" w:hAnsi="Calibri" w:cs="Calibri"/>
                        <w:color w:val="000000"/>
                        <w:sz w:val="20"/>
                      </w:rPr>
                    </w:pPr>
                    <w:r w:rsidRPr="00AD735C">
                      <w:rPr>
                        <w:rFonts w:ascii="Calibri" w:hAnsi="Calibri" w:cs="Calibri"/>
                        <w:color w:val="000000"/>
                        <w:sz w:val="20"/>
                      </w:rPr>
                      <w:t xml:space="preserve">Internal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A213" w14:textId="77777777" w:rsidR="00482371" w:rsidRDefault="00482371" w:rsidP="004D2542">
      <w:pPr>
        <w:spacing w:after="0" w:line="240" w:lineRule="auto"/>
      </w:pPr>
      <w:r>
        <w:separator/>
      </w:r>
    </w:p>
  </w:footnote>
  <w:footnote w:type="continuationSeparator" w:id="0">
    <w:p w14:paraId="5EE8FB2F" w14:textId="77777777" w:rsidR="00482371" w:rsidRDefault="00482371" w:rsidP="004D2542">
      <w:pPr>
        <w:spacing w:after="0" w:line="240" w:lineRule="auto"/>
      </w:pPr>
      <w:r>
        <w:continuationSeparator/>
      </w:r>
    </w:p>
  </w:footnote>
  <w:footnote w:id="1">
    <w:p w14:paraId="4FE42FDC" w14:textId="77777777" w:rsidR="004D2542" w:rsidRDefault="004D2542" w:rsidP="004D2542">
      <w:pPr>
        <w:pStyle w:val="Footer"/>
      </w:pPr>
      <w:r w:rsidRPr="008260A8">
        <w:rPr>
          <w:rStyle w:val="FootnoteReference"/>
          <w:color w:val="auto"/>
        </w:rPr>
        <w:footnoteRef/>
      </w:r>
      <w:r w:rsidRPr="008260A8">
        <w:t xml:space="preserve"> Including CPUC Decision D.97-10-031 (1997) Direct Access Proceeding (15/15 rule), Senate Bill No. 1476 (2010) Chapter 5 Privacy Protections for Energy Consumption Data, and CPUC Decision D.14-05-016 (2014) Decision Adopting Rules to Provide Access to Energy Usage and Usage-related Data While Protecting Privacy of Personal Data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CE2"/>
    <w:multiLevelType w:val="hybridMultilevel"/>
    <w:tmpl w:val="7EC25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50342"/>
    <w:multiLevelType w:val="hybridMultilevel"/>
    <w:tmpl w:val="6D68C746"/>
    <w:lvl w:ilvl="0" w:tplc="0409000F">
      <w:start w:val="1"/>
      <w:numFmt w:val="decimal"/>
      <w:lvlText w:val="%1."/>
      <w:lvlJc w:val="left"/>
      <w:pPr>
        <w:ind w:left="1440" w:hanging="360"/>
      </w:pPr>
      <w:rPr>
        <w:rFonts w:hint="default"/>
        <w:color w:val="8D82A3" w:themeColor="accent4"/>
        <w:sz w:val="24"/>
        <w:szCs w:val="24"/>
      </w:rPr>
    </w:lvl>
    <w:lvl w:ilvl="1" w:tplc="DFDC9A08">
      <w:start w:val="1"/>
      <w:numFmt w:val="bullet"/>
      <w:lvlText w:val=""/>
      <w:lvlJc w:val="left"/>
      <w:pPr>
        <w:ind w:left="2160" w:hanging="360"/>
      </w:pPr>
      <w:rPr>
        <w:rFonts w:ascii="Wingdings" w:hAnsi="Wingdings" w:hint="default"/>
        <w:b w:val="0"/>
        <w:color w:val="004C6B" w:themeColor="accent1" w:themeShade="80"/>
      </w:rPr>
    </w:lvl>
    <w:lvl w:ilvl="2" w:tplc="94C27582">
      <w:numFmt w:val="bullet"/>
      <w:lvlText w:val=""/>
      <w:lvlJc w:val="left"/>
      <w:pPr>
        <w:ind w:left="2880" w:hanging="360"/>
      </w:pPr>
      <w:rPr>
        <w:rFonts w:ascii="Symbol" w:eastAsiaTheme="minorHAnsi" w:hAnsi="Symbol" w:cstheme="minorBid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D4610"/>
    <w:multiLevelType w:val="hybridMultilevel"/>
    <w:tmpl w:val="20ACE512"/>
    <w:lvl w:ilvl="0" w:tplc="9A6488B0">
      <w:start w:val="1"/>
      <w:numFmt w:val="bullet"/>
      <w:lvlText w:val=""/>
      <w:lvlJc w:val="left"/>
      <w:pPr>
        <w:tabs>
          <w:tab w:val="num" w:pos="720"/>
        </w:tabs>
        <w:ind w:left="720" w:hanging="360"/>
      </w:pPr>
      <w:rPr>
        <w:rFonts w:ascii="Wingdings 2" w:hAnsi="Wingdings 2" w:hint="default"/>
      </w:rPr>
    </w:lvl>
    <w:lvl w:ilvl="1" w:tplc="6DA61B22">
      <w:numFmt w:val="bullet"/>
      <w:lvlText w:val=""/>
      <w:lvlJc w:val="left"/>
      <w:pPr>
        <w:tabs>
          <w:tab w:val="num" w:pos="1440"/>
        </w:tabs>
        <w:ind w:left="1440" w:hanging="360"/>
      </w:pPr>
      <w:rPr>
        <w:rFonts w:ascii="Wingdings" w:hAnsi="Wingdings" w:hint="default"/>
      </w:rPr>
    </w:lvl>
    <w:lvl w:ilvl="2" w:tplc="30487ED2">
      <w:numFmt w:val="bullet"/>
      <w:lvlText w:val="o"/>
      <w:lvlJc w:val="left"/>
      <w:pPr>
        <w:tabs>
          <w:tab w:val="num" w:pos="2160"/>
        </w:tabs>
        <w:ind w:left="2160" w:hanging="360"/>
      </w:pPr>
      <w:rPr>
        <w:rFonts w:ascii="Courier New" w:hAnsi="Courier New" w:hint="default"/>
      </w:rPr>
    </w:lvl>
    <w:lvl w:ilvl="3" w:tplc="C1FC6BF4" w:tentative="1">
      <w:start w:val="1"/>
      <w:numFmt w:val="bullet"/>
      <w:lvlText w:val=""/>
      <w:lvlJc w:val="left"/>
      <w:pPr>
        <w:tabs>
          <w:tab w:val="num" w:pos="2880"/>
        </w:tabs>
        <w:ind w:left="2880" w:hanging="360"/>
      </w:pPr>
      <w:rPr>
        <w:rFonts w:ascii="Wingdings 2" w:hAnsi="Wingdings 2" w:hint="default"/>
      </w:rPr>
    </w:lvl>
    <w:lvl w:ilvl="4" w:tplc="045CA0E6" w:tentative="1">
      <w:start w:val="1"/>
      <w:numFmt w:val="bullet"/>
      <w:lvlText w:val=""/>
      <w:lvlJc w:val="left"/>
      <w:pPr>
        <w:tabs>
          <w:tab w:val="num" w:pos="3600"/>
        </w:tabs>
        <w:ind w:left="3600" w:hanging="360"/>
      </w:pPr>
      <w:rPr>
        <w:rFonts w:ascii="Wingdings 2" w:hAnsi="Wingdings 2" w:hint="default"/>
      </w:rPr>
    </w:lvl>
    <w:lvl w:ilvl="5" w:tplc="159A0AC6" w:tentative="1">
      <w:start w:val="1"/>
      <w:numFmt w:val="bullet"/>
      <w:lvlText w:val=""/>
      <w:lvlJc w:val="left"/>
      <w:pPr>
        <w:tabs>
          <w:tab w:val="num" w:pos="4320"/>
        </w:tabs>
        <w:ind w:left="4320" w:hanging="360"/>
      </w:pPr>
      <w:rPr>
        <w:rFonts w:ascii="Wingdings 2" w:hAnsi="Wingdings 2" w:hint="default"/>
      </w:rPr>
    </w:lvl>
    <w:lvl w:ilvl="6" w:tplc="CAD84D18" w:tentative="1">
      <w:start w:val="1"/>
      <w:numFmt w:val="bullet"/>
      <w:lvlText w:val=""/>
      <w:lvlJc w:val="left"/>
      <w:pPr>
        <w:tabs>
          <w:tab w:val="num" w:pos="5040"/>
        </w:tabs>
        <w:ind w:left="5040" w:hanging="360"/>
      </w:pPr>
      <w:rPr>
        <w:rFonts w:ascii="Wingdings 2" w:hAnsi="Wingdings 2" w:hint="default"/>
      </w:rPr>
    </w:lvl>
    <w:lvl w:ilvl="7" w:tplc="00F86458" w:tentative="1">
      <w:start w:val="1"/>
      <w:numFmt w:val="bullet"/>
      <w:lvlText w:val=""/>
      <w:lvlJc w:val="left"/>
      <w:pPr>
        <w:tabs>
          <w:tab w:val="num" w:pos="5760"/>
        </w:tabs>
        <w:ind w:left="5760" w:hanging="360"/>
      </w:pPr>
      <w:rPr>
        <w:rFonts w:ascii="Wingdings 2" w:hAnsi="Wingdings 2" w:hint="default"/>
      </w:rPr>
    </w:lvl>
    <w:lvl w:ilvl="8" w:tplc="0F8475D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96A593E"/>
    <w:multiLevelType w:val="hybridMultilevel"/>
    <w:tmpl w:val="AD2E4EF6"/>
    <w:lvl w:ilvl="0" w:tplc="8676EB0E">
      <w:start w:val="1"/>
      <w:numFmt w:val="bullet"/>
      <w:pStyle w:val="Bullets"/>
      <w:lvlText w:val=""/>
      <w:lvlJc w:val="left"/>
      <w:pPr>
        <w:tabs>
          <w:tab w:val="num" w:pos="1080"/>
        </w:tabs>
        <w:ind w:left="1080" w:hanging="360"/>
      </w:pPr>
      <w:rPr>
        <w:rFonts w:ascii="Wingdings" w:hAnsi="Wingdings" w:hint="default"/>
        <w:color w:val="8D82A3" w:themeColor="accent4"/>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0D3D0A"/>
    <w:multiLevelType w:val="hybridMultilevel"/>
    <w:tmpl w:val="B23404AE"/>
    <w:lvl w:ilvl="0" w:tplc="EA6A6156">
      <w:start w:val="1"/>
      <w:numFmt w:val="bullet"/>
      <w:lvlText w:val=""/>
      <w:lvlJc w:val="left"/>
      <w:pPr>
        <w:tabs>
          <w:tab w:val="num" w:pos="720"/>
        </w:tabs>
        <w:ind w:left="720" w:hanging="360"/>
      </w:pPr>
      <w:rPr>
        <w:rFonts w:ascii="Wingdings 2" w:hAnsi="Wingdings 2" w:hint="default"/>
      </w:rPr>
    </w:lvl>
    <w:lvl w:ilvl="1" w:tplc="B4607BB0">
      <w:numFmt w:val="bullet"/>
      <w:lvlText w:val=""/>
      <w:lvlJc w:val="left"/>
      <w:pPr>
        <w:tabs>
          <w:tab w:val="num" w:pos="1440"/>
        </w:tabs>
        <w:ind w:left="1440" w:hanging="360"/>
      </w:pPr>
      <w:rPr>
        <w:rFonts w:ascii="Wingdings" w:hAnsi="Wingdings" w:hint="default"/>
      </w:rPr>
    </w:lvl>
    <w:lvl w:ilvl="2" w:tplc="B2F29E8E" w:tentative="1">
      <w:start w:val="1"/>
      <w:numFmt w:val="bullet"/>
      <w:lvlText w:val=""/>
      <w:lvlJc w:val="left"/>
      <w:pPr>
        <w:tabs>
          <w:tab w:val="num" w:pos="2160"/>
        </w:tabs>
        <w:ind w:left="2160" w:hanging="360"/>
      </w:pPr>
      <w:rPr>
        <w:rFonts w:ascii="Wingdings 2" w:hAnsi="Wingdings 2" w:hint="default"/>
      </w:rPr>
    </w:lvl>
    <w:lvl w:ilvl="3" w:tplc="348E9604" w:tentative="1">
      <w:start w:val="1"/>
      <w:numFmt w:val="bullet"/>
      <w:lvlText w:val=""/>
      <w:lvlJc w:val="left"/>
      <w:pPr>
        <w:tabs>
          <w:tab w:val="num" w:pos="2880"/>
        </w:tabs>
        <w:ind w:left="2880" w:hanging="360"/>
      </w:pPr>
      <w:rPr>
        <w:rFonts w:ascii="Wingdings 2" w:hAnsi="Wingdings 2" w:hint="default"/>
      </w:rPr>
    </w:lvl>
    <w:lvl w:ilvl="4" w:tplc="93385DD0" w:tentative="1">
      <w:start w:val="1"/>
      <w:numFmt w:val="bullet"/>
      <w:lvlText w:val=""/>
      <w:lvlJc w:val="left"/>
      <w:pPr>
        <w:tabs>
          <w:tab w:val="num" w:pos="3600"/>
        </w:tabs>
        <w:ind w:left="3600" w:hanging="360"/>
      </w:pPr>
      <w:rPr>
        <w:rFonts w:ascii="Wingdings 2" w:hAnsi="Wingdings 2" w:hint="default"/>
      </w:rPr>
    </w:lvl>
    <w:lvl w:ilvl="5" w:tplc="6AB2CCB0" w:tentative="1">
      <w:start w:val="1"/>
      <w:numFmt w:val="bullet"/>
      <w:lvlText w:val=""/>
      <w:lvlJc w:val="left"/>
      <w:pPr>
        <w:tabs>
          <w:tab w:val="num" w:pos="4320"/>
        </w:tabs>
        <w:ind w:left="4320" w:hanging="360"/>
      </w:pPr>
      <w:rPr>
        <w:rFonts w:ascii="Wingdings 2" w:hAnsi="Wingdings 2" w:hint="default"/>
      </w:rPr>
    </w:lvl>
    <w:lvl w:ilvl="6" w:tplc="39A01E9E" w:tentative="1">
      <w:start w:val="1"/>
      <w:numFmt w:val="bullet"/>
      <w:lvlText w:val=""/>
      <w:lvlJc w:val="left"/>
      <w:pPr>
        <w:tabs>
          <w:tab w:val="num" w:pos="5040"/>
        </w:tabs>
        <w:ind w:left="5040" w:hanging="360"/>
      </w:pPr>
      <w:rPr>
        <w:rFonts w:ascii="Wingdings 2" w:hAnsi="Wingdings 2" w:hint="default"/>
      </w:rPr>
    </w:lvl>
    <w:lvl w:ilvl="7" w:tplc="D6C6020C" w:tentative="1">
      <w:start w:val="1"/>
      <w:numFmt w:val="bullet"/>
      <w:lvlText w:val=""/>
      <w:lvlJc w:val="left"/>
      <w:pPr>
        <w:tabs>
          <w:tab w:val="num" w:pos="5760"/>
        </w:tabs>
        <w:ind w:left="5760" w:hanging="360"/>
      </w:pPr>
      <w:rPr>
        <w:rFonts w:ascii="Wingdings 2" w:hAnsi="Wingdings 2" w:hint="default"/>
      </w:rPr>
    </w:lvl>
    <w:lvl w:ilvl="8" w:tplc="CB2E18A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A372197"/>
    <w:multiLevelType w:val="hybridMultilevel"/>
    <w:tmpl w:val="947E2B1E"/>
    <w:lvl w:ilvl="0" w:tplc="681A14A8">
      <w:start w:val="1"/>
      <w:numFmt w:val="bullet"/>
      <w:lvlText w:val=""/>
      <w:lvlJc w:val="left"/>
      <w:pPr>
        <w:tabs>
          <w:tab w:val="num" w:pos="720"/>
        </w:tabs>
        <w:ind w:left="720" w:hanging="360"/>
      </w:pPr>
      <w:rPr>
        <w:rFonts w:ascii="Wingdings 2" w:hAnsi="Wingdings 2" w:hint="default"/>
      </w:rPr>
    </w:lvl>
    <w:lvl w:ilvl="1" w:tplc="C598F3A8">
      <w:numFmt w:val="bullet"/>
      <w:lvlText w:val=""/>
      <w:lvlJc w:val="left"/>
      <w:pPr>
        <w:tabs>
          <w:tab w:val="num" w:pos="1440"/>
        </w:tabs>
        <w:ind w:left="1440" w:hanging="360"/>
      </w:pPr>
      <w:rPr>
        <w:rFonts w:ascii="Wingdings" w:hAnsi="Wingdings" w:hint="default"/>
      </w:rPr>
    </w:lvl>
    <w:lvl w:ilvl="2" w:tplc="0E0E76D0" w:tentative="1">
      <w:start w:val="1"/>
      <w:numFmt w:val="bullet"/>
      <w:lvlText w:val=""/>
      <w:lvlJc w:val="left"/>
      <w:pPr>
        <w:tabs>
          <w:tab w:val="num" w:pos="2160"/>
        </w:tabs>
        <w:ind w:left="2160" w:hanging="360"/>
      </w:pPr>
      <w:rPr>
        <w:rFonts w:ascii="Wingdings 2" w:hAnsi="Wingdings 2" w:hint="default"/>
      </w:rPr>
    </w:lvl>
    <w:lvl w:ilvl="3" w:tplc="94E825EE" w:tentative="1">
      <w:start w:val="1"/>
      <w:numFmt w:val="bullet"/>
      <w:lvlText w:val=""/>
      <w:lvlJc w:val="left"/>
      <w:pPr>
        <w:tabs>
          <w:tab w:val="num" w:pos="2880"/>
        </w:tabs>
        <w:ind w:left="2880" w:hanging="360"/>
      </w:pPr>
      <w:rPr>
        <w:rFonts w:ascii="Wingdings 2" w:hAnsi="Wingdings 2" w:hint="default"/>
      </w:rPr>
    </w:lvl>
    <w:lvl w:ilvl="4" w:tplc="A3ECFE16" w:tentative="1">
      <w:start w:val="1"/>
      <w:numFmt w:val="bullet"/>
      <w:lvlText w:val=""/>
      <w:lvlJc w:val="left"/>
      <w:pPr>
        <w:tabs>
          <w:tab w:val="num" w:pos="3600"/>
        </w:tabs>
        <w:ind w:left="3600" w:hanging="360"/>
      </w:pPr>
      <w:rPr>
        <w:rFonts w:ascii="Wingdings 2" w:hAnsi="Wingdings 2" w:hint="default"/>
      </w:rPr>
    </w:lvl>
    <w:lvl w:ilvl="5" w:tplc="5942ADD4" w:tentative="1">
      <w:start w:val="1"/>
      <w:numFmt w:val="bullet"/>
      <w:lvlText w:val=""/>
      <w:lvlJc w:val="left"/>
      <w:pPr>
        <w:tabs>
          <w:tab w:val="num" w:pos="4320"/>
        </w:tabs>
        <w:ind w:left="4320" w:hanging="360"/>
      </w:pPr>
      <w:rPr>
        <w:rFonts w:ascii="Wingdings 2" w:hAnsi="Wingdings 2" w:hint="default"/>
      </w:rPr>
    </w:lvl>
    <w:lvl w:ilvl="6" w:tplc="291A4DC6" w:tentative="1">
      <w:start w:val="1"/>
      <w:numFmt w:val="bullet"/>
      <w:lvlText w:val=""/>
      <w:lvlJc w:val="left"/>
      <w:pPr>
        <w:tabs>
          <w:tab w:val="num" w:pos="5040"/>
        </w:tabs>
        <w:ind w:left="5040" w:hanging="360"/>
      </w:pPr>
      <w:rPr>
        <w:rFonts w:ascii="Wingdings 2" w:hAnsi="Wingdings 2" w:hint="default"/>
      </w:rPr>
    </w:lvl>
    <w:lvl w:ilvl="7" w:tplc="0ADE3588" w:tentative="1">
      <w:start w:val="1"/>
      <w:numFmt w:val="bullet"/>
      <w:lvlText w:val=""/>
      <w:lvlJc w:val="left"/>
      <w:pPr>
        <w:tabs>
          <w:tab w:val="num" w:pos="5760"/>
        </w:tabs>
        <w:ind w:left="5760" w:hanging="360"/>
      </w:pPr>
      <w:rPr>
        <w:rFonts w:ascii="Wingdings 2" w:hAnsi="Wingdings 2" w:hint="default"/>
      </w:rPr>
    </w:lvl>
    <w:lvl w:ilvl="8" w:tplc="0B38C89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D92053"/>
    <w:multiLevelType w:val="hybridMultilevel"/>
    <w:tmpl w:val="7B9A3BAE"/>
    <w:lvl w:ilvl="0" w:tplc="F3C69CF4">
      <w:start w:val="1"/>
      <w:numFmt w:val="bullet"/>
      <w:lvlText w:val=""/>
      <w:lvlJc w:val="left"/>
      <w:pPr>
        <w:tabs>
          <w:tab w:val="num" w:pos="720"/>
        </w:tabs>
        <w:ind w:left="720" w:hanging="360"/>
      </w:pPr>
      <w:rPr>
        <w:rFonts w:ascii="Wingdings 2" w:hAnsi="Wingdings 2" w:hint="default"/>
      </w:rPr>
    </w:lvl>
    <w:lvl w:ilvl="1" w:tplc="D8C0C08E">
      <w:numFmt w:val="bullet"/>
      <w:lvlText w:val=""/>
      <w:lvlJc w:val="left"/>
      <w:pPr>
        <w:tabs>
          <w:tab w:val="num" w:pos="1440"/>
        </w:tabs>
        <w:ind w:left="1440" w:hanging="360"/>
      </w:pPr>
      <w:rPr>
        <w:rFonts w:ascii="Wingdings" w:hAnsi="Wingdings" w:hint="default"/>
      </w:rPr>
    </w:lvl>
    <w:lvl w:ilvl="2" w:tplc="8F80AA24" w:tentative="1">
      <w:start w:val="1"/>
      <w:numFmt w:val="bullet"/>
      <w:lvlText w:val=""/>
      <w:lvlJc w:val="left"/>
      <w:pPr>
        <w:tabs>
          <w:tab w:val="num" w:pos="2160"/>
        </w:tabs>
        <w:ind w:left="2160" w:hanging="360"/>
      </w:pPr>
      <w:rPr>
        <w:rFonts w:ascii="Wingdings 2" w:hAnsi="Wingdings 2" w:hint="default"/>
      </w:rPr>
    </w:lvl>
    <w:lvl w:ilvl="3" w:tplc="B41AD726" w:tentative="1">
      <w:start w:val="1"/>
      <w:numFmt w:val="bullet"/>
      <w:lvlText w:val=""/>
      <w:lvlJc w:val="left"/>
      <w:pPr>
        <w:tabs>
          <w:tab w:val="num" w:pos="2880"/>
        </w:tabs>
        <w:ind w:left="2880" w:hanging="360"/>
      </w:pPr>
      <w:rPr>
        <w:rFonts w:ascii="Wingdings 2" w:hAnsi="Wingdings 2" w:hint="default"/>
      </w:rPr>
    </w:lvl>
    <w:lvl w:ilvl="4" w:tplc="4D3098A4" w:tentative="1">
      <w:start w:val="1"/>
      <w:numFmt w:val="bullet"/>
      <w:lvlText w:val=""/>
      <w:lvlJc w:val="left"/>
      <w:pPr>
        <w:tabs>
          <w:tab w:val="num" w:pos="3600"/>
        </w:tabs>
        <w:ind w:left="3600" w:hanging="360"/>
      </w:pPr>
      <w:rPr>
        <w:rFonts w:ascii="Wingdings 2" w:hAnsi="Wingdings 2" w:hint="default"/>
      </w:rPr>
    </w:lvl>
    <w:lvl w:ilvl="5" w:tplc="551EB1E2" w:tentative="1">
      <w:start w:val="1"/>
      <w:numFmt w:val="bullet"/>
      <w:lvlText w:val=""/>
      <w:lvlJc w:val="left"/>
      <w:pPr>
        <w:tabs>
          <w:tab w:val="num" w:pos="4320"/>
        </w:tabs>
        <w:ind w:left="4320" w:hanging="360"/>
      </w:pPr>
      <w:rPr>
        <w:rFonts w:ascii="Wingdings 2" w:hAnsi="Wingdings 2" w:hint="default"/>
      </w:rPr>
    </w:lvl>
    <w:lvl w:ilvl="6" w:tplc="AC6C5B92" w:tentative="1">
      <w:start w:val="1"/>
      <w:numFmt w:val="bullet"/>
      <w:lvlText w:val=""/>
      <w:lvlJc w:val="left"/>
      <w:pPr>
        <w:tabs>
          <w:tab w:val="num" w:pos="5040"/>
        </w:tabs>
        <w:ind w:left="5040" w:hanging="360"/>
      </w:pPr>
      <w:rPr>
        <w:rFonts w:ascii="Wingdings 2" w:hAnsi="Wingdings 2" w:hint="default"/>
      </w:rPr>
    </w:lvl>
    <w:lvl w:ilvl="7" w:tplc="8E1AF2DC" w:tentative="1">
      <w:start w:val="1"/>
      <w:numFmt w:val="bullet"/>
      <w:lvlText w:val=""/>
      <w:lvlJc w:val="left"/>
      <w:pPr>
        <w:tabs>
          <w:tab w:val="num" w:pos="5760"/>
        </w:tabs>
        <w:ind w:left="5760" w:hanging="360"/>
      </w:pPr>
      <w:rPr>
        <w:rFonts w:ascii="Wingdings 2" w:hAnsi="Wingdings 2" w:hint="default"/>
      </w:rPr>
    </w:lvl>
    <w:lvl w:ilvl="8" w:tplc="872C28F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A223825"/>
    <w:multiLevelType w:val="hybridMultilevel"/>
    <w:tmpl w:val="39D86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B5722"/>
    <w:multiLevelType w:val="hybridMultilevel"/>
    <w:tmpl w:val="156EA05C"/>
    <w:lvl w:ilvl="0" w:tplc="6322730A">
      <w:start w:val="1"/>
      <w:numFmt w:val="bullet"/>
      <w:lvlText w:val=""/>
      <w:lvlJc w:val="left"/>
      <w:pPr>
        <w:tabs>
          <w:tab w:val="num" w:pos="720"/>
        </w:tabs>
        <w:ind w:left="720" w:hanging="360"/>
      </w:pPr>
      <w:rPr>
        <w:rFonts w:ascii="Wingdings 2" w:hAnsi="Wingdings 2" w:hint="default"/>
      </w:rPr>
    </w:lvl>
    <w:lvl w:ilvl="1" w:tplc="C5862BC6">
      <w:numFmt w:val="bullet"/>
      <w:lvlText w:val=""/>
      <w:lvlJc w:val="left"/>
      <w:pPr>
        <w:tabs>
          <w:tab w:val="num" w:pos="1440"/>
        </w:tabs>
        <w:ind w:left="1440" w:hanging="360"/>
      </w:pPr>
      <w:rPr>
        <w:rFonts w:ascii="Wingdings" w:hAnsi="Wingdings" w:hint="default"/>
      </w:rPr>
    </w:lvl>
    <w:lvl w:ilvl="2" w:tplc="AE4AD990" w:tentative="1">
      <w:start w:val="1"/>
      <w:numFmt w:val="bullet"/>
      <w:lvlText w:val=""/>
      <w:lvlJc w:val="left"/>
      <w:pPr>
        <w:tabs>
          <w:tab w:val="num" w:pos="2160"/>
        </w:tabs>
        <w:ind w:left="2160" w:hanging="360"/>
      </w:pPr>
      <w:rPr>
        <w:rFonts w:ascii="Wingdings 2" w:hAnsi="Wingdings 2" w:hint="default"/>
      </w:rPr>
    </w:lvl>
    <w:lvl w:ilvl="3" w:tplc="1A1CE3AE" w:tentative="1">
      <w:start w:val="1"/>
      <w:numFmt w:val="bullet"/>
      <w:lvlText w:val=""/>
      <w:lvlJc w:val="left"/>
      <w:pPr>
        <w:tabs>
          <w:tab w:val="num" w:pos="2880"/>
        </w:tabs>
        <w:ind w:left="2880" w:hanging="360"/>
      </w:pPr>
      <w:rPr>
        <w:rFonts w:ascii="Wingdings 2" w:hAnsi="Wingdings 2" w:hint="default"/>
      </w:rPr>
    </w:lvl>
    <w:lvl w:ilvl="4" w:tplc="0E8C5A7C" w:tentative="1">
      <w:start w:val="1"/>
      <w:numFmt w:val="bullet"/>
      <w:lvlText w:val=""/>
      <w:lvlJc w:val="left"/>
      <w:pPr>
        <w:tabs>
          <w:tab w:val="num" w:pos="3600"/>
        </w:tabs>
        <w:ind w:left="3600" w:hanging="360"/>
      </w:pPr>
      <w:rPr>
        <w:rFonts w:ascii="Wingdings 2" w:hAnsi="Wingdings 2" w:hint="default"/>
      </w:rPr>
    </w:lvl>
    <w:lvl w:ilvl="5" w:tplc="D7D47AA8" w:tentative="1">
      <w:start w:val="1"/>
      <w:numFmt w:val="bullet"/>
      <w:lvlText w:val=""/>
      <w:lvlJc w:val="left"/>
      <w:pPr>
        <w:tabs>
          <w:tab w:val="num" w:pos="4320"/>
        </w:tabs>
        <w:ind w:left="4320" w:hanging="360"/>
      </w:pPr>
      <w:rPr>
        <w:rFonts w:ascii="Wingdings 2" w:hAnsi="Wingdings 2" w:hint="default"/>
      </w:rPr>
    </w:lvl>
    <w:lvl w:ilvl="6" w:tplc="1C96EC18" w:tentative="1">
      <w:start w:val="1"/>
      <w:numFmt w:val="bullet"/>
      <w:lvlText w:val=""/>
      <w:lvlJc w:val="left"/>
      <w:pPr>
        <w:tabs>
          <w:tab w:val="num" w:pos="5040"/>
        </w:tabs>
        <w:ind w:left="5040" w:hanging="360"/>
      </w:pPr>
      <w:rPr>
        <w:rFonts w:ascii="Wingdings 2" w:hAnsi="Wingdings 2" w:hint="default"/>
      </w:rPr>
    </w:lvl>
    <w:lvl w:ilvl="7" w:tplc="1B5C10A0" w:tentative="1">
      <w:start w:val="1"/>
      <w:numFmt w:val="bullet"/>
      <w:lvlText w:val=""/>
      <w:lvlJc w:val="left"/>
      <w:pPr>
        <w:tabs>
          <w:tab w:val="num" w:pos="5760"/>
        </w:tabs>
        <w:ind w:left="5760" w:hanging="360"/>
      </w:pPr>
      <w:rPr>
        <w:rFonts w:ascii="Wingdings 2" w:hAnsi="Wingdings 2" w:hint="default"/>
      </w:rPr>
    </w:lvl>
    <w:lvl w:ilvl="8" w:tplc="2592B830"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614064C"/>
    <w:multiLevelType w:val="hybridMultilevel"/>
    <w:tmpl w:val="9C028CB2"/>
    <w:lvl w:ilvl="0" w:tplc="F1061E28">
      <w:start w:val="1"/>
      <w:numFmt w:val="bullet"/>
      <w:lvlText w:val=""/>
      <w:lvlJc w:val="left"/>
      <w:pPr>
        <w:tabs>
          <w:tab w:val="num" w:pos="720"/>
        </w:tabs>
        <w:ind w:left="720" w:hanging="360"/>
      </w:pPr>
      <w:rPr>
        <w:rFonts w:ascii="Wingdings 2" w:hAnsi="Wingdings 2" w:hint="default"/>
      </w:rPr>
    </w:lvl>
    <w:lvl w:ilvl="1" w:tplc="4CF026A4">
      <w:numFmt w:val="bullet"/>
      <w:lvlText w:val=""/>
      <w:lvlJc w:val="left"/>
      <w:pPr>
        <w:tabs>
          <w:tab w:val="num" w:pos="1440"/>
        </w:tabs>
        <w:ind w:left="1440" w:hanging="360"/>
      </w:pPr>
      <w:rPr>
        <w:rFonts w:ascii="Wingdings" w:hAnsi="Wingdings" w:hint="default"/>
      </w:rPr>
    </w:lvl>
    <w:lvl w:ilvl="2" w:tplc="B0EA972A">
      <w:numFmt w:val="bullet"/>
      <w:lvlText w:val="o"/>
      <w:lvlJc w:val="left"/>
      <w:pPr>
        <w:tabs>
          <w:tab w:val="num" w:pos="2160"/>
        </w:tabs>
        <w:ind w:left="2160" w:hanging="360"/>
      </w:pPr>
      <w:rPr>
        <w:rFonts w:ascii="Courier New" w:hAnsi="Courier New" w:hint="default"/>
      </w:rPr>
    </w:lvl>
    <w:lvl w:ilvl="3" w:tplc="94E81306" w:tentative="1">
      <w:start w:val="1"/>
      <w:numFmt w:val="bullet"/>
      <w:lvlText w:val=""/>
      <w:lvlJc w:val="left"/>
      <w:pPr>
        <w:tabs>
          <w:tab w:val="num" w:pos="2880"/>
        </w:tabs>
        <w:ind w:left="2880" w:hanging="360"/>
      </w:pPr>
      <w:rPr>
        <w:rFonts w:ascii="Wingdings 2" w:hAnsi="Wingdings 2" w:hint="default"/>
      </w:rPr>
    </w:lvl>
    <w:lvl w:ilvl="4" w:tplc="4C84F2D0" w:tentative="1">
      <w:start w:val="1"/>
      <w:numFmt w:val="bullet"/>
      <w:lvlText w:val=""/>
      <w:lvlJc w:val="left"/>
      <w:pPr>
        <w:tabs>
          <w:tab w:val="num" w:pos="3600"/>
        </w:tabs>
        <w:ind w:left="3600" w:hanging="360"/>
      </w:pPr>
      <w:rPr>
        <w:rFonts w:ascii="Wingdings 2" w:hAnsi="Wingdings 2" w:hint="default"/>
      </w:rPr>
    </w:lvl>
    <w:lvl w:ilvl="5" w:tplc="DC58D482" w:tentative="1">
      <w:start w:val="1"/>
      <w:numFmt w:val="bullet"/>
      <w:lvlText w:val=""/>
      <w:lvlJc w:val="left"/>
      <w:pPr>
        <w:tabs>
          <w:tab w:val="num" w:pos="4320"/>
        </w:tabs>
        <w:ind w:left="4320" w:hanging="360"/>
      </w:pPr>
      <w:rPr>
        <w:rFonts w:ascii="Wingdings 2" w:hAnsi="Wingdings 2" w:hint="default"/>
      </w:rPr>
    </w:lvl>
    <w:lvl w:ilvl="6" w:tplc="2638AA18" w:tentative="1">
      <w:start w:val="1"/>
      <w:numFmt w:val="bullet"/>
      <w:lvlText w:val=""/>
      <w:lvlJc w:val="left"/>
      <w:pPr>
        <w:tabs>
          <w:tab w:val="num" w:pos="5040"/>
        </w:tabs>
        <w:ind w:left="5040" w:hanging="360"/>
      </w:pPr>
      <w:rPr>
        <w:rFonts w:ascii="Wingdings 2" w:hAnsi="Wingdings 2" w:hint="default"/>
      </w:rPr>
    </w:lvl>
    <w:lvl w:ilvl="7" w:tplc="DDD01B38" w:tentative="1">
      <w:start w:val="1"/>
      <w:numFmt w:val="bullet"/>
      <w:lvlText w:val=""/>
      <w:lvlJc w:val="left"/>
      <w:pPr>
        <w:tabs>
          <w:tab w:val="num" w:pos="5760"/>
        </w:tabs>
        <w:ind w:left="5760" w:hanging="360"/>
      </w:pPr>
      <w:rPr>
        <w:rFonts w:ascii="Wingdings 2" w:hAnsi="Wingdings 2" w:hint="default"/>
      </w:rPr>
    </w:lvl>
    <w:lvl w:ilvl="8" w:tplc="9B14CDC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B9A5EBA"/>
    <w:multiLevelType w:val="hybridMultilevel"/>
    <w:tmpl w:val="49A82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A1BEB"/>
    <w:multiLevelType w:val="hybridMultilevel"/>
    <w:tmpl w:val="9290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D522F"/>
    <w:multiLevelType w:val="hybridMultilevel"/>
    <w:tmpl w:val="1B561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2217F"/>
    <w:multiLevelType w:val="hybridMultilevel"/>
    <w:tmpl w:val="7982D12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C136F5"/>
    <w:multiLevelType w:val="hybridMultilevel"/>
    <w:tmpl w:val="B74EA9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A87BD8"/>
    <w:multiLevelType w:val="multilevel"/>
    <w:tmpl w:val="DB7221EE"/>
    <w:lvl w:ilvl="0">
      <w:start w:val="1"/>
      <w:numFmt w:val="decimal"/>
      <w:pStyle w:val="Heading1"/>
      <w:lvlText w:val="%1"/>
      <w:lvlJc w:val="left"/>
      <w:pPr>
        <w:ind w:left="432" w:hanging="432"/>
      </w:pPr>
    </w:lvl>
    <w:lvl w:ilvl="1">
      <w:start w:val="1"/>
      <w:numFmt w:val="decimal"/>
      <w:pStyle w:val="Heading2"/>
      <w:lvlText w:val="%1.%2"/>
      <w:lvlJc w:val="left"/>
      <w:pPr>
        <w:ind w:left="336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CF85057"/>
    <w:multiLevelType w:val="hybridMultilevel"/>
    <w:tmpl w:val="B74EA9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76684E"/>
    <w:multiLevelType w:val="hybridMultilevel"/>
    <w:tmpl w:val="9EDA903C"/>
    <w:lvl w:ilvl="0" w:tplc="E78C8D6A">
      <w:start w:val="1"/>
      <w:numFmt w:val="bullet"/>
      <w:lvlText w:val=""/>
      <w:lvlJc w:val="left"/>
      <w:pPr>
        <w:tabs>
          <w:tab w:val="num" w:pos="720"/>
        </w:tabs>
        <w:ind w:left="720" w:hanging="360"/>
      </w:pPr>
      <w:rPr>
        <w:rFonts w:ascii="Wingdings 2" w:hAnsi="Wingdings 2" w:hint="default"/>
      </w:rPr>
    </w:lvl>
    <w:lvl w:ilvl="1" w:tplc="80D04CDA">
      <w:numFmt w:val="bullet"/>
      <w:lvlText w:val=""/>
      <w:lvlJc w:val="left"/>
      <w:pPr>
        <w:tabs>
          <w:tab w:val="num" w:pos="1440"/>
        </w:tabs>
        <w:ind w:left="1440" w:hanging="360"/>
      </w:pPr>
      <w:rPr>
        <w:rFonts w:ascii="Wingdings" w:hAnsi="Wingdings" w:hint="default"/>
      </w:rPr>
    </w:lvl>
    <w:lvl w:ilvl="2" w:tplc="C91490D8">
      <w:start w:val="1"/>
      <w:numFmt w:val="bullet"/>
      <w:lvlText w:val=""/>
      <w:lvlJc w:val="left"/>
      <w:pPr>
        <w:tabs>
          <w:tab w:val="num" w:pos="2160"/>
        </w:tabs>
        <w:ind w:left="2160" w:hanging="360"/>
      </w:pPr>
      <w:rPr>
        <w:rFonts w:ascii="Wingdings 2" w:hAnsi="Wingdings 2" w:hint="default"/>
      </w:rPr>
    </w:lvl>
    <w:lvl w:ilvl="3" w:tplc="58A2A1D0" w:tentative="1">
      <w:start w:val="1"/>
      <w:numFmt w:val="bullet"/>
      <w:lvlText w:val=""/>
      <w:lvlJc w:val="left"/>
      <w:pPr>
        <w:tabs>
          <w:tab w:val="num" w:pos="2880"/>
        </w:tabs>
        <w:ind w:left="2880" w:hanging="360"/>
      </w:pPr>
      <w:rPr>
        <w:rFonts w:ascii="Wingdings 2" w:hAnsi="Wingdings 2" w:hint="default"/>
      </w:rPr>
    </w:lvl>
    <w:lvl w:ilvl="4" w:tplc="28DE34E2" w:tentative="1">
      <w:start w:val="1"/>
      <w:numFmt w:val="bullet"/>
      <w:lvlText w:val=""/>
      <w:lvlJc w:val="left"/>
      <w:pPr>
        <w:tabs>
          <w:tab w:val="num" w:pos="3600"/>
        </w:tabs>
        <w:ind w:left="3600" w:hanging="360"/>
      </w:pPr>
      <w:rPr>
        <w:rFonts w:ascii="Wingdings 2" w:hAnsi="Wingdings 2" w:hint="default"/>
      </w:rPr>
    </w:lvl>
    <w:lvl w:ilvl="5" w:tplc="1D267FD8" w:tentative="1">
      <w:start w:val="1"/>
      <w:numFmt w:val="bullet"/>
      <w:lvlText w:val=""/>
      <w:lvlJc w:val="left"/>
      <w:pPr>
        <w:tabs>
          <w:tab w:val="num" w:pos="4320"/>
        </w:tabs>
        <w:ind w:left="4320" w:hanging="360"/>
      </w:pPr>
      <w:rPr>
        <w:rFonts w:ascii="Wingdings 2" w:hAnsi="Wingdings 2" w:hint="default"/>
      </w:rPr>
    </w:lvl>
    <w:lvl w:ilvl="6" w:tplc="1AEAC49C" w:tentative="1">
      <w:start w:val="1"/>
      <w:numFmt w:val="bullet"/>
      <w:lvlText w:val=""/>
      <w:lvlJc w:val="left"/>
      <w:pPr>
        <w:tabs>
          <w:tab w:val="num" w:pos="5040"/>
        </w:tabs>
        <w:ind w:left="5040" w:hanging="360"/>
      </w:pPr>
      <w:rPr>
        <w:rFonts w:ascii="Wingdings 2" w:hAnsi="Wingdings 2" w:hint="default"/>
      </w:rPr>
    </w:lvl>
    <w:lvl w:ilvl="7" w:tplc="455668EA" w:tentative="1">
      <w:start w:val="1"/>
      <w:numFmt w:val="bullet"/>
      <w:lvlText w:val=""/>
      <w:lvlJc w:val="left"/>
      <w:pPr>
        <w:tabs>
          <w:tab w:val="num" w:pos="5760"/>
        </w:tabs>
        <w:ind w:left="5760" w:hanging="360"/>
      </w:pPr>
      <w:rPr>
        <w:rFonts w:ascii="Wingdings 2" w:hAnsi="Wingdings 2" w:hint="default"/>
      </w:rPr>
    </w:lvl>
    <w:lvl w:ilvl="8" w:tplc="38988022"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669C3721"/>
    <w:multiLevelType w:val="hybridMultilevel"/>
    <w:tmpl w:val="53ECE094"/>
    <w:lvl w:ilvl="0" w:tplc="0409000F">
      <w:start w:val="1"/>
      <w:numFmt w:val="decimal"/>
      <w:lvlText w:val="%1."/>
      <w:lvlJc w:val="left"/>
      <w:pPr>
        <w:ind w:left="1440" w:hanging="360"/>
      </w:pPr>
      <w:rPr>
        <w:rFonts w:hint="default"/>
        <w:color w:val="8D82A3" w:themeColor="accent4"/>
        <w:sz w:val="24"/>
        <w:szCs w:val="24"/>
      </w:rPr>
    </w:lvl>
    <w:lvl w:ilvl="1" w:tplc="DFDC9A08">
      <w:start w:val="1"/>
      <w:numFmt w:val="bullet"/>
      <w:lvlText w:val=""/>
      <w:lvlJc w:val="left"/>
      <w:pPr>
        <w:ind w:left="2160" w:hanging="360"/>
      </w:pPr>
      <w:rPr>
        <w:rFonts w:ascii="Wingdings" w:hAnsi="Wingdings" w:hint="default"/>
        <w:b w:val="0"/>
        <w:color w:val="004C6B" w:themeColor="accent1" w:themeShade="80"/>
      </w:rPr>
    </w:lvl>
    <w:lvl w:ilvl="2" w:tplc="94C27582">
      <w:numFmt w:val="bullet"/>
      <w:lvlText w:val=""/>
      <w:lvlJc w:val="left"/>
      <w:pPr>
        <w:ind w:left="2880" w:hanging="360"/>
      </w:pPr>
      <w:rPr>
        <w:rFonts w:ascii="Symbol" w:eastAsiaTheme="minorHAnsi" w:hAnsi="Symbol" w:cstheme="minorBid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486028"/>
    <w:multiLevelType w:val="hybridMultilevel"/>
    <w:tmpl w:val="B74EA9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701BEE"/>
    <w:multiLevelType w:val="hybridMultilevel"/>
    <w:tmpl w:val="68C4AEDE"/>
    <w:lvl w:ilvl="0" w:tplc="1ACA10E0">
      <w:start w:val="1"/>
      <w:numFmt w:val="bullet"/>
      <w:lvlText w:val=""/>
      <w:lvlJc w:val="left"/>
      <w:pPr>
        <w:tabs>
          <w:tab w:val="num" w:pos="720"/>
        </w:tabs>
        <w:ind w:left="720" w:hanging="360"/>
      </w:pPr>
      <w:rPr>
        <w:rFonts w:ascii="Wingdings 2" w:hAnsi="Wingdings 2" w:hint="default"/>
      </w:rPr>
    </w:lvl>
    <w:lvl w:ilvl="1" w:tplc="C7FA4F38">
      <w:numFmt w:val="bullet"/>
      <w:lvlText w:val=""/>
      <w:lvlJc w:val="left"/>
      <w:pPr>
        <w:tabs>
          <w:tab w:val="num" w:pos="1440"/>
        </w:tabs>
        <w:ind w:left="1440" w:hanging="360"/>
      </w:pPr>
      <w:rPr>
        <w:rFonts w:ascii="Wingdings" w:hAnsi="Wingdings" w:hint="default"/>
      </w:rPr>
    </w:lvl>
    <w:lvl w:ilvl="2" w:tplc="A7341B00" w:tentative="1">
      <w:start w:val="1"/>
      <w:numFmt w:val="bullet"/>
      <w:lvlText w:val=""/>
      <w:lvlJc w:val="left"/>
      <w:pPr>
        <w:tabs>
          <w:tab w:val="num" w:pos="2160"/>
        </w:tabs>
        <w:ind w:left="2160" w:hanging="360"/>
      </w:pPr>
      <w:rPr>
        <w:rFonts w:ascii="Wingdings 2" w:hAnsi="Wingdings 2" w:hint="default"/>
      </w:rPr>
    </w:lvl>
    <w:lvl w:ilvl="3" w:tplc="24346AF8" w:tentative="1">
      <w:start w:val="1"/>
      <w:numFmt w:val="bullet"/>
      <w:lvlText w:val=""/>
      <w:lvlJc w:val="left"/>
      <w:pPr>
        <w:tabs>
          <w:tab w:val="num" w:pos="2880"/>
        </w:tabs>
        <w:ind w:left="2880" w:hanging="360"/>
      </w:pPr>
      <w:rPr>
        <w:rFonts w:ascii="Wingdings 2" w:hAnsi="Wingdings 2" w:hint="default"/>
      </w:rPr>
    </w:lvl>
    <w:lvl w:ilvl="4" w:tplc="07E42A2C" w:tentative="1">
      <w:start w:val="1"/>
      <w:numFmt w:val="bullet"/>
      <w:lvlText w:val=""/>
      <w:lvlJc w:val="left"/>
      <w:pPr>
        <w:tabs>
          <w:tab w:val="num" w:pos="3600"/>
        </w:tabs>
        <w:ind w:left="3600" w:hanging="360"/>
      </w:pPr>
      <w:rPr>
        <w:rFonts w:ascii="Wingdings 2" w:hAnsi="Wingdings 2" w:hint="default"/>
      </w:rPr>
    </w:lvl>
    <w:lvl w:ilvl="5" w:tplc="5F804368" w:tentative="1">
      <w:start w:val="1"/>
      <w:numFmt w:val="bullet"/>
      <w:lvlText w:val=""/>
      <w:lvlJc w:val="left"/>
      <w:pPr>
        <w:tabs>
          <w:tab w:val="num" w:pos="4320"/>
        </w:tabs>
        <w:ind w:left="4320" w:hanging="360"/>
      </w:pPr>
      <w:rPr>
        <w:rFonts w:ascii="Wingdings 2" w:hAnsi="Wingdings 2" w:hint="default"/>
      </w:rPr>
    </w:lvl>
    <w:lvl w:ilvl="6" w:tplc="3A4CFB80" w:tentative="1">
      <w:start w:val="1"/>
      <w:numFmt w:val="bullet"/>
      <w:lvlText w:val=""/>
      <w:lvlJc w:val="left"/>
      <w:pPr>
        <w:tabs>
          <w:tab w:val="num" w:pos="5040"/>
        </w:tabs>
        <w:ind w:left="5040" w:hanging="360"/>
      </w:pPr>
      <w:rPr>
        <w:rFonts w:ascii="Wingdings 2" w:hAnsi="Wingdings 2" w:hint="default"/>
      </w:rPr>
    </w:lvl>
    <w:lvl w:ilvl="7" w:tplc="F440F590" w:tentative="1">
      <w:start w:val="1"/>
      <w:numFmt w:val="bullet"/>
      <w:lvlText w:val=""/>
      <w:lvlJc w:val="left"/>
      <w:pPr>
        <w:tabs>
          <w:tab w:val="num" w:pos="5760"/>
        </w:tabs>
        <w:ind w:left="5760" w:hanging="360"/>
      </w:pPr>
      <w:rPr>
        <w:rFonts w:ascii="Wingdings 2" w:hAnsi="Wingdings 2" w:hint="default"/>
      </w:rPr>
    </w:lvl>
    <w:lvl w:ilvl="8" w:tplc="330CC400"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0F365B7"/>
    <w:multiLevelType w:val="hybridMultilevel"/>
    <w:tmpl w:val="66A442C4"/>
    <w:lvl w:ilvl="0" w:tplc="6134A12E">
      <w:start w:val="1"/>
      <w:numFmt w:val="bullet"/>
      <w:pStyle w:val="Bullets0"/>
      <w:lvlText w:val=""/>
      <w:lvlJc w:val="left"/>
      <w:pPr>
        <w:ind w:left="1440" w:hanging="360"/>
      </w:pPr>
      <w:rPr>
        <w:rFonts w:ascii="Wingdings" w:hAnsi="Wingdings" w:hint="default"/>
        <w:color w:val="8D82A3" w:themeColor="accent4"/>
        <w:sz w:val="24"/>
        <w:szCs w:val="24"/>
      </w:rPr>
    </w:lvl>
    <w:lvl w:ilvl="1" w:tplc="DFDC9A08">
      <w:start w:val="1"/>
      <w:numFmt w:val="bullet"/>
      <w:lvlText w:val=""/>
      <w:lvlJc w:val="left"/>
      <w:pPr>
        <w:ind w:left="2160" w:hanging="360"/>
      </w:pPr>
      <w:rPr>
        <w:rFonts w:ascii="Wingdings" w:hAnsi="Wingdings" w:hint="default"/>
        <w:b w:val="0"/>
        <w:color w:val="004C6B" w:themeColor="accent1" w:themeShade="80"/>
      </w:rPr>
    </w:lvl>
    <w:lvl w:ilvl="2" w:tplc="94C27582">
      <w:numFmt w:val="bullet"/>
      <w:lvlText w:val=""/>
      <w:lvlJc w:val="left"/>
      <w:pPr>
        <w:ind w:left="2880" w:hanging="360"/>
      </w:pPr>
      <w:rPr>
        <w:rFonts w:ascii="Symbol" w:eastAsiaTheme="minorHAnsi" w:hAnsi="Symbol" w:cstheme="minorBid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D37C64"/>
    <w:multiLevelType w:val="hybridMultilevel"/>
    <w:tmpl w:val="B74EA9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9908B4"/>
    <w:multiLevelType w:val="hybridMultilevel"/>
    <w:tmpl w:val="53ECE094"/>
    <w:lvl w:ilvl="0" w:tplc="0409000F">
      <w:start w:val="1"/>
      <w:numFmt w:val="decimal"/>
      <w:lvlText w:val="%1."/>
      <w:lvlJc w:val="left"/>
      <w:pPr>
        <w:ind w:left="1440" w:hanging="360"/>
      </w:pPr>
      <w:rPr>
        <w:rFonts w:hint="default"/>
        <w:color w:val="8D82A3" w:themeColor="accent4"/>
        <w:sz w:val="24"/>
        <w:szCs w:val="24"/>
      </w:rPr>
    </w:lvl>
    <w:lvl w:ilvl="1" w:tplc="DFDC9A08">
      <w:start w:val="1"/>
      <w:numFmt w:val="bullet"/>
      <w:lvlText w:val=""/>
      <w:lvlJc w:val="left"/>
      <w:pPr>
        <w:ind w:left="2160" w:hanging="360"/>
      </w:pPr>
      <w:rPr>
        <w:rFonts w:ascii="Wingdings" w:hAnsi="Wingdings" w:hint="default"/>
        <w:b w:val="0"/>
        <w:color w:val="004C6B" w:themeColor="accent1" w:themeShade="80"/>
      </w:rPr>
    </w:lvl>
    <w:lvl w:ilvl="2" w:tplc="94C27582">
      <w:numFmt w:val="bullet"/>
      <w:lvlText w:val=""/>
      <w:lvlJc w:val="left"/>
      <w:pPr>
        <w:ind w:left="2880" w:hanging="360"/>
      </w:pPr>
      <w:rPr>
        <w:rFonts w:ascii="Symbol" w:eastAsiaTheme="minorHAnsi" w:hAnsi="Symbol" w:cstheme="minorBid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8438740">
    <w:abstractNumId w:val="15"/>
  </w:num>
  <w:num w:numId="2" w16cid:durableId="1079017158">
    <w:abstractNumId w:val="3"/>
  </w:num>
  <w:num w:numId="3" w16cid:durableId="578179773">
    <w:abstractNumId w:val="21"/>
  </w:num>
  <w:num w:numId="4" w16cid:durableId="1800756767">
    <w:abstractNumId w:val="15"/>
  </w:num>
  <w:num w:numId="5" w16cid:durableId="2094006453">
    <w:abstractNumId w:val="15"/>
  </w:num>
  <w:num w:numId="6" w16cid:durableId="1272741823">
    <w:abstractNumId w:val="15"/>
  </w:num>
  <w:num w:numId="7" w16cid:durableId="1803423515">
    <w:abstractNumId w:val="8"/>
  </w:num>
  <w:num w:numId="8" w16cid:durableId="2023124142">
    <w:abstractNumId w:val="17"/>
  </w:num>
  <w:num w:numId="9" w16cid:durableId="1595702003">
    <w:abstractNumId w:val="9"/>
  </w:num>
  <w:num w:numId="10" w16cid:durableId="1867870244">
    <w:abstractNumId w:val="2"/>
  </w:num>
  <w:num w:numId="11" w16cid:durableId="55709684">
    <w:abstractNumId w:val="4"/>
  </w:num>
  <w:num w:numId="12" w16cid:durableId="935596379">
    <w:abstractNumId w:val="11"/>
  </w:num>
  <w:num w:numId="13" w16cid:durableId="54474487">
    <w:abstractNumId w:val="7"/>
  </w:num>
  <w:num w:numId="14" w16cid:durableId="1607927079">
    <w:abstractNumId w:val="15"/>
  </w:num>
  <w:num w:numId="15" w16cid:durableId="1778717960">
    <w:abstractNumId w:val="10"/>
  </w:num>
  <w:num w:numId="16" w16cid:durableId="1773822713">
    <w:abstractNumId w:val="1"/>
  </w:num>
  <w:num w:numId="17" w16cid:durableId="782847207">
    <w:abstractNumId w:val="12"/>
  </w:num>
  <w:num w:numId="18" w16cid:durableId="1943804187">
    <w:abstractNumId w:val="18"/>
  </w:num>
  <w:num w:numId="19" w16cid:durableId="567694789">
    <w:abstractNumId w:val="21"/>
  </w:num>
  <w:num w:numId="20" w16cid:durableId="890071641">
    <w:abstractNumId w:val="21"/>
  </w:num>
  <w:num w:numId="21" w16cid:durableId="1846939824">
    <w:abstractNumId w:val="21"/>
  </w:num>
  <w:num w:numId="22" w16cid:durableId="360715483">
    <w:abstractNumId w:val="6"/>
  </w:num>
  <w:num w:numId="23" w16cid:durableId="1360550317">
    <w:abstractNumId w:val="5"/>
  </w:num>
  <w:num w:numId="24" w16cid:durableId="1601137525">
    <w:abstractNumId w:val="20"/>
  </w:num>
  <w:num w:numId="25" w16cid:durableId="1866168778">
    <w:abstractNumId w:val="16"/>
  </w:num>
  <w:num w:numId="26" w16cid:durableId="786393857">
    <w:abstractNumId w:val="13"/>
  </w:num>
  <w:num w:numId="27" w16cid:durableId="909927496">
    <w:abstractNumId w:val="22"/>
  </w:num>
  <w:num w:numId="28" w16cid:durableId="686559992">
    <w:abstractNumId w:val="0"/>
  </w:num>
  <w:num w:numId="29" w16cid:durableId="1681617504">
    <w:abstractNumId w:val="19"/>
  </w:num>
  <w:num w:numId="30" w16cid:durableId="655887104">
    <w:abstractNumId w:val="15"/>
  </w:num>
  <w:num w:numId="31" w16cid:durableId="1147815659">
    <w:abstractNumId w:val="14"/>
  </w:num>
  <w:num w:numId="32" w16cid:durableId="2783152">
    <w:abstractNumId w:val="21"/>
  </w:num>
  <w:num w:numId="33" w16cid:durableId="15394704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354"/>
    <w:rsid w:val="0001157D"/>
    <w:rsid w:val="000173A9"/>
    <w:rsid w:val="000315EC"/>
    <w:rsid w:val="000446FE"/>
    <w:rsid w:val="00082417"/>
    <w:rsid w:val="0008531A"/>
    <w:rsid w:val="000A11E3"/>
    <w:rsid w:val="000A4611"/>
    <w:rsid w:val="000C2EBC"/>
    <w:rsid w:val="000F0FCE"/>
    <w:rsid w:val="00116D01"/>
    <w:rsid w:val="0013398B"/>
    <w:rsid w:val="0017458B"/>
    <w:rsid w:val="0017619C"/>
    <w:rsid w:val="001B7203"/>
    <w:rsid w:val="001D0E1C"/>
    <w:rsid w:val="001F0A6B"/>
    <w:rsid w:val="001F3DDC"/>
    <w:rsid w:val="001F70DC"/>
    <w:rsid w:val="0020018B"/>
    <w:rsid w:val="00203646"/>
    <w:rsid w:val="00271CC9"/>
    <w:rsid w:val="00307899"/>
    <w:rsid w:val="00313AB1"/>
    <w:rsid w:val="003215B2"/>
    <w:rsid w:val="00326874"/>
    <w:rsid w:val="00353020"/>
    <w:rsid w:val="0036273D"/>
    <w:rsid w:val="003A4D0D"/>
    <w:rsid w:val="003A6158"/>
    <w:rsid w:val="003B11D8"/>
    <w:rsid w:val="003E16D2"/>
    <w:rsid w:val="004067FE"/>
    <w:rsid w:val="004729DB"/>
    <w:rsid w:val="00473614"/>
    <w:rsid w:val="00482371"/>
    <w:rsid w:val="00492DF3"/>
    <w:rsid w:val="00494512"/>
    <w:rsid w:val="004D2542"/>
    <w:rsid w:val="004F3161"/>
    <w:rsid w:val="00535284"/>
    <w:rsid w:val="00537BCB"/>
    <w:rsid w:val="00540F9C"/>
    <w:rsid w:val="00541725"/>
    <w:rsid w:val="00555DE0"/>
    <w:rsid w:val="00564617"/>
    <w:rsid w:val="00564754"/>
    <w:rsid w:val="00594C8D"/>
    <w:rsid w:val="005A4155"/>
    <w:rsid w:val="005B0D3D"/>
    <w:rsid w:val="005B3AF7"/>
    <w:rsid w:val="00606D68"/>
    <w:rsid w:val="006172AE"/>
    <w:rsid w:val="006F1FAD"/>
    <w:rsid w:val="006F6B1B"/>
    <w:rsid w:val="00711F4C"/>
    <w:rsid w:val="00746439"/>
    <w:rsid w:val="00784B1C"/>
    <w:rsid w:val="007B528D"/>
    <w:rsid w:val="007D4E6A"/>
    <w:rsid w:val="00804DD0"/>
    <w:rsid w:val="00805373"/>
    <w:rsid w:val="008064DE"/>
    <w:rsid w:val="00821D62"/>
    <w:rsid w:val="00882B30"/>
    <w:rsid w:val="00916C04"/>
    <w:rsid w:val="00917A99"/>
    <w:rsid w:val="00935547"/>
    <w:rsid w:val="009403A2"/>
    <w:rsid w:val="009465E5"/>
    <w:rsid w:val="009818CF"/>
    <w:rsid w:val="009B536D"/>
    <w:rsid w:val="009C1D5E"/>
    <w:rsid w:val="009C6E9C"/>
    <w:rsid w:val="009C7BDC"/>
    <w:rsid w:val="009D5B18"/>
    <w:rsid w:val="009E13BC"/>
    <w:rsid w:val="00A20E3B"/>
    <w:rsid w:val="00A26461"/>
    <w:rsid w:val="00A3104B"/>
    <w:rsid w:val="00A455C2"/>
    <w:rsid w:val="00A83716"/>
    <w:rsid w:val="00AB6F52"/>
    <w:rsid w:val="00AC66E1"/>
    <w:rsid w:val="00AD00C7"/>
    <w:rsid w:val="00AD373C"/>
    <w:rsid w:val="00AD735C"/>
    <w:rsid w:val="00AF31AF"/>
    <w:rsid w:val="00B21D95"/>
    <w:rsid w:val="00B30F4F"/>
    <w:rsid w:val="00B362D5"/>
    <w:rsid w:val="00B518F2"/>
    <w:rsid w:val="00B63E95"/>
    <w:rsid w:val="00B753E9"/>
    <w:rsid w:val="00B873D0"/>
    <w:rsid w:val="00B906C3"/>
    <w:rsid w:val="00B96160"/>
    <w:rsid w:val="00BB229F"/>
    <w:rsid w:val="00BB3569"/>
    <w:rsid w:val="00C15CC3"/>
    <w:rsid w:val="00C40A76"/>
    <w:rsid w:val="00C5362E"/>
    <w:rsid w:val="00C54133"/>
    <w:rsid w:val="00C55E4F"/>
    <w:rsid w:val="00C86F56"/>
    <w:rsid w:val="00CB50BF"/>
    <w:rsid w:val="00CE36BF"/>
    <w:rsid w:val="00D06146"/>
    <w:rsid w:val="00D41AF3"/>
    <w:rsid w:val="00D449E3"/>
    <w:rsid w:val="00D50CCC"/>
    <w:rsid w:val="00D648D0"/>
    <w:rsid w:val="00D70620"/>
    <w:rsid w:val="00D82B41"/>
    <w:rsid w:val="00D85CA4"/>
    <w:rsid w:val="00D87089"/>
    <w:rsid w:val="00D9176B"/>
    <w:rsid w:val="00DD0266"/>
    <w:rsid w:val="00E06222"/>
    <w:rsid w:val="00E1766B"/>
    <w:rsid w:val="00E17B3A"/>
    <w:rsid w:val="00E23699"/>
    <w:rsid w:val="00E26D5D"/>
    <w:rsid w:val="00E5007F"/>
    <w:rsid w:val="00E64799"/>
    <w:rsid w:val="00E67993"/>
    <w:rsid w:val="00E74D55"/>
    <w:rsid w:val="00EA3E76"/>
    <w:rsid w:val="00EA5C6B"/>
    <w:rsid w:val="00EB3C47"/>
    <w:rsid w:val="00EF09B0"/>
    <w:rsid w:val="00EF72C9"/>
    <w:rsid w:val="00F05354"/>
    <w:rsid w:val="00F1317B"/>
    <w:rsid w:val="00F35904"/>
    <w:rsid w:val="00F4215A"/>
    <w:rsid w:val="00F85799"/>
    <w:rsid w:val="00FA6FAC"/>
    <w:rsid w:val="00FB3E7D"/>
    <w:rsid w:val="00FE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35DB1"/>
  <w15:chartTrackingRefBased/>
  <w15:docId w15:val="{83ADC929-9720-4AA2-AC22-9E7EB97D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4D2542"/>
    <w:pPr>
      <w:pageBreakBefore/>
      <w:numPr>
        <w:numId w:val="1"/>
      </w:numPr>
      <w:pBdr>
        <w:top w:val="single" w:sz="6" w:space="1" w:color="0098D7" w:themeColor="accent1"/>
        <w:bottom w:val="single" w:sz="6" w:space="1" w:color="0098D7" w:themeColor="accent1"/>
      </w:pBdr>
      <w:shd w:val="clear" w:color="auto" w:fill="D6D6D6" w:themeFill="accent2" w:themeFillTint="66"/>
      <w:spacing w:before="100" w:after="0" w:line="276" w:lineRule="auto"/>
      <w:contextualSpacing/>
      <w:outlineLvl w:val="0"/>
    </w:pPr>
    <w:rPr>
      <w:rFonts w:ascii="Corbel" w:eastAsiaTheme="minorEastAsia" w:hAnsi="Corbel"/>
      <w:b/>
      <w:caps/>
      <w:color w:val="0098D7" w:themeColor="accent1"/>
      <w:spacing w:val="15"/>
      <w:sz w:val="36"/>
    </w:rPr>
  </w:style>
  <w:style w:type="paragraph" w:styleId="Heading2">
    <w:name w:val="heading 2"/>
    <w:basedOn w:val="Normal"/>
    <w:next w:val="Normal"/>
    <w:link w:val="Heading2Char"/>
    <w:uiPriority w:val="3"/>
    <w:unhideWhenUsed/>
    <w:qFormat/>
    <w:rsid w:val="004D2542"/>
    <w:pPr>
      <w:numPr>
        <w:ilvl w:val="1"/>
        <w:numId w:val="1"/>
      </w:numPr>
      <w:spacing w:before="240" w:after="120" w:line="276" w:lineRule="auto"/>
      <w:outlineLvl w:val="1"/>
    </w:pPr>
    <w:rPr>
      <w:rFonts w:ascii="Corbel" w:eastAsiaTheme="minorEastAsia" w:hAnsi="Corbel"/>
      <w:b/>
      <w:caps/>
      <w:color w:val="0098D7" w:themeColor="accent1"/>
      <w:spacing w:val="15"/>
      <w:sz w:val="26"/>
      <w:szCs w:val="26"/>
    </w:rPr>
  </w:style>
  <w:style w:type="paragraph" w:styleId="Heading3">
    <w:name w:val="heading 3"/>
    <w:basedOn w:val="Normal"/>
    <w:next w:val="Normal"/>
    <w:link w:val="Heading3Char"/>
    <w:uiPriority w:val="9"/>
    <w:unhideWhenUsed/>
    <w:qFormat/>
    <w:rsid w:val="004D2542"/>
    <w:pPr>
      <w:spacing w:before="300" w:after="0" w:line="276" w:lineRule="auto"/>
      <w:outlineLvl w:val="2"/>
    </w:pPr>
    <w:rPr>
      <w:rFonts w:ascii="Corbel" w:eastAsiaTheme="minorEastAsia" w:hAnsi="Corbel"/>
      <w:b/>
      <w:smallCaps/>
      <w:color w:val="8D82A3" w:themeColor="accent4"/>
      <w:sz w:val="24"/>
      <w:szCs w:val="20"/>
    </w:rPr>
  </w:style>
  <w:style w:type="paragraph" w:styleId="Heading4">
    <w:name w:val="heading 4"/>
    <w:basedOn w:val="Normal"/>
    <w:next w:val="Normal"/>
    <w:link w:val="Heading4Char"/>
    <w:uiPriority w:val="9"/>
    <w:unhideWhenUsed/>
    <w:qFormat/>
    <w:rsid w:val="004D2542"/>
    <w:pPr>
      <w:numPr>
        <w:ilvl w:val="3"/>
        <w:numId w:val="1"/>
      </w:numPr>
      <w:spacing w:before="200" w:after="0" w:line="276" w:lineRule="auto"/>
      <w:outlineLvl w:val="3"/>
    </w:pPr>
    <w:rPr>
      <w:rFonts w:ascii="Nextype" w:eastAsiaTheme="minorEastAsia" w:hAnsi="Nextype"/>
      <w:b/>
      <w:color w:val="E66827" w:themeColor="accent3"/>
      <w:spacing w:val="10"/>
    </w:rPr>
  </w:style>
  <w:style w:type="paragraph" w:styleId="Heading5">
    <w:name w:val="heading 5"/>
    <w:basedOn w:val="Normal"/>
    <w:next w:val="Normal"/>
    <w:link w:val="Heading5Char"/>
    <w:uiPriority w:val="9"/>
    <w:unhideWhenUsed/>
    <w:qFormat/>
    <w:rsid w:val="004D2542"/>
    <w:pPr>
      <w:numPr>
        <w:ilvl w:val="4"/>
        <w:numId w:val="1"/>
      </w:numPr>
      <w:pBdr>
        <w:bottom w:val="single" w:sz="6" w:space="1" w:color="0098D7" w:themeColor="accent1"/>
      </w:pBdr>
      <w:spacing w:before="200" w:after="0" w:line="276" w:lineRule="auto"/>
      <w:outlineLvl w:val="4"/>
    </w:pPr>
    <w:rPr>
      <w:rFonts w:eastAsiaTheme="minorEastAsia"/>
      <w:caps/>
      <w:color w:val="0071A1" w:themeColor="accent1" w:themeShade="BF"/>
      <w:spacing w:val="10"/>
      <w:sz w:val="24"/>
      <w:szCs w:val="20"/>
    </w:rPr>
  </w:style>
  <w:style w:type="paragraph" w:styleId="Heading6">
    <w:name w:val="heading 6"/>
    <w:basedOn w:val="Normal"/>
    <w:next w:val="Normal"/>
    <w:link w:val="Heading6Char"/>
    <w:uiPriority w:val="9"/>
    <w:semiHidden/>
    <w:unhideWhenUsed/>
    <w:qFormat/>
    <w:rsid w:val="004D2542"/>
    <w:pPr>
      <w:numPr>
        <w:ilvl w:val="5"/>
        <w:numId w:val="1"/>
      </w:numPr>
      <w:pBdr>
        <w:bottom w:val="dotted" w:sz="6" w:space="1" w:color="0098D7" w:themeColor="accent1"/>
      </w:pBdr>
      <w:spacing w:before="200" w:after="0" w:line="276" w:lineRule="auto"/>
      <w:outlineLvl w:val="5"/>
    </w:pPr>
    <w:rPr>
      <w:rFonts w:eastAsiaTheme="minorEastAsia"/>
      <w:caps/>
      <w:color w:val="0071A1" w:themeColor="accent1" w:themeShade="BF"/>
      <w:spacing w:val="10"/>
      <w:sz w:val="24"/>
      <w:szCs w:val="20"/>
    </w:rPr>
  </w:style>
  <w:style w:type="paragraph" w:styleId="Heading7">
    <w:name w:val="heading 7"/>
    <w:basedOn w:val="Normal"/>
    <w:next w:val="Normal"/>
    <w:link w:val="Heading7Char"/>
    <w:uiPriority w:val="9"/>
    <w:semiHidden/>
    <w:unhideWhenUsed/>
    <w:qFormat/>
    <w:rsid w:val="004D2542"/>
    <w:pPr>
      <w:numPr>
        <w:ilvl w:val="6"/>
        <w:numId w:val="1"/>
      </w:numPr>
      <w:spacing w:before="200" w:after="0" w:line="276" w:lineRule="auto"/>
      <w:outlineLvl w:val="6"/>
    </w:pPr>
    <w:rPr>
      <w:rFonts w:eastAsiaTheme="minorEastAsia"/>
      <w:caps/>
      <w:color w:val="0071A1" w:themeColor="accent1" w:themeShade="BF"/>
      <w:spacing w:val="10"/>
      <w:sz w:val="24"/>
      <w:szCs w:val="20"/>
    </w:rPr>
  </w:style>
  <w:style w:type="paragraph" w:styleId="Heading8">
    <w:name w:val="heading 8"/>
    <w:basedOn w:val="Normal"/>
    <w:next w:val="Normal"/>
    <w:link w:val="Heading8Char"/>
    <w:uiPriority w:val="9"/>
    <w:semiHidden/>
    <w:unhideWhenUsed/>
    <w:qFormat/>
    <w:rsid w:val="004D2542"/>
    <w:pPr>
      <w:numPr>
        <w:ilvl w:val="7"/>
        <w:numId w:val="1"/>
      </w:numPr>
      <w:spacing w:before="200" w:after="0" w:line="276" w:lineRule="auto"/>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rsid w:val="004D2542"/>
    <w:pPr>
      <w:numPr>
        <w:ilvl w:val="8"/>
        <w:numId w:val="1"/>
      </w:numPr>
      <w:spacing w:before="200" w:after="0" w:line="276" w:lineRule="auto"/>
      <w:outlineLvl w:val="8"/>
    </w:pPr>
    <w:rPr>
      <w:rFonts w:eastAsiaTheme="minorEastAsia"/>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D2542"/>
    <w:rPr>
      <w:rFonts w:ascii="Corbel" w:eastAsiaTheme="minorEastAsia" w:hAnsi="Corbel"/>
      <w:b/>
      <w:caps/>
      <w:color w:val="0098D7" w:themeColor="accent1"/>
      <w:spacing w:val="15"/>
      <w:sz w:val="36"/>
      <w:shd w:val="clear" w:color="auto" w:fill="D6D6D6" w:themeFill="accent2" w:themeFillTint="66"/>
    </w:rPr>
  </w:style>
  <w:style w:type="character" w:customStyle="1" w:styleId="Heading2Char">
    <w:name w:val="Heading 2 Char"/>
    <w:basedOn w:val="DefaultParagraphFont"/>
    <w:link w:val="Heading2"/>
    <w:uiPriority w:val="3"/>
    <w:rsid w:val="004D2542"/>
    <w:rPr>
      <w:rFonts w:ascii="Corbel" w:eastAsiaTheme="minorEastAsia" w:hAnsi="Corbel"/>
      <w:b/>
      <w:caps/>
      <w:color w:val="0098D7" w:themeColor="accent1"/>
      <w:spacing w:val="15"/>
      <w:sz w:val="26"/>
      <w:szCs w:val="26"/>
    </w:rPr>
  </w:style>
  <w:style w:type="character" w:customStyle="1" w:styleId="Heading3Char">
    <w:name w:val="Heading 3 Char"/>
    <w:basedOn w:val="DefaultParagraphFont"/>
    <w:link w:val="Heading3"/>
    <w:uiPriority w:val="9"/>
    <w:rsid w:val="004D2542"/>
    <w:rPr>
      <w:rFonts w:ascii="Corbel" w:eastAsiaTheme="minorEastAsia" w:hAnsi="Corbel"/>
      <w:b/>
      <w:smallCaps/>
      <w:color w:val="8D82A3" w:themeColor="accent4"/>
      <w:sz w:val="24"/>
      <w:szCs w:val="20"/>
    </w:rPr>
  </w:style>
  <w:style w:type="character" w:customStyle="1" w:styleId="Heading4Char">
    <w:name w:val="Heading 4 Char"/>
    <w:basedOn w:val="DefaultParagraphFont"/>
    <w:link w:val="Heading4"/>
    <w:uiPriority w:val="9"/>
    <w:rsid w:val="004D2542"/>
    <w:rPr>
      <w:rFonts w:ascii="Nextype" w:eastAsiaTheme="minorEastAsia" w:hAnsi="Nextype"/>
      <w:b/>
      <w:color w:val="E66827" w:themeColor="accent3"/>
      <w:spacing w:val="10"/>
    </w:rPr>
  </w:style>
  <w:style w:type="character" w:customStyle="1" w:styleId="Heading5Char">
    <w:name w:val="Heading 5 Char"/>
    <w:basedOn w:val="DefaultParagraphFont"/>
    <w:link w:val="Heading5"/>
    <w:uiPriority w:val="9"/>
    <w:rsid w:val="004D2542"/>
    <w:rPr>
      <w:rFonts w:eastAsiaTheme="minorEastAsia"/>
      <w:caps/>
      <w:color w:val="0071A1" w:themeColor="accent1" w:themeShade="BF"/>
      <w:spacing w:val="10"/>
      <w:sz w:val="24"/>
      <w:szCs w:val="20"/>
    </w:rPr>
  </w:style>
  <w:style w:type="character" w:customStyle="1" w:styleId="Heading6Char">
    <w:name w:val="Heading 6 Char"/>
    <w:basedOn w:val="DefaultParagraphFont"/>
    <w:link w:val="Heading6"/>
    <w:uiPriority w:val="9"/>
    <w:semiHidden/>
    <w:rsid w:val="004D2542"/>
    <w:rPr>
      <w:rFonts w:eastAsiaTheme="minorEastAsia"/>
      <w:caps/>
      <w:color w:val="0071A1" w:themeColor="accent1" w:themeShade="BF"/>
      <w:spacing w:val="10"/>
      <w:sz w:val="24"/>
      <w:szCs w:val="20"/>
    </w:rPr>
  </w:style>
  <w:style w:type="character" w:customStyle="1" w:styleId="Heading7Char">
    <w:name w:val="Heading 7 Char"/>
    <w:basedOn w:val="DefaultParagraphFont"/>
    <w:link w:val="Heading7"/>
    <w:uiPriority w:val="9"/>
    <w:semiHidden/>
    <w:rsid w:val="004D2542"/>
    <w:rPr>
      <w:rFonts w:eastAsiaTheme="minorEastAsia"/>
      <w:caps/>
      <w:color w:val="0071A1" w:themeColor="accent1" w:themeShade="BF"/>
      <w:spacing w:val="10"/>
      <w:sz w:val="24"/>
      <w:szCs w:val="20"/>
    </w:rPr>
  </w:style>
  <w:style w:type="character" w:customStyle="1" w:styleId="Heading8Char">
    <w:name w:val="Heading 8 Char"/>
    <w:basedOn w:val="DefaultParagraphFont"/>
    <w:link w:val="Heading8"/>
    <w:uiPriority w:val="9"/>
    <w:semiHidden/>
    <w:rsid w:val="004D2542"/>
    <w:rPr>
      <w:rFonts w:eastAsiaTheme="minorEastAsia"/>
      <w:caps/>
      <w:spacing w:val="10"/>
      <w:sz w:val="18"/>
      <w:szCs w:val="18"/>
    </w:rPr>
  </w:style>
  <w:style w:type="character" w:customStyle="1" w:styleId="Heading9Char">
    <w:name w:val="Heading 9 Char"/>
    <w:basedOn w:val="DefaultParagraphFont"/>
    <w:link w:val="Heading9"/>
    <w:uiPriority w:val="9"/>
    <w:semiHidden/>
    <w:rsid w:val="004D2542"/>
    <w:rPr>
      <w:rFonts w:eastAsiaTheme="minorEastAsia"/>
      <w:i/>
      <w:iCs/>
      <w:caps/>
      <w:spacing w:val="10"/>
      <w:sz w:val="18"/>
      <w:szCs w:val="18"/>
    </w:rPr>
  </w:style>
  <w:style w:type="paragraph" w:customStyle="1" w:styleId="Footer">
    <w:name w:val="_Footer"/>
    <w:basedOn w:val="Text"/>
    <w:qFormat/>
    <w:rsid w:val="004D2542"/>
    <w:pPr>
      <w:spacing w:after="120" w:line="240" w:lineRule="auto"/>
      <w:contextualSpacing/>
    </w:pPr>
    <w:rPr>
      <w:color w:val="004768" w:themeColor="text2" w:themeShade="BF"/>
      <w:sz w:val="18"/>
      <w:szCs w:val="18"/>
    </w:rPr>
  </w:style>
  <w:style w:type="character" w:styleId="Hyperlink">
    <w:name w:val="Hyperlink"/>
    <w:aliases w:val="_z Other - Hyperlink"/>
    <w:basedOn w:val="DefaultParagraphFont"/>
    <w:uiPriority w:val="99"/>
    <w:unhideWhenUsed/>
    <w:rsid w:val="004D2542"/>
    <w:rPr>
      <w:color w:val="424242" w:themeColor="text1" w:themeShade="BF"/>
      <w:u w:val="single"/>
    </w:rPr>
  </w:style>
  <w:style w:type="paragraph" w:styleId="FootnoteText">
    <w:name w:val="footnote text"/>
    <w:aliases w:val="Footnote Text1 Char,Footnote Text Char Ch,Footnote Text Char Ch Char Char Char,Footnote Text Char Ch Char Char,Footnote Text1 Char Char Char,Char2 Char,Footnote Text Char Char,Footnote Text Char1 Char,Footnote Text Char Char Char,TBG Style"/>
    <w:basedOn w:val="Normal"/>
    <w:link w:val="FootnoteTextChar"/>
    <w:uiPriority w:val="99"/>
    <w:unhideWhenUsed/>
    <w:rsid w:val="004D2542"/>
    <w:pPr>
      <w:spacing w:after="0" w:line="240" w:lineRule="auto"/>
    </w:pPr>
    <w:rPr>
      <w:rFonts w:ascii="Segoe UI" w:eastAsia="Times New Roman" w:hAnsi="Segoe UI" w:cs="Arial"/>
      <w:color w:val="004768" w:themeColor="text2" w:themeShade="BF"/>
      <w:sz w:val="20"/>
      <w:szCs w:val="20"/>
    </w:rPr>
  </w:style>
  <w:style w:type="character" w:customStyle="1" w:styleId="FootnoteTextChar">
    <w:name w:val="Footnote Text Char"/>
    <w:aliases w:val="Footnote Text1 Char Char,Footnote Text Char Ch Char,Footnote Text Char Ch Char Char Char Char,Footnote Text Char Ch Char Char Char1,Footnote Text1 Char Char Char Char,Char2 Char Char,Footnote Text Char Char Char1,TBG Style Char"/>
    <w:basedOn w:val="DefaultParagraphFont"/>
    <w:link w:val="FootnoteText"/>
    <w:uiPriority w:val="99"/>
    <w:rsid w:val="004D2542"/>
    <w:rPr>
      <w:rFonts w:ascii="Segoe UI" w:eastAsia="Times New Roman" w:hAnsi="Segoe UI" w:cs="Arial"/>
      <w:color w:val="004768" w:themeColor="text2" w:themeShade="BF"/>
      <w:sz w:val="20"/>
      <w:szCs w:val="20"/>
    </w:rPr>
  </w:style>
  <w:style w:type="paragraph" w:customStyle="1" w:styleId="Text">
    <w:name w:val="_Text"/>
    <w:qFormat/>
    <w:rsid w:val="004D2542"/>
    <w:pPr>
      <w:spacing w:before="120" w:after="240" w:line="276" w:lineRule="auto"/>
    </w:pPr>
    <w:rPr>
      <w:rFonts w:ascii="Corbel" w:eastAsia="Times New Roman" w:hAnsi="Corbel" w:cs="Nirmala UI"/>
    </w:rPr>
  </w:style>
  <w:style w:type="character" w:styleId="FootnoteReference">
    <w:name w:val="footnote reference"/>
    <w:aliases w:val="o"/>
    <w:basedOn w:val="DefaultParagraphFont"/>
    <w:unhideWhenUsed/>
    <w:rsid w:val="004D2542"/>
    <w:rPr>
      <w:vertAlign w:val="superscript"/>
    </w:rPr>
  </w:style>
  <w:style w:type="paragraph" w:customStyle="1" w:styleId="TableFigureorCaption">
    <w:name w:val="_Table Figure or Caption"/>
    <w:basedOn w:val="Caption"/>
    <w:qFormat/>
    <w:rsid w:val="004D2542"/>
    <w:pPr>
      <w:keepNext/>
      <w:spacing w:before="100" w:after="100" w:line="276" w:lineRule="auto"/>
      <w:jc w:val="center"/>
    </w:pPr>
    <w:rPr>
      <w:rFonts w:ascii="Corbel" w:eastAsiaTheme="minorEastAsia" w:hAnsi="Corbel" w:cs="Nirmala UI"/>
      <w:b/>
      <w:bCs/>
      <w:i w:val="0"/>
      <w:iCs w:val="0"/>
      <w:color w:val="0098D7" w:themeColor="accent1"/>
      <w:sz w:val="22"/>
      <w:szCs w:val="22"/>
    </w:rPr>
  </w:style>
  <w:style w:type="paragraph" w:customStyle="1" w:styleId="Bullets0">
    <w:name w:val="_Bullets"/>
    <w:basedOn w:val="Bullets"/>
    <w:qFormat/>
    <w:rsid w:val="004D2542"/>
    <w:pPr>
      <w:numPr>
        <w:numId w:val="3"/>
      </w:numPr>
    </w:pPr>
    <w:rPr>
      <w:rFonts w:ascii="Corbel" w:hAnsi="Corbel"/>
      <w:color w:val="auto"/>
    </w:rPr>
  </w:style>
  <w:style w:type="paragraph" w:customStyle="1" w:styleId="BulletsLast">
    <w:name w:val="_Bullets Last"/>
    <w:basedOn w:val="Bullets"/>
    <w:qFormat/>
    <w:rsid w:val="004D2542"/>
    <w:pPr>
      <w:spacing w:after="240"/>
    </w:pPr>
    <w:rPr>
      <w:rFonts w:ascii="Corbel" w:hAnsi="Corbel"/>
      <w:color w:val="auto"/>
    </w:rPr>
  </w:style>
  <w:style w:type="paragraph" w:customStyle="1" w:styleId="Bullets">
    <w:name w:val="Bullets"/>
    <w:basedOn w:val="Normal"/>
    <w:qFormat/>
    <w:rsid w:val="004D2542"/>
    <w:pPr>
      <w:numPr>
        <w:numId w:val="2"/>
      </w:numPr>
      <w:spacing w:after="120" w:line="240" w:lineRule="auto"/>
    </w:pPr>
    <w:rPr>
      <w:rFonts w:ascii="Calibri Light" w:eastAsiaTheme="minorEastAsia" w:hAnsi="Calibri Light" w:cs="Arial"/>
      <w:color w:val="1C1C1C"/>
      <w:szCs w:val="21"/>
    </w:rPr>
  </w:style>
  <w:style w:type="paragraph" w:styleId="Caption">
    <w:name w:val="caption"/>
    <w:basedOn w:val="Normal"/>
    <w:next w:val="Normal"/>
    <w:uiPriority w:val="35"/>
    <w:unhideWhenUsed/>
    <w:qFormat/>
    <w:rsid w:val="004D2542"/>
    <w:pPr>
      <w:spacing w:after="200" w:line="240" w:lineRule="auto"/>
    </w:pPr>
    <w:rPr>
      <w:i/>
      <w:iCs/>
      <w:color w:val="005F8C" w:themeColor="text2"/>
      <w:sz w:val="18"/>
      <w:szCs w:val="18"/>
    </w:rPr>
  </w:style>
  <w:style w:type="paragraph" w:styleId="ListParagraph">
    <w:name w:val="List Paragraph"/>
    <w:basedOn w:val="Normal"/>
    <w:uiPriority w:val="34"/>
    <w:qFormat/>
    <w:rsid w:val="007D4E6A"/>
    <w:pPr>
      <w:spacing w:after="0" w:line="240" w:lineRule="auto"/>
      <w:ind w:left="720"/>
      <w:contextualSpacing/>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7D4E6A"/>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5B0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5B0D3D"/>
    <w:pPr>
      <w:spacing w:after="0" w:line="240" w:lineRule="auto"/>
    </w:pPr>
    <w:tblPr>
      <w:tblStyleRowBandSize w:val="1"/>
      <w:tblStyleColBandSize w:val="1"/>
      <w:tblBorders>
        <w:top w:val="single" w:sz="4" w:space="0" w:color="0098D7" w:themeColor="accent1"/>
        <w:left w:val="single" w:sz="4" w:space="0" w:color="0098D7" w:themeColor="accent1"/>
        <w:bottom w:val="single" w:sz="4" w:space="0" w:color="0098D7" w:themeColor="accent1"/>
        <w:right w:val="single" w:sz="4" w:space="0" w:color="0098D7" w:themeColor="accent1"/>
      </w:tblBorders>
    </w:tblPr>
    <w:tblStylePr w:type="firstRow">
      <w:rPr>
        <w:b/>
        <w:bCs/>
        <w:color w:val="FFFFFF" w:themeColor="background1"/>
      </w:rPr>
      <w:tblPr/>
      <w:tcPr>
        <w:shd w:val="clear" w:color="auto" w:fill="0098D7" w:themeFill="accent1"/>
      </w:tcPr>
    </w:tblStylePr>
    <w:tblStylePr w:type="lastRow">
      <w:rPr>
        <w:b/>
        <w:bCs/>
      </w:rPr>
      <w:tblPr/>
      <w:tcPr>
        <w:tcBorders>
          <w:top w:val="double" w:sz="4" w:space="0" w:color="0098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8D7" w:themeColor="accent1"/>
          <w:right w:val="single" w:sz="4" w:space="0" w:color="0098D7" w:themeColor="accent1"/>
        </w:tcBorders>
      </w:tcPr>
    </w:tblStylePr>
    <w:tblStylePr w:type="band1Horz">
      <w:tblPr/>
      <w:tcPr>
        <w:tcBorders>
          <w:top w:val="single" w:sz="4" w:space="0" w:color="0098D7" w:themeColor="accent1"/>
          <w:bottom w:val="single" w:sz="4" w:space="0" w:color="0098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8D7" w:themeColor="accent1"/>
          <w:left w:val="nil"/>
        </w:tcBorders>
      </w:tcPr>
    </w:tblStylePr>
    <w:tblStylePr w:type="swCell">
      <w:tblPr/>
      <w:tcPr>
        <w:tcBorders>
          <w:top w:val="double" w:sz="4" w:space="0" w:color="0098D7" w:themeColor="accent1"/>
          <w:right w:val="nil"/>
        </w:tcBorders>
      </w:tcPr>
    </w:tblStylePr>
  </w:style>
  <w:style w:type="character" w:styleId="CommentReference">
    <w:name w:val="annotation reference"/>
    <w:basedOn w:val="DefaultParagraphFont"/>
    <w:uiPriority w:val="99"/>
    <w:semiHidden/>
    <w:unhideWhenUsed/>
    <w:rsid w:val="00C40A76"/>
    <w:rPr>
      <w:sz w:val="16"/>
      <w:szCs w:val="16"/>
    </w:rPr>
  </w:style>
  <w:style w:type="paragraph" w:styleId="CommentText">
    <w:name w:val="annotation text"/>
    <w:basedOn w:val="Normal"/>
    <w:link w:val="CommentTextChar"/>
    <w:uiPriority w:val="99"/>
    <w:semiHidden/>
    <w:unhideWhenUsed/>
    <w:rsid w:val="00C40A76"/>
    <w:pPr>
      <w:spacing w:line="240" w:lineRule="auto"/>
    </w:pPr>
    <w:rPr>
      <w:sz w:val="20"/>
      <w:szCs w:val="20"/>
    </w:rPr>
  </w:style>
  <w:style w:type="character" w:customStyle="1" w:styleId="CommentTextChar">
    <w:name w:val="Comment Text Char"/>
    <w:basedOn w:val="DefaultParagraphFont"/>
    <w:link w:val="CommentText"/>
    <w:uiPriority w:val="99"/>
    <w:semiHidden/>
    <w:rsid w:val="00C40A76"/>
    <w:rPr>
      <w:sz w:val="20"/>
      <w:szCs w:val="20"/>
    </w:rPr>
  </w:style>
  <w:style w:type="paragraph" w:styleId="CommentSubject">
    <w:name w:val="annotation subject"/>
    <w:basedOn w:val="CommentText"/>
    <w:next w:val="CommentText"/>
    <w:link w:val="CommentSubjectChar"/>
    <w:uiPriority w:val="99"/>
    <w:semiHidden/>
    <w:unhideWhenUsed/>
    <w:rsid w:val="00C40A76"/>
    <w:rPr>
      <w:b/>
      <w:bCs/>
    </w:rPr>
  </w:style>
  <w:style w:type="character" w:customStyle="1" w:styleId="CommentSubjectChar">
    <w:name w:val="Comment Subject Char"/>
    <w:basedOn w:val="CommentTextChar"/>
    <w:link w:val="CommentSubject"/>
    <w:uiPriority w:val="99"/>
    <w:semiHidden/>
    <w:rsid w:val="00C40A76"/>
    <w:rPr>
      <w:b/>
      <w:bCs/>
      <w:sz w:val="20"/>
      <w:szCs w:val="20"/>
    </w:rPr>
  </w:style>
  <w:style w:type="paragraph" w:styleId="BalloonText">
    <w:name w:val="Balloon Text"/>
    <w:basedOn w:val="Normal"/>
    <w:link w:val="BalloonTextChar"/>
    <w:uiPriority w:val="99"/>
    <w:semiHidden/>
    <w:unhideWhenUsed/>
    <w:rsid w:val="00821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62"/>
    <w:rPr>
      <w:rFonts w:ascii="Segoe UI" w:hAnsi="Segoe UI" w:cs="Segoe UI"/>
      <w:sz w:val="18"/>
      <w:szCs w:val="18"/>
    </w:rPr>
  </w:style>
  <w:style w:type="paragraph" w:styleId="Header">
    <w:name w:val="header"/>
    <w:basedOn w:val="Normal"/>
    <w:link w:val="HeaderChar"/>
    <w:uiPriority w:val="99"/>
    <w:unhideWhenUsed/>
    <w:rsid w:val="00AD7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35C"/>
  </w:style>
  <w:style w:type="paragraph" w:styleId="Footer0">
    <w:name w:val="footer"/>
    <w:basedOn w:val="Normal"/>
    <w:link w:val="FooterChar"/>
    <w:uiPriority w:val="99"/>
    <w:unhideWhenUsed/>
    <w:rsid w:val="00AD735C"/>
    <w:pPr>
      <w:tabs>
        <w:tab w:val="center" w:pos="4680"/>
        <w:tab w:val="right" w:pos="9360"/>
      </w:tabs>
      <w:spacing w:after="0" w:line="240" w:lineRule="auto"/>
    </w:pPr>
  </w:style>
  <w:style w:type="character" w:customStyle="1" w:styleId="FooterChar">
    <w:name w:val="Footer Char"/>
    <w:basedOn w:val="DefaultParagraphFont"/>
    <w:link w:val="Footer0"/>
    <w:uiPriority w:val="99"/>
    <w:rsid w:val="00AD7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59069">
      <w:bodyDiv w:val="1"/>
      <w:marLeft w:val="0"/>
      <w:marRight w:val="0"/>
      <w:marTop w:val="0"/>
      <w:marBottom w:val="0"/>
      <w:divBdr>
        <w:top w:val="none" w:sz="0" w:space="0" w:color="auto"/>
        <w:left w:val="none" w:sz="0" w:space="0" w:color="auto"/>
        <w:bottom w:val="none" w:sz="0" w:space="0" w:color="auto"/>
        <w:right w:val="none" w:sz="0" w:space="0" w:color="auto"/>
      </w:divBdr>
      <w:divsChild>
        <w:div w:id="1530492332">
          <w:marLeft w:val="475"/>
          <w:marRight w:val="0"/>
          <w:marTop w:val="106"/>
          <w:marBottom w:val="120"/>
          <w:divBdr>
            <w:top w:val="none" w:sz="0" w:space="0" w:color="auto"/>
            <w:left w:val="none" w:sz="0" w:space="0" w:color="auto"/>
            <w:bottom w:val="none" w:sz="0" w:space="0" w:color="auto"/>
            <w:right w:val="none" w:sz="0" w:space="0" w:color="auto"/>
          </w:divBdr>
        </w:div>
        <w:div w:id="369115729">
          <w:marLeft w:val="994"/>
          <w:marRight w:val="0"/>
          <w:marTop w:val="86"/>
          <w:marBottom w:val="120"/>
          <w:divBdr>
            <w:top w:val="none" w:sz="0" w:space="0" w:color="auto"/>
            <w:left w:val="none" w:sz="0" w:space="0" w:color="auto"/>
            <w:bottom w:val="none" w:sz="0" w:space="0" w:color="auto"/>
            <w:right w:val="none" w:sz="0" w:space="0" w:color="auto"/>
          </w:divBdr>
        </w:div>
        <w:div w:id="284585816">
          <w:marLeft w:val="475"/>
          <w:marRight w:val="0"/>
          <w:marTop w:val="106"/>
          <w:marBottom w:val="120"/>
          <w:divBdr>
            <w:top w:val="none" w:sz="0" w:space="0" w:color="auto"/>
            <w:left w:val="none" w:sz="0" w:space="0" w:color="auto"/>
            <w:bottom w:val="none" w:sz="0" w:space="0" w:color="auto"/>
            <w:right w:val="none" w:sz="0" w:space="0" w:color="auto"/>
          </w:divBdr>
        </w:div>
        <w:div w:id="1552501283">
          <w:marLeft w:val="994"/>
          <w:marRight w:val="0"/>
          <w:marTop w:val="86"/>
          <w:marBottom w:val="120"/>
          <w:divBdr>
            <w:top w:val="none" w:sz="0" w:space="0" w:color="auto"/>
            <w:left w:val="none" w:sz="0" w:space="0" w:color="auto"/>
            <w:bottom w:val="none" w:sz="0" w:space="0" w:color="auto"/>
            <w:right w:val="none" w:sz="0" w:space="0" w:color="auto"/>
          </w:divBdr>
        </w:div>
        <w:div w:id="1392803166">
          <w:marLeft w:val="475"/>
          <w:marRight w:val="0"/>
          <w:marTop w:val="106"/>
          <w:marBottom w:val="120"/>
          <w:divBdr>
            <w:top w:val="none" w:sz="0" w:space="0" w:color="auto"/>
            <w:left w:val="none" w:sz="0" w:space="0" w:color="auto"/>
            <w:bottom w:val="none" w:sz="0" w:space="0" w:color="auto"/>
            <w:right w:val="none" w:sz="0" w:space="0" w:color="auto"/>
          </w:divBdr>
        </w:div>
        <w:div w:id="1183979468">
          <w:marLeft w:val="475"/>
          <w:marRight w:val="0"/>
          <w:marTop w:val="106"/>
          <w:marBottom w:val="120"/>
          <w:divBdr>
            <w:top w:val="none" w:sz="0" w:space="0" w:color="auto"/>
            <w:left w:val="none" w:sz="0" w:space="0" w:color="auto"/>
            <w:bottom w:val="none" w:sz="0" w:space="0" w:color="auto"/>
            <w:right w:val="none" w:sz="0" w:space="0" w:color="auto"/>
          </w:divBdr>
        </w:div>
      </w:divsChild>
    </w:div>
    <w:div w:id="765855221">
      <w:bodyDiv w:val="1"/>
      <w:marLeft w:val="0"/>
      <w:marRight w:val="0"/>
      <w:marTop w:val="0"/>
      <w:marBottom w:val="0"/>
      <w:divBdr>
        <w:top w:val="none" w:sz="0" w:space="0" w:color="auto"/>
        <w:left w:val="none" w:sz="0" w:space="0" w:color="auto"/>
        <w:bottom w:val="none" w:sz="0" w:space="0" w:color="auto"/>
        <w:right w:val="none" w:sz="0" w:space="0" w:color="auto"/>
      </w:divBdr>
    </w:div>
    <w:div w:id="962611543">
      <w:bodyDiv w:val="1"/>
      <w:marLeft w:val="0"/>
      <w:marRight w:val="0"/>
      <w:marTop w:val="0"/>
      <w:marBottom w:val="0"/>
      <w:divBdr>
        <w:top w:val="none" w:sz="0" w:space="0" w:color="auto"/>
        <w:left w:val="none" w:sz="0" w:space="0" w:color="auto"/>
        <w:bottom w:val="none" w:sz="0" w:space="0" w:color="auto"/>
        <w:right w:val="none" w:sz="0" w:space="0" w:color="auto"/>
      </w:divBdr>
      <w:divsChild>
        <w:div w:id="1746608247">
          <w:marLeft w:val="475"/>
          <w:marRight w:val="0"/>
          <w:marTop w:val="96"/>
          <w:marBottom w:val="120"/>
          <w:divBdr>
            <w:top w:val="none" w:sz="0" w:space="0" w:color="auto"/>
            <w:left w:val="none" w:sz="0" w:space="0" w:color="auto"/>
            <w:bottom w:val="none" w:sz="0" w:space="0" w:color="auto"/>
            <w:right w:val="none" w:sz="0" w:space="0" w:color="auto"/>
          </w:divBdr>
        </w:div>
        <w:div w:id="256180424">
          <w:marLeft w:val="994"/>
          <w:marRight w:val="0"/>
          <w:marTop w:val="82"/>
          <w:marBottom w:val="120"/>
          <w:divBdr>
            <w:top w:val="none" w:sz="0" w:space="0" w:color="auto"/>
            <w:left w:val="none" w:sz="0" w:space="0" w:color="auto"/>
            <w:bottom w:val="none" w:sz="0" w:space="0" w:color="auto"/>
            <w:right w:val="none" w:sz="0" w:space="0" w:color="auto"/>
          </w:divBdr>
        </w:div>
        <w:div w:id="1225140292">
          <w:marLeft w:val="994"/>
          <w:marRight w:val="0"/>
          <w:marTop w:val="82"/>
          <w:marBottom w:val="120"/>
          <w:divBdr>
            <w:top w:val="none" w:sz="0" w:space="0" w:color="auto"/>
            <w:left w:val="none" w:sz="0" w:space="0" w:color="auto"/>
            <w:bottom w:val="none" w:sz="0" w:space="0" w:color="auto"/>
            <w:right w:val="none" w:sz="0" w:space="0" w:color="auto"/>
          </w:divBdr>
        </w:div>
        <w:div w:id="1526089765">
          <w:marLeft w:val="994"/>
          <w:marRight w:val="0"/>
          <w:marTop w:val="82"/>
          <w:marBottom w:val="120"/>
          <w:divBdr>
            <w:top w:val="none" w:sz="0" w:space="0" w:color="auto"/>
            <w:left w:val="none" w:sz="0" w:space="0" w:color="auto"/>
            <w:bottom w:val="none" w:sz="0" w:space="0" w:color="auto"/>
            <w:right w:val="none" w:sz="0" w:space="0" w:color="auto"/>
          </w:divBdr>
        </w:div>
        <w:div w:id="1044253254">
          <w:marLeft w:val="994"/>
          <w:marRight w:val="0"/>
          <w:marTop w:val="82"/>
          <w:marBottom w:val="120"/>
          <w:divBdr>
            <w:top w:val="none" w:sz="0" w:space="0" w:color="auto"/>
            <w:left w:val="none" w:sz="0" w:space="0" w:color="auto"/>
            <w:bottom w:val="none" w:sz="0" w:space="0" w:color="auto"/>
            <w:right w:val="none" w:sz="0" w:space="0" w:color="auto"/>
          </w:divBdr>
        </w:div>
        <w:div w:id="223420864">
          <w:marLeft w:val="1411"/>
          <w:marRight w:val="0"/>
          <w:marTop w:val="72"/>
          <w:marBottom w:val="120"/>
          <w:divBdr>
            <w:top w:val="none" w:sz="0" w:space="0" w:color="auto"/>
            <w:left w:val="none" w:sz="0" w:space="0" w:color="auto"/>
            <w:bottom w:val="none" w:sz="0" w:space="0" w:color="auto"/>
            <w:right w:val="none" w:sz="0" w:space="0" w:color="auto"/>
          </w:divBdr>
        </w:div>
        <w:div w:id="1271864214">
          <w:marLeft w:val="1411"/>
          <w:marRight w:val="0"/>
          <w:marTop w:val="72"/>
          <w:marBottom w:val="120"/>
          <w:divBdr>
            <w:top w:val="none" w:sz="0" w:space="0" w:color="auto"/>
            <w:left w:val="none" w:sz="0" w:space="0" w:color="auto"/>
            <w:bottom w:val="none" w:sz="0" w:space="0" w:color="auto"/>
            <w:right w:val="none" w:sz="0" w:space="0" w:color="auto"/>
          </w:divBdr>
        </w:div>
        <w:div w:id="1937052019">
          <w:marLeft w:val="475"/>
          <w:marRight w:val="0"/>
          <w:marTop w:val="96"/>
          <w:marBottom w:val="120"/>
          <w:divBdr>
            <w:top w:val="none" w:sz="0" w:space="0" w:color="auto"/>
            <w:left w:val="none" w:sz="0" w:space="0" w:color="auto"/>
            <w:bottom w:val="none" w:sz="0" w:space="0" w:color="auto"/>
            <w:right w:val="none" w:sz="0" w:space="0" w:color="auto"/>
          </w:divBdr>
        </w:div>
        <w:div w:id="1253928088">
          <w:marLeft w:val="994"/>
          <w:marRight w:val="0"/>
          <w:marTop w:val="82"/>
          <w:marBottom w:val="120"/>
          <w:divBdr>
            <w:top w:val="none" w:sz="0" w:space="0" w:color="auto"/>
            <w:left w:val="none" w:sz="0" w:space="0" w:color="auto"/>
            <w:bottom w:val="none" w:sz="0" w:space="0" w:color="auto"/>
            <w:right w:val="none" w:sz="0" w:space="0" w:color="auto"/>
          </w:divBdr>
        </w:div>
        <w:div w:id="1569655447">
          <w:marLeft w:val="994"/>
          <w:marRight w:val="0"/>
          <w:marTop w:val="82"/>
          <w:marBottom w:val="120"/>
          <w:divBdr>
            <w:top w:val="none" w:sz="0" w:space="0" w:color="auto"/>
            <w:left w:val="none" w:sz="0" w:space="0" w:color="auto"/>
            <w:bottom w:val="none" w:sz="0" w:space="0" w:color="auto"/>
            <w:right w:val="none" w:sz="0" w:space="0" w:color="auto"/>
          </w:divBdr>
        </w:div>
        <w:div w:id="1974024051">
          <w:marLeft w:val="475"/>
          <w:marRight w:val="0"/>
          <w:marTop w:val="96"/>
          <w:marBottom w:val="120"/>
          <w:divBdr>
            <w:top w:val="none" w:sz="0" w:space="0" w:color="auto"/>
            <w:left w:val="none" w:sz="0" w:space="0" w:color="auto"/>
            <w:bottom w:val="none" w:sz="0" w:space="0" w:color="auto"/>
            <w:right w:val="none" w:sz="0" w:space="0" w:color="auto"/>
          </w:divBdr>
        </w:div>
        <w:div w:id="1391150210">
          <w:marLeft w:val="994"/>
          <w:marRight w:val="0"/>
          <w:marTop w:val="82"/>
          <w:marBottom w:val="120"/>
          <w:divBdr>
            <w:top w:val="none" w:sz="0" w:space="0" w:color="auto"/>
            <w:left w:val="none" w:sz="0" w:space="0" w:color="auto"/>
            <w:bottom w:val="none" w:sz="0" w:space="0" w:color="auto"/>
            <w:right w:val="none" w:sz="0" w:space="0" w:color="auto"/>
          </w:divBdr>
        </w:div>
      </w:divsChild>
    </w:div>
    <w:div w:id="1067345115">
      <w:bodyDiv w:val="1"/>
      <w:marLeft w:val="0"/>
      <w:marRight w:val="0"/>
      <w:marTop w:val="0"/>
      <w:marBottom w:val="0"/>
      <w:divBdr>
        <w:top w:val="none" w:sz="0" w:space="0" w:color="auto"/>
        <w:left w:val="none" w:sz="0" w:space="0" w:color="auto"/>
        <w:bottom w:val="none" w:sz="0" w:space="0" w:color="auto"/>
        <w:right w:val="none" w:sz="0" w:space="0" w:color="auto"/>
      </w:divBdr>
      <w:divsChild>
        <w:div w:id="1002780969">
          <w:marLeft w:val="475"/>
          <w:marRight w:val="0"/>
          <w:marTop w:val="96"/>
          <w:marBottom w:val="120"/>
          <w:divBdr>
            <w:top w:val="none" w:sz="0" w:space="0" w:color="auto"/>
            <w:left w:val="none" w:sz="0" w:space="0" w:color="auto"/>
            <w:bottom w:val="none" w:sz="0" w:space="0" w:color="auto"/>
            <w:right w:val="none" w:sz="0" w:space="0" w:color="auto"/>
          </w:divBdr>
        </w:div>
        <w:div w:id="1502500895">
          <w:marLeft w:val="475"/>
          <w:marRight w:val="0"/>
          <w:marTop w:val="96"/>
          <w:marBottom w:val="120"/>
          <w:divBdr>
            <w:top w:val="none" w:sz="0" w:space="0" w:color="auto"/>
            <w:left w:val="none" w:sz="0" w:space="0" w:color="auto"/>
            <w:bottom w:val="none" w:sz="0" w:space="0" w:color="auto"/>
            <w:right w:val="none" w:sz="0" w:space="0" w:color="auto"/>
          </w:divBdr>
        </w:div>
        <w:div w:id="2124954128">
          <w:marLeft w:val="475"/>
          <w:marRight w:val="0"/>
          <w:marTop w:val="96"/>
          <w:marBottom w:val="120"/>
          <w:divBdr>
            <w:top w:val="none" w:sz="0" w:space="0" w:color="auto"/>
            <w:left w:val="none" w:sz="0" w:space="0" w:color="auto"/>
            <w:bottom w:val="none" w:sz="0" w:space="0" w:color="auto"/>
            <w:right w:val="none" w:sz="0" w:space="0" w:color="auto"/>
          </w:divBdr>
        </w:div>
        <w:div w:id="498733033">
          <w:marLeft w:val="475"/>
          <w:marRight w:val="0"/>
          <w:marTop w:val="96"/>
          <w:marBottom w:val="120"/>
          <w:divBdr>
            <w:top w:val="none" w:sz="0" w:space="0" w:color="auto"/>
            <w:left w:val="none" w:sz="0" w:space="0" w:color="auto"/>
            <w:bottom w:val="none" w:sz="0" w:space="0" w:color="auto"/>
            <w:right w:val="none" w:sz="0" w:space="0" w:color="auto"/>
          </w:divBdr>
        </w:div>
        <w:div w:id="1712682781">
          <w:marLeft w:val="994"/>
          <w:marRight w:val="0"/>
          <w:marTop w:val="82"/>
          <w:marBottom w:val="120"/>
          <w:divBdr>
            <w:top w:val="none" w:sz="0" w:space="0" w:color="auto"/>
            <w:left w:val="none" w:sz="0" w:space="0" w:color="auto"/>
            <w:bottom w:val="none" w:sz="0" w:space="0" w:color="auto"/>
            <w:right w:val="none" w:sz="0" w:space="0" w:color="auto"/>
          </w:divBdr>
        </w:div>
        <w:div w:id="1938175202">
          <w:marLeft w:val="475"/>
          <w:marRight w:val="0"/>
          <w:marTop w:val="96"/>
          <w:marBottom w:val="120"/>
          <w:divBdr>
            <w:top w:val="none" w:sz="0" w:space="0" w:color="auto"/>
            <w:left w:val="none" w:sz="0" w:space="0" w:color="auto"/>
            <w:bottom w:val="none" w:sz="0" w:space="0" w:color="auto"/>
            <w:right w:val="none" w:sz="0" w:space="0" w:color="auto"/>
          </w:divBdr>
        </w:div>
        <w:div w:id="653946799">
          <w:marLeft w:val="475"/>
          <w:marRight w:val="0"/>
          <w:marTop w:val="96"/>
          <w:marBottom w:val="120"/>
          <w:divBdr>
            <w:top w:val="none" w:sz="0" w:space="0" w:color="auto"/>
            <w:left w:val="none" w:sz="0" w:space="0" w:color="auto"/>
            <w:bottom w:val="none" w:sz="0" w:space="0" w:color="auto"/>
            <w:right w:val="none" w:sz="0" w:space="0" w:color="auto"/>
          </w:divBdr>
        </w:div>
        <w:div w:id="585695560">
          <w:marLeft w:val="475"/>
          <w:marRight w:val="0"/>
          <w:marTop w:val="96"/>
          <w:marBottom w:val="120"/>
          <w:divBdr>
            <w:top w:val="none" w:sz="0" w:space="0" w:color="auto"/>
            <w:left w:val="none" w:sz="0" w:space="0" w:color="auto"/>
            <w:bottom w:val="none" w:sz="0" w:space="0" w:color="auto"/>
            <w:right w:val="none" w:sz="0" w:space="0" w:color="auto"/>
          </w:divBdr>
        </w:div>
      </w:divsChild>
    </w:div>
    <w:div w:id="1111389885">
      <w:bodyDiv w:val="1"/>
      <w:marLeft w:val="0"/>
      <w:marRight w:val="0"/>
      <w:marTop w:val="0"/>
      <w:marBottom w:val="0"/>
      <w:divBdr>
        <w:top w:val="none" w:sz="0" w:space="0" w:color="auto"/>
        <w:left w:val="none" w:sz="0" w:space="0" w:color="auto"/>
        <w:bottom w:val="none" w:sz="0" w:space="0" w:color="auto"/>
        <w:right w:val="none" w:sz="0" w:space="0" w:color="auto"/>
      </w:divBdr>
    </w:div>
    <w:div w:id="1298340105">
      <w:bodyDiv w:val="1"/>
      <w:marLeft w:val="0"/>
      <w:marRight w:val="0"/>
      <w:marTop w:val="0"/>
      <w:marBottom w:val="0"/>
      <w:divBdr>
        <w:top w:val="none" w:sz="0" w:space="0" w:color="auto"/>
        <w:left w:val="none" w:sz="0" w:space="0" w:color="auto"/>
        <w:bottom w:val="none" w:sz="0" w:space="0" w:color="auto"/>
        <w:right w:val="none" w:sz="0" w:space="0" w:color="auto"/>
      </w:divBdr>
    </w:div>
    <w:div w:id="1428379800">
      <w:bodyDiv w:val="1"/>
      <w:marLeft w:val="0"/>
      <w:marRight w:val="0"/>
      <w:marTop w:val="0"/>
      <w:marBottom w:val="0"/>
      <w:divBdr>
        <w:top w:val="none" w:sz="0" w:space="0" w:color="auto"/>
        <w:left w:val="none" w:sz="0" w:space="0" w:color="auto"/>
        <w:bottom w:val="none" w:sz="0" w:space="0" w:color="auto"/>
        <w:right w:val="none" w:sz="0" w:space="0" w:color="auto"/>
      </w:divBdr>
    </w:div>
    <w:div w:id="1495562604">
      <w:bodyDiv w:val="1"/>
      <w:marLeft w:val="0"/>
      <w:marRight w:val="0"/>
      <w:marTop w:val="0"/>
      <w:marBottom w:val="0"/>
      <w:divBdr>
        <w:top w:val="none" w:sz="0" w:space="0" w:color="auto"/>
        <w:left w:val="none" w:sz="0" w:space="0" w:color="auto"/>
        <w:bottom w:val="none" w:sz="0" w:space="0" w:color="auto"/>
        <w:right w:val="none" w:sz="0" w:space="0" w:color="auto"/>
      </w:divBdr>
      <w:divsChild>
        <w:div w:id="694498018">
          <w:marLeft w:val="475"/>
          <w:marRight w:val="0"/>
          <w:marTop w:val="106"/>
          <w:marBottom w:val="120"/>
          <w:divBdr>
            <w:top w:val="none" w:sz="0" w:space="0" w:color="auto"/>
            <w:left w:val="none" w:sz="0" w:space="0" w:color="auto"/>
            <w:bottom w:val="none" w:sz="0" w:space="0" w:color="auto"/>
            <w:right w:val="none" w:sz="0" w:space="0" w:color="auto"/>
          </w:divBdr>
        </w:div>
        <w:div w:id="188573457">
          <w:marLeft w:val="475"/>
          <w:marRight w:val="0"/>
          <w:marTop w:val="106"/>
          <w:marBottom w:val="120"/>
          <w:divBdr>
            <w:top w:val="none" w:sz="0" w:space="0" w:color="auto"/>
            <w:left w:val="none" w:sz="0" w:space="0" w:color="auto"/>
            <w:bottom w:val="none" w:sz="0" w:space="0" w:color="auto"/>
            <w:right w:val="none" w:sz="0" w:space="0" w:color="auto"/>
          </w:divBdr>
        </w:div>
        <w:div w:id="1186989189">
          <w:marLeft w:val="475"/>
          <w:marRight w:val="0"/>
          <w:marTop w:val="106"/>
          <w:marBottom w:val="120"/>
          <w:divBdr>
            <w:top w:val="none" w:sz="0" w:space="0" w:color="auto"/>
            <w:left w:val="none" w:sz="0" w:space="0" w:color="auto"/>
            <w:bottom w:val="none" w:sz="0" w:space="0" w:color="auto"/>
            <w:right w:val="none" w:sz="0" w:space="0" w:color="auto"/>
          </w:divBdr>
        </w:div>
        <w:div w:id="617567168">
          <w:marLeft w:val="994"/>
          <w:marRight w:val="0"/>
          <w:marTop w:val="86"/>
          <w:marBottom w:val="120"/>
          <w:divBdr>
            <w:top w:val="none" w:sz="0" w:space="0" w:color="auto"/>
            <w:left w:val="none" w:sz="0" w:space="0" w:color="auto"/>
            <w:bottom w:val="none" w:sz="0" w:space="0" w:color="auto"/>
            <w:right w:val="none" w:sz="0" w:space="0" w:color="auto"/>
          </w:divBdr>
        </w:div>
        <w:div w:id="1671790020">
          <w:marLeft w:val="475"/>
          <w:marRight w:val="0"/>
          <w:marTop w:val="106"/>
          <w:marBottom w:val="120"/>
          <w:divBdr>
            <w:top w:val="none" w:sz="0" w:space="0" w:color="auto"/>
            <w:left w:val="none" w:sz="0" w:space="0" w:color="auto"/>
            <w:bottom w:val="none" w:sz="0" w:space="0" w:color="auto"/>
            <w:right w:val="none" w:sz="0" w:space="0" w:color="auto"/>
          </w:divBdr>
        </w:div>
        <w:div w:id="632366625">
          <w:marLeft w:val="994"/>
          <w:marRight w:val="0"/>
          <w:marTop w:val="86"/>
          <w:marBottom w:val="120"/>
          <w:divBdr>
            <w:top w:val="none" w:sz="0" w:space="0" w:color="auto"/>
            <w:left w:val="none" w:sz="0" w:space="0" w:color="auto"/>
            <w:bottom w:val="none" w:sz="0" w:space="0" w:color="auto"/>
            <w:right w:val="none" w:sz="0" w:space="0" w:color="auto"/>
          </w:divBdr>
        </w:div>
        <w:div w:id="828834672">
          <w:marLeft w:val="994"/>
          <w:marRight w:val="0"/>
          <w:marTop w:val="86"/>
          <w:marBottom w:val="120"/>
          <w:divBdr>
            <w:top w:val="none" w:sz="0" w:space="0" w:color="auto"/>
            <w:left w:val="none" w:sz="0" w:space="0" w:color="auto"/>
            <w:bottom w:val="none" w:sz="0" w:space="0" w:color="auto"/>
            <w:right w:val="none" w:sz="0" w:space="0" w:color="auto"/>
          </w:divBdr>
        </w:div>
      </w:divsChild>
    </w:div>
    <w:div w:id="1615407350">
      <w:bodyDiv w:val="1"/>
      <w:marLeft w:val="0"/>
      <w:marRight w:val="0"/>
      <w:marTop w:val="0"/>
      <w:marBottom w:val="0"/>
      <w:divBdr>
        <w:top w:val="none" w:sz="0" w:space="0" w:color="auto"/>
        <w:left w:val="none" w:sz="0" w:space="0" w:color="auto"/>
        <w:bottom w:val="none" w:sz="0" w:space="0" w:color="auto"/>
        <w:right w:val="none" w:sz="0" w:space="0" w:color="auto"/>
      </w:divBdr>
      <w:divsChild>
        <w:div w:id="1616983039">
          <w:marLeft w:val="475"/>
          <w:marRight w:val="0"/>
          <w:marTop w:val="106"/>
          <w:marBottom w:val="120"/>
          <w:divBdr>
            <w:top w:val="none" w:sz="0" w:space="0" w:color="auto"/>
            <w:left w:val="none" w:sz="0" w:space="0" w:color="auto"/>
            <w:bottom w:val="none" w:sz="0" w:space="0" w:color="auto"/>
            <w:right w:val="none" w:sz="0" w:space="0" w:color="auto"/>
          </w:divBdr>
        </w:div>
        <w:div w:id="228393492">
          <w:marLeft w:val="475"/>
          <w:marRight w:val="0"/>
          <w:marTop w:val="106"/>
          <w:marBottom w:val="120"/>
          <w:divBdr>
            <w:top w:val="none" w:sz="0" w:space="0" w:color="auto"/>
            <w:left w:val="none" w:sz="0" w:space="0" w:color="auto"/>
            <w:bottom w:val="none" w:sz="0" w:space="0" w:color="auto"/>
            <w:right w:val="none" w:sz="0" w:space="0" w:color="auto"/>
          </w:divBdr>
        </w:div>
        <w:div w:id="1463963485">
          <w:marLeft w:val="475"/>
          <w:marRight w:val="0"/>
          <w:marTop w:val="106"/>
          <w:marBottom w:val="120"/>
          <w:divBdr>
            <w:top w:val="none" w:sz="0" w:space="0" w:color="auto"/>
            <w:left w:val="none" w:sz="0" w:space="0" w:color="auto"/>
            <w:bottom w:val="none" w:sz="0" w:space="0" w:color="auto"/>
            <w:right w:val="none" w:sz="0" w:space="0" w:color="auto"/>
          </w:divBdr>
        </w:div>
        <w:div w:id="7341714">
          <w:marLeft w:val="475"/>
          <w:marRight w:val="0"/>
          <w:marTop w:val="106"/>
          <w:marBottom w:val="120"/>
          <w:divBdr>
            <w:top w:val="none" w:sz="0" w:space="0" w:color="auto"/>
            <w:left w:val="none" w:sz="0" w:space="0" w:color="auto"/>
            <w:bottom w:val="none" w:sz="0" w:space="0" w:color="auto"/>
            <w:right w:val="none" w:sz="0" w:space="0" w:color="auto"/>
          </w:divBdr>
        </w:div>
        <w:div w:id="856188170">
          <w:marLeft w:val="475"/>
          <w:marRight w:val="0"/>
          <w:marTop w:val="106"/>
          <w:marBottom w:val="120"/>
          <w:divBdr>
            <w:top w:val="none" w:sz="0" w:space="0" w:color="auto"/>
            <w:left w:val="none" w:sz="0" w:space="0" w:color="auto"/>
            <w:bottom w:val="none" w:sz="0" w:space="0" w:color="auto"/>
            <w:right w:val="none" w:sz="0" w:space="0" w:color="auto"/>
          </w:divBdr>
        </w:div>
        <w:div w:id="916205127">
          <w:marLeft w:val="994"/>
          <w:marRight w:val="0"/>
          <w:marTop w:val="86"/>
          <w:marBottom w:val="120"/>
          <w:divBdr>
            <w:top w:val="none" w:sz="0" w:space="0" w:color="auto"/>
            <w:left w:val="none" w:sz="0" w:space="0" w:color="auto"/>
            <w:bottom w:val="none" w:sz="0" w:space="0" w:color="auto"/>
            <w:right w:val="none" w:sz="0" w:space="0" w:color="auto"/>
          </w:divBdr>
        </w:div>
      </w:divsChild>
    </w:div>
    <w:div w:id="1619608104">
      <w:bodyDiv w:val="1"/>
      <w:marLeft w:val="0"/>
      <w:marRight w:val="0"/>
      <w:marTop w:val="0"/>
      <w:marBottom w:val="0"/>
      <w:divBdr>
        <w:top w:val="none" w:sz="0" w:space="0" w:color="auto"/>
        <w:left w:val="none" w:sz="0" w:space="0" w:color="auto"/>
        <w:bottom w:val="none" w:sz="0" w:space="0" w:color="auto"/>
        <w:right w:val="none" w:sz="0" w:space="0" w:color="auto"/>
      </w:divBdr>
      <w:divsChild>
        <w:div w:id="1058749905">
          <w:marLeft w:val="475"/>
          <w:marRight w:val="0"/>
          <w:marTop w:val="106"/>
          <w:marBottom w:val="120"/>
          <w:divBdr>
            <w:top w:val="none" w:sz="0" w:space="0" w:color="auto"/>
            <w:left w:val="none" w:sz="0" w:space="0" w:color="auto"/>
            <w:bottom w:val="none" w:sz="0" w:space="0" w:color="auto"/>
            <w:right w:val="none" w:sz="0" w:space="0" w:color="auto"/>
          </w:divBdr>
        </w:div>
        <w:div w:id="740298231">
          <w:marLeft w:val="994"/>
          <w:marRight w:val="0"/>
          <w:marTop w:val="86"/>
          <w:marBottom w:val="120"/>
          <w:divBdr>
            <w:top w:val="none" w:sz="0" w:space="0" w:color="auto"/>
            <w:left w:val="none" w:sz="0" w:space="0" w:color="auto"/>
            <w:bottom w:val="none" w:sz="0" w:space="0" w:color="auto"/>
            <w:right w:val="none" w:sz="0" w:space="0" w:color="auto"/>
          </w:divBdr>
        </w:div>
        <w:div w:id="1751852562">
          <w:marLeft w:val="994"/>
          <w:marRight w:val="0"/>
          <w:marTop w:val="86"/>
          <w:marBottom w:val="120"/>
          <w:divBdr>
            <w:top w:val="none" w:sz="0" w:space="0" w:color="auto"/>
            <w:left w:val="none" w:sz="0" w:space="0" w:color="auto"/>
            <w:bottom w:val="none" w:sz="0" w:space="0" w:color="auto"/>
            <w:right w:val="none" w:sz="0" w:space="0" w:color="auto"/>
          </w:divBdr>
        </w:div>
        <w:div w:id="1446923165">
          <w:marLeft w:val="994"/>
          <w:marRight w:val="0"/>
          <w:marTop w:val="86"/>
          <w:marBottom w:val="120"/>
          <w:divBdr>
            <w:top w:val="none" w:sz="0" w:space="0" w:color="auto"/>
            <w:left w:val="none" w:sz="0" w:space="0" w:color="auto"/>
            <w:bottom w:val="none" w:sz="0" w:space="0" w:color="auto"/>
            <w:right w:val="none" w:sz="0" w:space="0" w:color="auto"/>
          </w:divBdr>
        </w:div>
        <w:div w:id="1716852660">
          <w:marLeft w:val="994"/>
          <w:marRight w:val="0"/>
          <w:marTop w:val="86"/>
          <w:marBottom w:val="120"/>
          <w:divBdr>
            <w:top w:val="none" w:sz="0" w:space="0" w:color="auto"/>
            <w:left w:val="none" w:sz="0" w:space="0" w:color="auto"/>
            <w:bottom w:val="none" w:sz="0" w:space="0" w:color="auto"/>
            <w:right w:val="none" w:sz="0" w:space="0" w:color="auto"/>
          </w:divBdr>
        </w:div>
      </w:divsChild>
    </w:div>
    <w:div w:id="1897159852">
      <w:bodyDiv w:val="1"/>
      <w:marLeft w:val="0"/>
      <w:marRight w:val="0"/>
      <w:marTop w:val="0"/>
      <w:marBottom w:val="0"/>
      <w:divBdr>
        <w:top w:val="none" w:sz="0" w:space="0" w:color="auto"/>
        <w:left w:val="none" w:sz="0" w:space="0" w:color="auto"/>
        <w:bottom w:val="none" w:sz="0" w:space="0" w:color="auto"/>
        <w:right w:val="none" w:sz="0" w:space="0" w:color="auto"/>
      </w:divBdr>
    </w:div>
    <w:div w:id="1924803121">
      <w:bodyDiv w:val="1"/>
      <w:marLeft w:val="0"/>
      <w:marRight w:val="0"/>
      <w:marTop w:val="0"/>
      <w:marBottom w:val="0"/>
      <w:divBdr>
        <w:top w:val="none" w:sz="0" w:space="0" w:color="auto"/>
        <w:left w:val="none" w:sz="0" w:space="0" w:color="auto"/>
        <w:bottom w:val="none" w:sz="0" w:space="0" w:color="auto"/>
        <w:right w:val="none" w:sz="0" w:space="0" w:color="auto"/>
      </w:divBdr>
    </w:div>
    <w:div w:id="2029527188">
      <w:bodyDiv w:val="1"/>
      <w:marLeft w:val="0"/>
      <w:marRight w:val="0"/>
      <w:marTop w:val="0"/>
      <w:marBottom w:val="0"/>
      <w:divBdr>
        <w:top w:val="none" w:sz="0" w:space="0" w:color="auto"/>
        <w:left w:val="none" w:sz="0" w:space="0" w:color="auto"/>
        <w:bottom w:val="none" w:sz="0" w:space="0" w:color="auto"/>
        <w:right w:val="none" w:sz="0" w:space="0" w:color="auto"/>
      </w:divBdr>
      <w:divsChild>
        <w:div w:id="637688479">
          <w:marLeft w:val="475"/>
          <w:marRight w:val="0"/>
          <w:marTop w:val="106"/>
          <w:marBottom w:val="120"/>
          <w:divBdr>
            <w:top w:val="none" w:sz="0" w:space="0" w:color="auto"/>
            <w:left w:val="none" w:sz="0" w:space="0" w:color="auto"/>
            <w:bottom w:val="none" w:sz="0" w:space="0" w:color="auto"/>
            <w:right w:val="none" w:sz="0" w:space="0" w:color="auto"/>
          </w:divBdr>
        </w:div>
        <w:div w:id="804280214">
          <w:marLeft w:val="475"/>
          <w:marRight w:val="0"/>
          <w:marTop w:val="106"/>
          <w:marBottom w:val="120"/>
          <w:divBdr>
            <w:top w:val="none" w:sz="0" w:space="0" w:color="auto"/>
            <w:left w:val="none" w:sz="0" w:space="0" w:color="auto"/>
            <w:bottom w:val="none" w:sz="0" w:space="0" w:color="auto"/>
            <w:right w:val="none" w:sz="0" w:space="0" w:color="auto"/>
          </w:divBdr>
        </w:div>
        <w:div w:id="1427463217">
          <w:marLeft w:val="994"/>
          <w:marRight w:val="0"/>
          <w:marTop w:val="86"/>
          <w:marBottom w:val="120"/>
          <w:divBdr>
            <w:top w:val="none" w:sz="0" w:space="0" w:color="auto"/>
            <w:left w:val="none" w:sz="0" w:space="0" w:color="auto"/>
            <w:bottom w:val="none" w:sz="0" w:space="0" w:color="auto"/>
            <w:right w:val="none" w:sz="0" w:space="0" w:color="auto"/>
          </w:divBdr>
        </w:div>
        <w:div w:id="2074355037">
          <w:marLeft w:val="994"/>
          <w:marRight w:val="0"/>
          <w:marTop w:val="86"/>
          <w:marBottom w:val="120"/>
          <w:divBdr>
            <w:top w:val="none" w:sz="0" w:space="0" w:color="auto"/>
            <w:left w:val="none" w:sz="0" w:space="0" w:color="auto"/>
            <w:bottom w:val="none" w:sz="0" w:space="0" w:color="auto"/>
            <w:right w:val="none" w:sz="0" w:space="0" w:color="auto"/>
          </w:divBdr>
        </w:div>
        <w:div w:id="1140805797">
          <w:marLeft w:val="1411"/>
          <w:marRight w:val="0"/>
          <w:marTop w:val="77"/>
          <w:marBottom w:val="120"/>
          <w:divBdr>
            <w:top w:val="none" w:sz="0" w:space="0" w:color="auto"/>
            <w:left w:val="none" w:sz="0" w:space="0" w:color="auto"/>
            <w:bottom w:val="none" w:sz="0" w:space="0" w:color="auto"/>
            <w:right w:val="none" w:sz="0" w:space="0" w:color="auto"/>
          </w:divBdr>
        </w:div>
      </w:divsChild>
    </w:div>
    <w:div w:id="2108228223">
      <w:bodyDiv w:val="1"/>
      <w:marLeft w:val="0"/>
      <w:marRight w:val="0"/>
      <w:marTop w:val="0"/>
      <w:marBottom w:val="0"/>
      <w:divBdr>
        <w:top w:val="none" w:sz="0" w:space="0" w:color="auto"/>
        <w:left w:val="none" w:sz="0" w:space="0" w:color="auto"/>
        <w:bottom w:val="none" w:sz="0" w:space="0" w:color="auto"/>
        <w:right w:val="none" w:sz="0" w:space="0" w:color="auto"/>
      </w:divBdr>
      <w:divsChild>
        <w:div w:id="1012686599">
          <w:marLeft w:val="475"/>
          <w:marRight w:val="0"/>
          <w:marTop w:val="96"/>
          <w:marBottom w:val="120"/>
          <w:divBdr>
            <w:top w:val="none" w:sz="0" w:space="0" w:color="auto"/>
            <w:left w:val="none" w:sz="0" w:space="0" w:color="auto"/>
            <w:bottom w:val="none" w:sz="0" w:space="0" w:color="auto"/>
            <w:right w:val="none" w:sz="0" w:space="0" w:color="auto"/>
          </w:divBdr>
        </w:div>
        <w:div w:id="93747401">
          <w:marLeft w:val="994"/>
          <w:marRight w:val="0"/>
          <w:marTop w:val="82"/>
          <w:marBottom w:val="120"/>
          <w:divBdr>
            <w:top w:val="none" w:sz="0" w:space="0" w:color="auto"/>
            <w:left w:val="none" w:sz="0" w:space="0" w:color="auto"/>
            <w:bottom w:val="none" w:sz="0" w:space="0" w:color="auto"/>
            <w:right w:val="none" w:sz="0" w:space="0" w:color="auto"/>
          </w:divBdr>
        </w:div>
        <w:div w:id="394744672">
          <w:marLeft w:val="994"/>
          <w:marRight w:val="0"/>
          <w:marTop w:val="82"/>
          <w:marBottom w:val="120"/>
          <w:divBdr>
            <w:top w:val="none" w:sz="0" w:space="0" w:color="auto"/>
            <w:left w:val="none" w:sz="0" w:space="0" w:color="auto"/>
            <w:bottom w:val="none" w:sz="0" w:space="0" w:color="auto"/>
            <w:right w:val="none" w:sz="0" w:space="0" w:color="auto"/>
          </w:divBdr>
        </w:div>
        <w:div w:id="1189955460">
          <w:marLeft w:val="994"/>
          <w:marRight w:val="0"/>
          <w:marTop w:val="82"/>
          <w:marBottom w:val="120"/>
          <w:divBdr>
            <w:top w:val="none" w:sz="0" w:space="0" w:color="auto"/>
            <w:left w:val="none" w:sz="0" w:space="0" w:color="auto"/>
            <w:bottom w:val="none" w:sz="0" w:space="0" w:color="auto"/>
            <w:right w:val="none" w:sz="0" w:space="0" w:color="auto"/>
          </w:divBdr>
        </w:div>
        <w:div w:id="2016685474">
          <w:marLeft w:val="994"/>
          <w:marRight w:val="0"/>
          <w:marTop w:val="82"/>
          <w:marBottom w:val="120"/>
          <w:divBdr>
            <w:top w:val="none" w:sz="0" w:space="0" w:color="auto"/>
            <w:left w:val="none" w:sz="0" w:space="0" w:color="auto"/>
            <w:bottom w:val="none" w:sz="0" w:space="0" w:color="auto"/>
            <w:right w:val="none" w:sz="0" w:space="0" w:color="auto"/>
          </w:divBdr>
        </w:div>
        <w:div w:id="2099674263">
          <w:marLeft w:val="1411"/>
          <w:marRight w:val="0"/>
          <w:marTop w:val="72"/>
          <w:marBottom w:val="120"/>
          <w:divBdr>
            <w:top w:val="none" w:sz="0" w:space="0" w:color="auto"/>
            <w:left w:val="none" w:sz="0" w:space="0" w:color="auto"/>
            <w:bottom w:val="none" w:sz="0" w:space="0" w:color="auto"/>
            <w:right w:val="none" w:sz="0" w:space="0" w:color="auto"/>
          </w:divBdr>
        </w:div>
        <w:div w:id="830945090">
          <w:marLeft w:val="1411"/>
          <w:marRight w:val="0"/>
          <w:marTop w:val="72"/>
          <w:marBottom w:val="120"/>
          <w:divBdr>
            <w:top w:val="none" w:sz="0" w:space="0" w:color="auto"/>
            <w:left w:val="none" w:sz="0" w:space="0" w:color="auto"/>
            <w:bottom w:val="none" w:sz="0" w:space="0" w:color="auto"/>
            <w:right w:val="none" w:sz="0" w:space="0" w:color="auto"/>
          </w:divBdr>
        </w:div>
        <w:div w:id="1544633903">
          <w:marLeft w:val="475"/>
          <w:marRight w:val="0"/>
          <w:marTop w:val="96"/>
          <w:marBottom w:val="120"/>
          <w:divBdr>
            <w:top w:val="none" w:sz="0" w:space="0" w:color="auto"/>
            <w:left w:val="none" w:sz="0" w:space="0" w:color="auto"/>
            <w:bottom w:val="none" w:sz="0" w:space="0" w:color="auto"/>
            <w:right w:val="none" w:sz="0" w:space="0" w:color="auto"/>
          </w:divBdr>
        </w:div>
        <w:div w:id="1505165931">
          <w:marLeft w:val="994"/>
          <w:marRight w:val="0"/>
          <w:marTop w:val="82"/>
          <w:marBottom w:val="120"/>
          <w:divBdr>
            <w:top w:val="none" w:sz="0" w:space="0" w:color="auto"/>
            <w:left w:val="none" w:sz="0" w:space="0" w:color="auto"/>
            <w:bottom w:val="none" w:sz="0" w:space="0" w:color="auto"/>
            <w:right w:val="none" w:sz="0" w:space="0" w:color="auto"/>
          </w:divBdr>
        </w:div>
        <w:div w:id="697585328">
          <w:marLeft w:val="994"/>
          <w:marRight w:val="0"/>
          <w:marTop w:val="82"/>
          <w:marBottom w:val="120"/>
          <w:divBdr>
            <w:top w:val="none" w:sz="0" w:space="0" w:color="auto"/>
            <w:left w:val="none" w:sz="0" w:space="0" w:color="auto"/>
            <w:bottom w:val="none" w:sz="0" w:space="0" w:color="auto"/>
            <w:right w:val="none" w:sz="0" w:space="0" w:color="auto"/>
          </w:divBdr>
        </w:div>
        <w:div w:id="846093082">
          <w:marLeft w:val="475"/>
          <w:marRight w:val="0"/>
          <w:marTop w:val="96"/>
          <w:marBottom w:val="120"/>
          <w:divBdr>
            <w:top w:val="none" w:sz="0" w:space="0" w:color="auto"/>
            <w:left w:val="none" w:sz="0" w:space="0" w:color="auto"/>
            <w:bottom w:val="none" w:sz="0" w:space="0" w:color="auto"/>
            <w:right w:val="none" w:sz="0" w:space="0" w:color="auto"/>
          </w:divBdr>
        </w:div>
        <w:div w:id="928348422">
          <w:marLeft w:val="994"/>
          <w:marRight w:val="0"/>
          <w:marTop w:val="82"/>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SA">
      <a:dk1>
        <a:srgbClr val="595959"/>
      </a:dk1>
      <a:lt1>
        <a:sysClr val="window" lastClr="FFFFFF"/>
      </a:lt1>
      <a:dk2>
        <a:srgbClr val="005F8C"/>
      </a:dk2>
      <a:lt2>
        <a:srgbClr val="D8D8D8"/>
      </a:lt2>
      <a:accent1>
        <a:srgbClr val="0098D7"/>
      </a:accent1>
      <a:accent2>
        <a:srgbClr val="999999"/>
      </a:accent2>
      <a:accent3>
        <a:srgbClr val="E66827"/>
      </a:accent3>
      <a:accent4>
        <a:srgbClr val="8D82A3"/>
      </a:accent4>
      <a:accent5>
        <a:srgbClr val="80BE25"/>
      </a:accent5>
      <a:accent6>
        <a:srgbClr val="00709F"/>
      </a:accent6>
      <a:hlink>
        <a:srgbClr val="737373"/>
      </a:hlink>
      <a:folHlink>
        <a:srgbClr val="B54E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8415D4BA07FC4FA0E8180F912AC136" ma:contentTypeVersion="10" ma:contentTypeDescription="Create a new document." ma:contentTypeScope="" ma:versionID="97194322f75a399f553649470a94af95">
  <xsd:schema xmlns:xsd="http://www.w3.org/2001/XMLSchema" xmlns:xs="http://www.w3.org/2001/XMLSchema" xmlns:p="http://schemas.microsoft.com/office/2006/metadata/properties" xmlns:ns2="97e57212-3e02-407f-8b2d-05f7d7f19b15" xmlns:ns3="e684985c-3221-4aa0-ab86-bdd3cf0b92f0" xmlns:ns4="f97ad6f6-1c40-4f87-86d1-98db3703dafb" targetNamespace="http://schemas.microsoft.com/office/2006/metadata/properties" ma:root="true" ma:fieldsID="cc23894aa893189d903e4a98bfaaaa95" ns2:_="" ns3:_="" ns4:_="">
    <xsd:import namespace="97e57212-3e02-407f-8b2d-05f7d7f19b15"/>
    <xsd:import namespace="e684985c-3221-4aa0-ab86-bdd3cf0b92f0"/>
    <xsd:import namespace="f97ad6f6-1c40-4f87-86d1-98db3703dafb"/>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8fb8135-f7c9-45d2-a768-d3a8bba54595}" ma:internalName="TaxCatchAll" ma:showField="CatchAllData" ma:web="f97ad6f6-1c40-4f87-86d1-98db3703daf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8fb8135-f7c9-45d2-a768-d3a8bba54595}" ma:internalName="TaxCatchAllLabel" ma:readOnly="true" ma:showField="CatchAllDataLabel" ma:web="f97ad6f6-1c40-4f87-86d1-98db3703dafb">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84985c-3221-4aa0-ab86-bdd3cf0b92f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ad6f6-1c40-4f87-86d1-98db3703da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06c99b3-cd83-43e5-b4c1-d62f316c1e37" ContentTypeId="0x0101" PreviousValue="false"/>
</file>

<file path=customXml/itemProps1.xml><?xml version="1.0" encoding="utf-8"?>
<ds:datastoreItem xmlns:ds="http://schemas.openxmlformats.org/officeDocument/2006/customXml" ds:itemID="{A5A76705-A172-47CA-ABF8-C31DF85B4A6E}">
  <ds:schemaRefs>
    <ds:schemaRef ds:uri="http://schemas.openxmlformats.org/officeDocument/2006/bibliography"/>
  </ds:schemaRefs>
</ds:datastoreItem>
</file>

<file path=customXml/itemProps2.xml><?xml version="1.0" encoding="utf-8"?>
<ds:datastoreItem xmlns:ds="http://schemas.openxmlformats.org/officeDocument/2006/customXml" ds:itemID="{B83E0FE2-C022-4EA9-9A57-12E98605C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e684985c-3221-4aa0-ab86-bdd3cf0b92f0"/>
    <ds:schemaRef ds:uri="f97ad6f6-1c40-4f87-86d1-98db3703d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012C4-696C-4ECB-A03F-970942A52617}">
  <ds:schemaRefs>
    <ds:schemaRef ds:uri="http://schemas.microsoft.com/office/2006/metadata/properties"/>
    <ds:schemaRef ds:uri="http://schemas.microsoft.com/office/infopath/2007/PartnerControls"/>
    <ds:schemaRef ds:uri="97e57212-3e02-407f-8b2d-05f7d7f19b15"/>
  </ds:schemaRefs>
</ds:datastoreItem>
</file>

<file path=customXml/itemProps4.xml><?xml version="1.0" encoding="utf-8"?>
<ds:datastoreItem xmlns:ds="http://schemas.openxmlformats.org/officeDocument/2006/customXml" ds:itemID="{4FC3C0B7-7DDE-495F-ADA5-A3976EC54F0D}">
  <ds:schemaRefs>
    <ds:schemaRef ds:uri="http://schemas.microsoft.com/sharepoint/v3/contenttype/forms"/>
  </ds:schemaRefs>
</ds:datastoreItem>
</file>

<file path=customXml/itemProps5.xml><?xml version="1.0" encoding="utf-8"?>
<ds:datastoreItem xmlns:ds="http://schemas.openxmlformats.org/officeDocument/2006/customXml" ds:itemID="{B745850C-CA94-4361-BDD9-BBC81BC6E97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Liquid Web Inc.</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Ciccone</dc:creator>
  <cp:keywords/>
  <dc:description/>
  <cp:lastModifiedBy>Hughes, Jeff</cp:lastModifiedBy>
  <cp:revision>3</cp:revision>
  <dcterms:created xsi:type="dcterms:W3CDTF">2023-12-12T20:16:00Z</dcterms:created>
  <dcterms:modified xsi:type="dcterms:W3CDTF">2023-12-12T20:18:00Z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0x010100248415D4BA07FC4FA0E8180F912AC136</vt:lpwstr>
  </property>
  <property fmtid="{D5CDD505-2E9C-101B-9397-08002B2CF9AE}" pid="3" name="pgeRecordCategory">
    <vt:lpwstr/>
  </property>
  <property fmtid="{D5CDD505-2E9C-101B-9397-08002B2CF9AE}" pid="4" name="MSIP_Label_64fb56ae-b253-43b2-ae76-5b0fef4d3037_Enabled">
    <vt:lpwstr>true</vt:lpwstr>
  </property>
  <property fmtid="{D5CDD505-2E9C-101B-9397-08002B2CF9AE}" pid="5" name="MSIP_Label_64fb56ae-b253-43b2-ae76-5b0fef4d3037_SetDate">
    <vt:lpwstr>2023-12-12T20:16:06Z</vt:lpwstr>
  </property>
  <property fmtid="{D5CDD505-2E9C-101B-9397-08002B2CF9AE}" pid="6" name="MSIP_Label_64fb56ae-b253-43b2-ae76-5b0fef4d3037_Method">
    <vt:lpwstr>Privileged</vt:lpwstr>
  </property>
  <property fmtid="{D5CDD505-2E9C-101B-9397-08002B2CF9AE}" pid="7" name="MSIP_Label_64fb56ae-b253-43b2-ae76-5b0fef4d3037_Name">
    <vt:lpwstr>Internal (With Markings)</vt:lpwstr>
  </property>
  <property fmtid="{D5CDD505-2E9C-101B-9397-08002B2CF9AE}" pid="8" name="MSIP_Label_64fb56ae-b253-43b2-ae76-5b0fef4d3037_SiteId">
    <vt:lpwstr>44ae661a-ece6-41aa-bc96-7c2c85a08941</vt:lpwstr>
  </property>
  <property fmtid="{D5CDD505-2E9C-101B-9397-08002B2CF9AE}" pid="9" name="MSIP_Label_64fb56ae-b253-43b2-ae76-5b0fef4d3037_ActionId">
    <vt:lpwstr>5925bebb-094d-4cb6-a668-f8995bb7f6d6</vt:lpwstr>
  </property>
  <property fmtid="{D5CDD505-2E9C-101B-9397-08002B2CF9AE}" pid="10" name="MSIP_Label_64fb56ae-b253-43b2-ae76-5b0fef4d3037_ContentBits">
    <vt:lpwstr>3</vt:lpwstr>
  </property>
</Properties>
</file>