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001D38" w:rsidP="00A63896">
      <w:pPr>
        <w:pStyle w:val="Title"/>
        <w:spacing w:after="120"/>
      </w:pPr>
      <w:r>
        <w:t>Minutes for Website Committee Conference Call</w:t>
      </w:r>
    </w:p>
    <w:p w:rsidR="006F6157" w:rsidRDefault="006F6157" w:rsidP="006F6157">
      <w:pPr>
        <w:pStyle w:val="Title"/>
      </w:pPr>
      <w:r>
        <w:t xml:space="preserve">Wednesday, </w:t>
      </w:r>
      <w:r w:rsidR="008D7DDE">
        <w:t>April 6</w:t>
      </w:r>
      <w:r w:rsidR="00AF5C73">
        <w:t>, 2016, 2:00 P</w:t>
      </w:r>
      <w:r>
        <w:t>M PST</w:t>
      </w:r>
    </w:p>
    <w:p w:rsidR="00001D38" w:rsidRDefault="00001D38" w:rsidP="00A63896">
      <w:pPr>
        <w:pStyle w:val="Title"/>
        <w:spacing w:after="120"/>
      </w:pPr>
    </w:p>
    <w:p w:rsidR="00001D38" w:rsidRDefault="00001D38" w:rsidP="00A63896">
      <w:pPr>
        <w:spacing w:after="120"/>
      </w:pPr>
      <w:r>
        <w:rPr>
          <w:b/>
          <w:bCs/>
        </w:rPr>
        <w:t>Attendees</w:t>
      </w:r>
      <w:r>
        <w:t>:</w:t>
      </w:r>
    </w:p>
    <w:p w:rsidR="00387A51" w:rsidRDefault="008D7DDE" w:rsidP="00387A51">
      <w:pPr>
        <w:ind w:firstLine="720"/>
      </w:pPr>
      <w:proofErr w:type="spellStart"/>
      <w:r>
        <w:t>Shahana</w:t>
      </w:r>
      <w:proofErr w:type="spellEnd"/>
      <w:r>
        <w:t xml:space="preserve"> </w:t>
      </w:r>
      <w:proofErr w:type="spellStart"/>
      <w:r>
        <w:t>Samiullah</w:t>
      </w:r>
      <w:proofErr w:type="spellEnd"/>
      <w:r w:rsidR="00BD4D57">
        <w:t xml:space="preserve"> – SCE</w:t>
      </w:r>
      <w:r w:rsidR="00387A51" w:rsidRPr="00387A51">
        <w:t xml:space="preserve"> </w:t>
      </w:r>
    </w:p>
    <w:p w:rsidR="006F6157" w:rsidRDefault="006F6157" w:rsidP="006F6157">
      <w:pPr>
        <w:ind w:left="720"/>
      </w:pPr>
      <w:r>
        <w:t xml:space="preserve">Loan Nguyen – </w:t>
      </w:r>
      <w:proofErr w:type="spellStart"/>
      <w:r>
        <w:t>SoCalGas</w:t>
      </w:r>
      <w:proofErr w:type="spellEnd"/>
      <w:r>
        <w:t xml:space="preserve"> </w:t>
      </w:r>
    </w:p>
    <w:p w:rsidR="0014788C" w:rsidRDefault="0014788C" w:rsidP="0014788C">
      <w:pPr>
        <w:ind w:left="720"/>
      </w:pPr>
      <w:r>
        <w:t xml:space="preserve">Mona </w:t>
      </w:r>
      <w:proofErr w:type="spellStart"/>
      <w:r>
        <w:t>Dzvova</w:t>
      </w:r>
      <w:proofErr w:type="spellEnd"/>
      <w:r>
        <w:t xml:space="preserve"> – CPUC</w:t>
      </w:r>
      <w:r w:rsidRPr="00BD4D57">
        <w:t xml:space="preserve"> </w:t>
      </w:r>
    </w:p>
    <w:p w:rsidR="00387A51" w:rsidRDefault="00387A51" w:rsidP="00387A51">
      <w:pPr>
        <w:ind w:firstLine="720"/>
      </w:pPr>
      <w:r>
        <w:t xml:space="preserve">Tim Caulfield – Caulfield Consulting (Website Administrator) </w:t>
      </w:r>
    </w:p>
    <w:p w:rsidR="00BD4D57" w:rsidRDefault="00BD4D57" w:rsidP="00BD4D57">
      <w:pPr>
        <w:ind w:left="720"/>
      </w:pPr>
    </w:p>
    <w:p w:rsidR="006B18E8" w:rsidRDefault="00001D38" w:rsidP="006B18E8">
      <w:r>
        <w:rPr>
          <w:b/>
          <w:bCs/>
        </w:rPr>
        <w:t>Absent</w:t>
      </w:r>
      <w:r w:rsidR="000164D3">
        <w:rPr>
          <w:b/>
          <w:bCs/>
        </w:rPr>
        <w:t>:</w:t>
      </w:r>
      <w:r w:rsidR="00202375" w:rsidRPr="00202375">
        <w:t xml:space="preserve"> </w:t>
      </w:r>
    </w:p>
    <w:p w:rsidR="008D7DDE" w:rsidRDefault="006B18E8" w:rsidP="008D7DDE">
      <w:pPr>
        <w:ind w:left="720"/>
      </w:pPr>
      <w:r>
        <w:t>Cynthia Rogers – CEC</w:t>
      </w:r>
      <w:r w:rsidR="008D7DDE" w:rsidRPr="008D7DDE">
        <w:t xml:space="preserve"> </w:t>
      </w:r>
    </w:p>
    <w:p w:rsidR="008D7DDE" w:rsidRDefault="008D7DDE" w:rsidP="008D7DDE">
      <w:pPr>
        <w:ind w:left="720"/>
      </w:pPr>
      <w:r>
        <w:t>Rob Rubin – SDG&amp;E</w:t>
      </w:r>
      <w:r w:rsidRPr="00EB1140">
        <w:t xml:space="preserve"> </w:t>
      </w:r>
    </w:p>
    <w:p w:rsidR="0024596D" w:rsidRDefault="0024596D" w:rsidP="0024596D">
      <w:pPr>
        <w:ind w:left="720"/>
      </w:pPr>
      <w:r>
        <w:t xml:space="preserve">Brian Smith – PG&amp;E </w:t>
      </w:r>
    </w:p>
    <w:p w:rsidR="00001D38" w:rsidRDefault="00001D38" w:rsidP="00FF1EEC">
      <w:pPr>
        <w:pStyle w:val="Heading5"/>
        <w:spacing w:before="240" w:after="120"/>
      </w:pPr>
      <w:r>
        <w:t>Executive Summary</w:t>
      </w:r>
    </w:p>
    <w:p w:rsidR="00001D38" w:rsidRPr="00860492" w:rsidRDefault="00001D38" w:rsidP="007245F7">
      <w:pPr>
        <w:spacing w:after="80"/>
        <w:rPr>
          <w:b/>
        </w:rPr>
      </w:pPr>
      <w:r>
        <w:t xml:space="preserve">The CALMAC Website Committee held </w:t>
      </w:r>
      <w:r w:rsidR="00CE2F48">
        <w:t>a</w:t>
      </w:r>
      <w:r w:rsidR="008D7DDE">
        <w:t>n unscheduled</w:t>
      </w:r>
      <w:r w:rsidR="00E2146E">
        <w:t xml:space="preserve"> </w:t>
      </w:r>
      <w:r>
        <w:t xml:space="preserve">conference call to </w:t>
      </w:r>
      <w:r w:rsidR="008D7DDE">
        <w:t>address how to post Response to Recommendations to the CALMAC Searchable Database</w:t>
      </w:r>
      <w:r w:rsidR="0014788C">
        <w:t xml:space="preserve">. </w:t>
      </w:r>
      <w:r w:rsidR="0024596D">
        <w:t xml:space="preserve">Options for cross referencing CPUC work order numbers, or similar numbers, with the CALMAC Study IDs were discussed. </w:t>
      </w:r>
      <w:r w:rsidR="00192929">
        <w:t>Next call</w:t>
      </w:r>
      <w:r w:rsidR="00192929" w:rsidRPr="0000497A">
        <w:t xml:space="preserve"> </w:t>
      </w:r>
      <w:r w:rsidR="005F5585">
        <w:t xml:space="preserve">is scheduled for </w:t>
      </w:r>
      <w:r w:rsidR="00192929">
        <w:t xml:space="preserve">Wednesday, </w:t>
      </w:r>
      <w:r w:rsidR="008D7DDE">
        <w:t>May</w:t>
      </w:r>
      <w:r w:rsidR="0024596D">
        <w:t xml:space="preserve"> </w:t>
      </w:r>
      <w:r w:rsidR="008D7DDE">
        <w:t>6</w:t>
      </w:r>
      <w:r w:rsidR="005F5585">
        <w:t>, 2016 at 2:00 PM PD</w:t>
      </w:r>
      <w:r w:rsidR="00192929">
        <w:t>T.</w:t>
      </w:r>
    </w:p>
    <w:p w:rsidR="00001D38" w:rsidRPr="008D7DDE" w:rsidRDefault="00001D38" w:rsidP="007245F7">
      <w:pPr>
        <w:spacing w:before="240" w:after="80"/>
        <w:rPr>
          <w:bCs/>
        </w:rPr>
      </w:pPr>
      <w:r w:rsidRPr="008D7DDE">
        <w:rPr>
          <w:b/>
          <w:bCs/>
        </w:rPr>
        <w:t>Minut</w:t>
      </w:r>
      <w:r w:rsidR="00554F22" w:rsidRPr="008D7DDE">
        <w:rPr>
          <w:b/>
          <w:bCs/>
        </w:rPr>
        <w:t xml:space="preserve">es of Conference Call </w:t>
      </w:r>
      <w:r w:rsidR="007A7483" w:rsidRPr="008D7DDE">
        <w:rPr>
          <w:b/>
          <w:bCs/>
        </w:rPr>
        <w:t>–</w:t>
      </w:r>
      <w:r w:rsidR="00554F22" w:rsidRPr="008D7DDE">
        <w:rPr>
          <w:b/>
          <w:bCs/>
        </w:rPr>
        <w:t xml:space="preserve"> </w:t>
      </w:r>
      <w:r w:rsidR="007A7483" w:rsidRPr="008D7DDE">
        <w:rPr>
          <w:bCs/>
        </w:rPr>
        <w:t>The conference call was called to order</w:t>
      </w:r>
      <w:r w:rsidR="00BA30C0" w:rsidRPr="008D7DDE">
        <w:rPr>
          <w:bCs/>
        </w:rPr>
        <w:t xml:space="preserve"> at </w:t>
      </w:r>
      <w:r w:rsidR="008D7DDE" w:rsidRPr="008D7DDE">
        <w:rPr>
          <w:bCs/>
        </w:rPr>
        <w:t>2:00</w:t>
      </w:r>
      <w:r w:rsidRPr="008D7DDE">
        <w:rPr>
          <w:bCs/>
        </w:rPr>
        <w:t xml:space="preserve"> </w:t>
      </w:r>
      <w:r w:rsidR="004D10E3" w:rsidRPr="008D7DDE">
        <w:rPr>
          <w:bCs/>
        </w:rPr>
        <w:t>P</w:t>
      </w:r>
      <w:r w:rsidRPr="008D7DDE">
        <w:rPr>
          <w:bCs/>
        </w:rPr>
        <w:t>M</w:t>
      </w:r>
      <w:r w:rsidR="005F5585">
        <w:rPr>
          <w:bCs/>
        </w:rPr>
        <w:t xml:space="preserve"> PD</w:t>
      </w:r>
      <w:r w:rsidR="00AD426F" w:rsidRPr="008D7DDE">
        <w:rPr>
          <w:bCs/>
        </w:rPr>
        <w:t>T.</w:t>
      </w:r>
    </w:p>
    <w:p w:rsidR="00D53632" w:rsidRDefault="008D7DDE" w:rsidP="007245F7">
      <w:pPr>
        <w:spacing w:after="80"/>
      </w:pPr>
      <w:r w:rsidRPr="007D78A2">
        <w:rPr>
          <w:bCs/>
          <w:i/>
        </w:rPr>
        <w:t>Discussion about posting Response to Recommendations</w:t>
      </w:r>
      <w:r w:rsidRPr="008D7DDE">
        <w:rPr>
          <w:bCs/>
        </w:rPr>
        <w:t xml:space="preserve"> </w:t>
      </w:r>
      <w:r w:rsidR="007245F7">
        <w:rPr>
          <w:bCs/>
        </w:rPr>
        <w:t xml:space="preserve">(RTR) </w:t>
      </w:r>
      <w:r w:rsidRPr="008D7DDE">
        <w:rPr>
          <w:bCs/>
        </w:rPr>
        <w:t xml:space="preserve">– </w:t>
      </w:r>
      <w:r w:rsidR="00D53632">
        <w:t xml:space="preserve">Two suggestions </w:t>
      </w:r>
      <w:r w:rsidR="005F5585">
        <w:t>had</w:t>
      </w:r>
      <w:r w:rsidR="00D53632">
        <w:t xml:space="preserve"> been proposed: (A) Replacing the Non-Technical Overview document </w:t>
      </w:r>
      <w:r w:rsidR="005F5585">
        <w:t>at the bottom of the main report</w:t>
      </w:r>
      <w:r w:rsidR="005F5585">
        <w:t xml:space="preserve"> </w:t>
      </w:r>
      <w:r w:rsidR="00D53632">
        <w:t>with the RTR. (B) Adding the RTR as an appendix to the report.</w:t>
      </w:r>
    </w:p>
    <w:p w:rsidR="00D53632" w:rsidRDefault="00D53632" w:rsidP="007245F7">
      <w:pPr>
        <w:spacing w:after="80"/>
      </w:pPr>
      <w:r>
        <w:t>Since this issue came up</w:t>
      </w:r>
      <w:r w:rsidR="007245F7">
        <w:t>,</w:t>
      </w:r>
      <w:r>
        <w:t xml:space="preserve"> one of the consultants working on posting the RTRs for SCG pointed out that on some occasions there will be more than one RTR per program. This fact pretty much eliminates the idea of using the Non-Technical Overview link, since there is only space for one report per link.</w:t>
      </w:r>
      <w:r w:rsidR="0024596D">
        <w:t xml:space="preserve"> After discussion, and demonstration of how it would appear on the report retrievals, </w:t>
      </w:r>
      <w:r w:rsidR="0024596D" w:rsidRPr="005F5585">
        <w:rPr>
          <w:b/>
        </w:rPr>
        <w:t>the Committee decided that the best option was post the RTRs as appendices to the respective reports</w:t>
      </w:r>
      <w:r w:rsidR="0024596D">
        <w:t>.</w:t>
      </w:r>
    </w:p>
    <w:p w:rsidR="008D7DDE" w:rsidRDefault="008D7DDE" w:rsidP="007245F7">
      <w:pPr>
        <w:spacing w:before="240" w:after="80"/>
        <w:rPr>
          <w:bCs/>
        </w:rPr>
      </w:pPr>
      <w:r w:rsidRPr="007D78A2">
        <w:rPr>
          <w:bCs/>
          <w:i/>
        </w:rPr>
        <w:t>CALAMC Study ID question</w:t>
      </w:r>
      <w:r w:rsidRPr="0024596D">
        <w:rPr>
          <w:bCs/>
        </w:rPr>
        <w:t xml:space="preserve"> – </w:t>
      </w:r>
      <w:r w:rsidR="0024596D">
        <w:rPr>
          <w:bCs/>
        </w:rPr>
        <w:t xml:space="preserve">Loan Nguyen wondered how the CALMAC Study IDs were issued and how they are structured. Tim Caulfield explained that they are issued on request </w:t>
      </w:r>
      <w:r w:rsidR="007245F7">
        <w:rPr>
          <w:bCs/>
        </w:rPr>
        <w:t>from</w:t>
      </w:r>
      <w:r w:rsidR="0024596D">
        <w:rPr>
          <w:bCs/>
        </w:rPr>
        <w:t xml:space="preserve"> the study manager, and the only information required is the name of the stu</w:t>
      </w:r>
      <w:r w:rsidR="00B44F63">
        <w:rPr>
          <w:bCs/>
        </w:rPr>
        <w:t xml:space="preserve">dy sponsor and the title off the cover of the report. The study sponsor is the entity who is requesting the study, or issuing the RFP for the work. Usually this coincides with who is paying for the study, but not always. The study sponsor is almost always one of the utilities or the CPUC. The title of the study report is used as a proxy for the “program” being studied. The use of the term “program” here is a generic term, covering both actual programs such as SCE </w:t>
      </w:r>
      <w:r w:rsidR="00577297">
        <w:rPr>
          <w:bCs/>
        </w:rPr>
        <w:t xml:space="preserve">2016 </w:t>
      </w:r>
      <w:r w:rsidR="00B44F63">
        <w:rPr>
          <w:bCs/>
        </w:rPr>
        <w:t>Non Residential New Construction, but it also can cover study efforts such as a white paper on statewide new construction markets.</w:t>
      </w:r>
    </w:p>
    <w:p w:rsidR="00B44F63" w:rsidRDefault="00B44F63" w:rsidP="007245F7">
      <w:pPr>
        <w:spacing w:before="240" w:after="80"/>
        <w:rPr>
          <w:bCs/>
        </w:rPr>
      </w:pPr>
      <w:r>
        <w:rPr>
          <w:bCs/>
        </w:rPr>
        <w:t xml:space="preserve">The CALMAC Study ID is structured as follows: AAA0000.00. The three letter alphabetical prefix is some alphabetic code indicating the entity sponsoring the study (e.g., SCE = SCE, CPUC is shortened to CPU, PG&amp;E = PGE, SDG&amp;E </w:t>
      </w:r>
      <w:r w:rsidR="007245F7">
        <w:rPr>
          <w:bCs/>
        </w:rPr>
        <w:t>= SDG, SCG =</w:t>
      </w:r>
      <w:r>
        <w:rPr>
          <w:bCs/>
        </w:rPr>
        <w:t xml:space="preserve"> </w:t>
      </w:r>
      <w:r>
        <w:rPr>
          <w:bCs/>
        </w:rPr>
        <w:lastRenderedPageBreak/>
        <w:t xml:space="preserve">SCG, etc.). The four digit number </w:t>
      </w:r>
      <w:r w:rsidR="007245F7">
        <w:rPr>
          <w:bCs/>
        </w:rPr>
        <w:t>between the alphabetic code and</w:t>
      </w:r>
      <w:r>
        <w:rPr>
          <w:bCs/>
        </w:rPr>
        <w:t xml:space="preserve"> the decimal point </w:t>
      </w:r>
      <w:r w:rsidR="00577297">
        <w:rPr>
          <w:bCs/>
        </w:rPr>
        <w:t xml:space="preserve">is intended to be unique to the “program”. For example, if the </w:t>
      </w:r>
      <w:r w:rsidR="007245F7">
        <w:rPr>
          <w:bCs/>
        </w:rPr>
        <w:t xml:space="preserve">CALMAC Study ID is SCE1234 </w:t>
      </w:r>
      <w:r w:rsidR="00577297">
        <w:rPr>
          <w:bCs/>
        </w:rPr>
        <w:t>for the SCE</w:t>
      </w:r>
      <w:r w:rsidR="00577297" w:rsidRPr="00577297">
        <w:rPr>
          <w:bCs/>
        </w:rPr>
        <w:t xml:space="preserve"> </w:t>
      </w:r>
      <w:r w:rsidR="00577297">
        <w:rPr>
          <w:bCs/>
        </w:rPr>
        <w:t xml:space="preserve">2016 </w:t>
      </w:r>
      <w:r w:rsidR="00577297">
        <w:rPr>
          <w:bCs/>
        </w:rPr>
        <w:t>Non Residential New Construction</w:t>
      </w:r>
      <w:r w:rsidR="007245F7">
        <w:rPr>
          <w:bCs/>
        </w:rPr>
        <w:t xml:space="preserve"> Program,</w:t>
      </w:r>
      <w:r w:rsidR="00577297">
        <w:rPr>
          <w:bCs/>
        </w:rPr>
        <w:t xml:space="preserve"> then </w:t>
      </w:r>
      <w:r w:rsidR="00577297">
        <w:rPr>
          <w:bCs/>
        </w:rPr>
        <w:t xml:space="preserve">all studies done </w:t>
      </w:r>
      <w:r w:rsidR="00577297">
        <w:rPr>
          <w:bCs/>
        </w:rPr>
        <w:t>for that program would be poste</w:t>
      </w:r>
      <w:r w:rsidR="007245F7">
        <w:rPr>
          <w:bCs/>
        </w:rPr>
        <w:t>d</w:t>
      </w:r>
      <w:r w:rsidR="00577297">
        <w:rPr>
          <w:bCs/>
        </w:rPr>
        <w:t xml:space="preserve"> </w:t>
      </w:r>
      <w:r w:rsidR="00CA26A1">
        <w:rPr>
          <w:bCs/>
        </w:rPr>
        <w:t>using</w:t>
      </w:r>
      <w:r w:rsidR="007245F7">
        <w:rPr>
          <w:bCs/>
        </w:rPr>
        <w:t xml:space="preserve"> that study ID</w:t>
      </w:r>
      <w:r w:rsidR="00577297">
        <w:rPr>
          <w:bCs/>
        </w:rPr>
        <w:t xml:space="preserve"> for that program. The individual study reports would be distinguished by the values of the two digit numeric code after the decimal point. So if there was an impact study, a process study and a market study for this hypothetical program, then the application of the individual CALMAC Study IDs might fall as follows:</w:t>
      </w:r>
    </w:p>
    <w:p w:rsidR="00577297" w:rsidRDefault="00577297" w:rsidP="007245F7">
      <w:pPr>
        <w:spacing w:before="240" w:after="80"/>
        <w:rPr>
          <w:bCs/>
        </w:rPr>
      </w:pPr>
      <w:r>
        <w:rPr>
          <w:bCs/>
        </w:rPr>
        <w:t xml:space="preserve">SCE1234.01 – </w:t>
      </w:r>
      <w:r>
        <w:rPr>
          <w:bCs/>
        </w:rPr>
        <w:t>SCE</w:t>
      </w:r>
      <w:r w:rsidRPr="00577297">
        <w:rPr>
          <w:bCs/>
        </w:rPr>
        <w:t xml:space="preserve"> </w:t>
      </w:r>
      <w:r>
        <w:rPr>
          <w:bCs/>
        </w:rPr>
        <w:t>2016 Non Residential New Construction</w:t>
      </w:r>
      <w:r>
        <w:rPr>
          <w:bCs/>
        </w:rPr>
        <w:t xml:space="preserve"> Impact Evaluation Report</w:t>
      </w:r>
    </w:p>
    <w:p w:rsidR="00577297" w:rsidRDefault="00577297" w:rsidP="007245F7">
      <w:pPr>
        <w:spacing w:before="240" w:after="80"/>
        <w:ind w:left="720"/>
        <w:rPr>
          <w:bCs/>
        </w:rPr>
      </w:pPr>
      <w:r>
        <w:rPr>
          <w:bCs/>
        </w:rPr>
        <w:t>SCE1234.02</w:t>
      </w:r>
      <w:r>
        <w:rPr>
          <w:bCs/>
        </w:rPr>
        <w:t xml:space="preserve"> – SCE</w:t>
      </w:r>
      <w:r w:rsidRPr="00577297">
        <w:rPr>
          <w:bCs/>
        </w:rPr>
        <w:t xml:space="preserve"> </w:t>
      </w:r>
      <w:r>
        <w:rPr>
          <w:bCs/>
        </w:rPr>
        <w:t>2016 Non Residential New Construction Impact Evaluation Report</w:t>
      </w:r>
      <w:r>
        <w:rPr>
          <w:bCs/>
        </w:rPr>
        <w:t xml:space="preserve"> – Appendices Volume 1</w:t>
      </w:r>
    </w:p>
    <w:p w:rsidR="00577297" w:rsidRDefault="00577297" w:rsidP="007245F7">
      <w:pPr>
        <w:spacing w:before="240" w:after="80"/>
        <w:ind w:left="720"/>
        <w:rPr>
          <w:bCs/>
        </w:rPr>
      </w:pPr>
      <w:r>
        <w:rPr>
          <w:bCs/>
        </w:rPr>
        <w:t>SCE12</w:t>
      </w:r>
      <w:r>
        <w:rPr>
          <w:bCs/>
        </w:rPr>
        <w:t>34.03</w:t>
      </w:r>
      <w:r>
        <w:rPr>
          <w:bCs/>
        </w:rPr>
        <w:t xml:space="preserve"> – SCE</w:t>
      </w:r>
      <w:r w:rsidRPr="00577297">
        <w:rPr>
          <w:bCs/>
        </w:rPr>
        <w:t xml:space="preserve"> </w:t>
      </w:r>
      <w:r>
        <w:rPr>
          <w:bCs/>
        </w:rPr>
        <w:t xml:space="preserve">2016 Non Residential New Construction Impact Evaluation Report – Appendices </w:t>
      </w:r>
      <w:r>
        <w:rPr>
          <w:bCs/>
        </w:rPr>
        <w:t>Volume 2</w:t>
      </w:r>
    </w:p>
    <w:p w:rsidR="00577297" w:rsidRDefault="00577297" w:rsidP="007245F7">
      <w:pPr>
        <w:spacing w:before="240" w:after="80"/>
        <w:rPr>
          <w:bCs/>
        </w:rPr>
      </w:pPr>
      <w:r>
        <w:rPr>
          <w:bCs/>
        </w:rPr>
        <w:t>SCE1234.04</w:t>
      </w:r>
      <w:r>
        <w:rPr>
          <w:bCs/>
        </w:rPr>
        <w:t xml:space="preserve"> – SCE</w:t>
      </w:r>
      <w:r w:rsidRPr="00577297">
        <w:rPr>
          <w:bCs/>
        </w:rPr>
        <w:t xml:space="preserve"> </w:t>
      </w:r>
      <w:r>
        <w:rPr>
          <w:bCs/>
        </w:rPr>
        <w:t xml:space="preserve">2016 Non Residential New Construction </w:t>
      </w:r>
      <w:r>
        <w:rPr>
          <w:bCs/>
        </w:rPr>
        <w:t>Process</w:t>
      </w:r>
      <w:r>
        <w:rPr>
          <w:bCs/>
        </w:rPr>
        <w:t xml:space="preserve"> Evaluation Report</w:t>
      </w:r>
    </w:p>
    <w:p w:rsidR="00927D07" w:rsidRDefault="00927D07" w:rsidP="007245F7">
      <w:pPr>
        <w:spacing w:before="240" w:after="80"/>
        <w:ind w:left="720"/>
        <w:rPr>
          <w:bCs/>
        </w:rPr>
      </w:pPr>
      <w:r>
        <w:rPr>
          <w:bCs/>
        </w:rPr>
        <w:t>SCE12</w:t>
      </w:r>
      <w:r>
        <w:rPr>
          <w:bCs/>
        </w:rPr>
        <w:t>34.05</w:t>
      </w:r>
      <w:r>
        <w:rPr>
          <w:bCs/>
        </w:rPr>
        <w:t xml:space="preserve"> – SCE</w:t>
      </w:r>
      <w:r w:rsidRPr="00577297">
        <w:rPr>
          <w:bCs/>
        </w:rPr>
        <w:t xml:space="preserve"> </w:t>
      </w:r>
      <w:r>
        <w:rPr>
          <w:bCs/>
        </w:rPr>
        <w:t xml:space="preserve">2016 Non Residential New Construction </w:t>
      </w:r>
      <w:r>
        <w:rPr>
          <w:bCs/>
        </w:rPr>
        <w:t>Process</w:t>
      </w:r>
      <w:r>
        <w:rPr>
          <w:bCs/>
        </w:rPr>
        <w:t xml:space="preserve"> Evaluation Report –</w:t>
      </w:r>
      <w:r>
        <w:rPr>
          <w:bCs/>
        </w:rPr>
        <w:t xml:space="preserve"> Appendices</w:t>
      </w:r>
    </w:p>
    <w:p w:rsidR="00927D07" w:rsidRDefault="00927D07" w:rsidP="007245F7">
      <w:pPr>
        <w:spacing w:before="240" w:after="80"/>
        <w:rPr>
          <w:bCs/>
        </w:rPr>
      </w:pPr>
      <w:r>
        <w:rPr>
          <w:bCs/>
        </w:rPr>
        <w:t>SCE1234.06</w:t>
      </w:r>
      <w:r>
        <w:rPr>
          <w:bCs/>
        </w:rPr>
        <w:t xml:space="preserve"> – SCE</w:t>
      </w:r>
      <w:r w:rsidRPr="00577297">
        <w:rPr>
          <w:bCs/>
        </w:rPr>
        <w:t xml:space="preserve"> </w:t>
      </w:r>
      <w:r>
        <w:rPr>
          <w:bCs/>
        </w:rPr>
        <w:t xml:space="preserve">2016 Non Residential New Construction </w:t>
      </w:r>
      <w:r>
        <w:rPr>
          <w:bCs/>
        </w:rPr>
        <w:t>Market</w:t>
      </w:r>
      <w:r>
        <w:rPr>
          <w:bCs/>
        </w:rPr>
        <w:t xml:space="preserve"> Evaluation Report</w:t>
      </w:r>
    </w:p>
    <w:p w:rsidR="00927D07" w:rsidRDefault="00927D07" w:rsidP="007245F7">
      <w:pPr>
        <w:spacing w:before="240" w:after="80"/>
        <w:ind w:left="720"/>
        <w:rPr>
          <w:bCs/>
        </w:rPr>
      </w:pPr>
      <w:r>
        <w:rPr>
          <w:bCs/>
        </w:rPr>
        <w:t>SCE12</w:t>
      </w:r>
      <w:r>
        <w:rPr>
          <w:bCs/>
        </w:rPr>
        <w:t>34.07</w:t>
      </w:r>
      <w:r>
        <w:rPr>
          <w:bCs/>
        </w:rPr>
        <w:t xml:space="preserve"> – SCE</w:t>
      </w:r>
      <w:r w:rsidRPr="00577297">
        <w:rPr>
          <w:bCs/>
        </w:rPr>
        <w:t xml:space="preserve"> </w:t>
      </w:r>
      <w:r>
        <w:rPr>
          <w:bCs/>
        </w:rPr>
        <w:t xml:space="preserve">2016 Non Residential New Construction </w:t>
      </w:r>
      <w:r>
        <w:rPr>
          <w:bCs/>
        </w:rPr>
        <w:t>Market</w:t>
      </w:r>
      <w:r>
        <w:rPr>
          <w:bCs/>
        </w:rPr>
        <w:t xml:space="preserve"> Evaluation Report – Appendices</w:t>
      </w:r>
    </w:p>
    <w:p w:rsidR="00927D07" w:rsidRDefault="00927D07" w:rsidP="007245F7">
      <w:pPr>
        <w:spacing w:before="240" w:after="80"/>
        <w:rPr>
          <w:bCs/>
        </w:rPr>
      </w:pPr>
      <w:r>
        <w:rPr>
          <w:bCs/>
        </w:rPr>
        <w:t>An important detail to explain is that CALMAC only issues or defines the first seven digits of the Study code (</w:t>
      </w:r>
      <w:r w:rsidR="00CA26A1">
        <w:rPr>
          <w:bCs/>
        </w:rPr>
        <w:t>e.g., the</w:t>
      </w:r>
      <w:r>
        <w:rPr>
          <w:bCs/>
        </w:rPr>
        <w:t xml:space="preserve"> SCE1234 portion), and the user defines the application of the values after the decimal point (SCE1234.</w:t>
      </w:r>
      <w:r w:rsidRPr="00927D07">
        <w:rPr>
          <w:bCs/>
          <w:u w:val="single"/>
        </w:rPr>
        <w:t>01</w:t>
      </w:r>
      <w:r>
        <w:rPr>
          <w:bCs/>
        </w:rPr>
        <w:t xml:space="preserve"> etc.). This means that after the CALMAC Study ID is issued, the end user has quite a bit of freedom in applying the code to the various reports submitted to the database. For example, the end user could have chosen to use the following structure for the reports listed above:</w:t>
      </w:r>
    </w:p>
    <w:p w:rsidR="00927D07" w:rsidRDefault="00927D07" w:rsidP="007245F7">
      <w:pPr>
        <w:spacing w:before="240" w:after="80"/>
        <w:rPr>
          <w:bCs/>
        </w:rPr>
      </w:pPr>
      <w:r>
        <w:rPr>
          <w:bCs/>
        </w:rPr>
        <w:t>SCE1234.01 – SCE</w:t>
      </w:r>
      <w:r w:rsidRPr="00577297">
        <w:rPr>
          <w:bCs/>
        </w:rPr>
        <w:t xml:space="preserve"> </w:t>
      </w:r>
      <w:r>
        <w:rPr>
          <w:bCs/>
        </w:rPr>
        <w:t>2016 Non Residential New Construction Impact Evaluation Report</w:t>
      </w:r>
    </w:p>
    <w:p w:rsidR="00927D07" w:rsidRDefault="00927D07" w:rsidP="007245F7">
      <w:pPr>
        <w:spacing w:before="240" w:after="80"/>
        <w:ind w:left="720"/>
        <w:rPr>
          <w:bCs/>
        </w:rPr>
      </w:pPr>
      <w:r>
        <w:rPr>
          <w:bCs/>
        </w:rPr>
        <w:t>SCE1234.02 – SCE</w:t>
      </w:r>
      <w:r w:rsidRPr="00577297">
        <w:rPr>
          <w:bCs/>
        </w:rPr>
        <w:t xml:space="preserve"> </w:t>
      </w:r>
      <w:r>
        <w:rPr>
          <w:bCs/>
        </w:rPr>
        <w:t>2016 Non Residential New Construction Impact Evaluation Report – Appendices Volume 1</w:t>
      </w:r>
    </w:p>
    <w:p w:rsidR="00927D07" w:rsidRDefault="00927D07" w:rsidP="007245F7">
      <w:pPr>
        <w:spacing w:before="240" w:after="80"/>
        <w:ind w:left="720"/>
        <w:rPr>
          <w:bCs/>
        </w:rPr>
      </w:pPr>
      <w:r>
        <w:rPr>
          <w:bCs/>
        </w:rPr>
        <w:t>SCE1234.03 – SCE</w:t>
      </w:r>
      <w:r w:rsidRPr="00577297">
        <w:rPr>
          <w:bCs/>
        </w:rPr>
        <w:t xml:space="preserve"> </w:t>
      </w:r>
      <w:r>
        <w:rPr>
          <w:bCs/>
        </w:rPr>
        <w:t>2016 Non Residential New Construction Impact Evaluation Report – Appendices Volume 2</w:t>
      </w:r>
    </w:p>
    <w:p w:rsidR="00927D07" w:rsidRDefault="00927D07" w:rsidP="007245F7">
      <w:pPr>
        <w:spacing w:before="240" w:after="80"/>
        <w:rPr>
          <w:bCs/>
        </w:rPr>
      </w:pPr>
      <w:r>
        <w:rPr>
          <w:bCs/>
        </w:rPr>
        <w:t>SCE1234.</w:t>
      </w:r>
      <w:r w:rsidRPr="00927D07">
        <w:rPr>
          <w:bCs/>
          <w:highlight w:val="yellow"/>
        </w:rPr>
        <w:t>10</w:t>
      </w:r>
      <w:r>
        <w:rPr>
          <w:bCs/>
        </w:rPr>
        <w:t xml:space="preserve"> – SCE</w:t>
      </w:r>
      <w:r w:rsidRPr="00577297">
        <w:rPr>
          <w:bCs/>
        </w:rPr>
        <w:t xml:space="preserve"> </w:t>
      </w:r>
      <w:r>
        <w:rPr>
          <w:bCs/>
        </w:rPr>
        <w:t>2016 Non Residential New Construction Process Evaluation Report</w:t>
      </w:r>
    </w:p>
    <w:p w:rsidR="00927D07" w:rsidRDefault="00927D07" w:rsidP="007245F7">
      <w:pPr>
        <w:spacing w:before="240" w:after="80"/>
        <w:ind w:left="720"/>
        <w:rPr>
          <w:bCs/>
        </w:rPr>
      </w:pPr>
      <w:r>
        <w:rPr>
          <w:bCs/>
        </w:rPr>
        <w:t>SCE12</w:t>
      </w:r>
      <w:r>
        <w:rPr>
          <w:bCs/>
        </w:rPr>
        <w:t>34.</w:t>
      </w:r>
      <w:r w:rsidRPr="00927D07">
        <w:rPr>
          <w:bCs/>
          <w:highlight w:val="yellow"/>
        </w:rPr>
        <w:t>11</w:t>
      </w:r>
      <w:r>
        <w:rPr>
          <w:bCs/>
        </w:rPr>
        <w:t xml:space="preserve"> – SCE</w:t>
      </w:r>
      <w:r w:rsidRPr="00577297">
        <w:rPr>
          <w:bCs/>
        </w:rPr>
        <w:t xml:space="preserve"> </w:t>
      </w:r>
      <w:r>
        <w:rPr>
          <w:bCs/>
        </w:rPr>
        <w:t>2016 Non Residential New Construction Process Evaluation Report – Appendices</w:t>
      </w:r>
    </w:p>
    <w:p w:rsidR="00927D07" w:rsidRDefault="00927D07" w:rsidP="007245F7">
      <w:pPr>
        <w:spacing w:before="240" w:after="80"/>
        <w:rPr>
          <w:bCs/>
        </w:rPr>
      </w:pPr>
      <w:r>
        <w:rPr>
          <w:bCs/>
        </w:rPr>
        <w:t>SCE1234.</w:t>
      </w:r>
      <w:r w:rsidRPr="00927D07">
        <w:rPr>
          <w:bCs/>
          <w:highlight w:val="yellow"/>
        </w:rPr>
        <w:t>20</w:t>
      </w:r>
      <w:r>
        <w:rPr>
          <w:bCs/>
        </w:rPr>
        <w:t xml:space="preserve"> – SCE</w:t>
      </w:r>
      <w:r w:rsidRPr="00577297">
        <w:rPr>
          <w:bCs/>
        </w:rPr>
        <w:t xml:space="preserve"> </w:t>
      </w:r>
      <w:r>
        <w:rPr>
          <w:bCs/>
        </w:rPr>
        <w:t>2016 Non Residential New Construction Market Evaluation Report</w:t>
      </w:r>
    </w:p>
    <w:p w:rsidR="00927D07" w:rsidRDefault="00927D07" w:rsidP="007245F7">
      <w:pPr>
        <w:spacing w:before="240" w:after="80"/>
        <w:ind w:left="720"/>
        <w:rPr>
          <w:bCs/>
        </w:rPr>
      </w:pPr>
      <w:r>
        <w:rPr>
          <w:bCs/>
        </w:rPr>
        <w:t>SCE12</w:t>
      </w:r>
      <w:r>
        <w:rPr>
          <w:bCs/>
        </w:rPr>
        <w:t>34.</w:t>
      </w:r>
      <w:r w:rsidRPr="00927D07">
        <w:rPr>
          <w:bCs/>
          <w:highlight w:val="yellow"/>
        </w:rPr>
        <w:t>21</w:t>
      </w:r>
      <w:r>
        <w:rPr>
          <w:bCs/>
        </w:rPr>
        <w:t xml:space="preserve"> – SCE</w:t>
      </w:r>
      <w:r w:rsidRPr="00577297">
        <w:rPr>
          <w:bCs/>
        </w:rPr>
        <w:t xml:space="preserve"> </w:t>
      </w:r>
      <w:r>
        <w:rPr>
          <w:bCs/>
        </w:rPr>
        <w:t>2016 Non Residential New Construction Market Evaluation Report – Appendices</w:t>
      </w:r>
    </w:p>
    <w:p w:rsidR="00927D07" w:rsidRDefault="00927D07" w:rsidP="007245F7">
      <w:pPr>
        <w:spacing w:before="240" w:after="80"/>
        <w:rPr>
          <w:bCs/>
        </w:rPr>
      </w:pPr>
      <w:r>
        <w:rPr>
          <w:bCs/>
        </w:rPr>
        <w:lastRenderedPageBreak/>
        <w:t xml:space="preserve">That structure might seem clearer to that particular end user. And indeed that application of the post decimal codes might make the </w:t>
      </w:r>
      <w:r w:rsidR="00CA26A1">
        <w:rPr>
          <w:bCs/>
        </w:rPr>
        <w:t>posting of the</w:t>
      </w:r>
      <w:r w:rsidR="008574E1">
        <w:rPr>
          <w:bCs/>
        </w:rPr>
        <w:t xml:space="preserve"> RTRs that are posted later in the process </w:t>
      </w:r>
      <w:r w:rsidR="00CA26A1">
        <w:rPr>
          <w:bCs/>
        </w:rPr>
        <w:t xml:space="preserve">appear </w:t>
      </w:r>
      <w:r w:rsidR="008574E1">
        <w:rPr>
          <w:bCs/>
        </w:rPr>
        <w:t>more “rational” in terms of numbering. There is no reason that the post decimal codes need to be sequential. If RTRs were posted well after the reports were posted, under the first scenario they might appear as follows:</w:t>
      </w:r>
    </w:p>
    <w:p w:rsidR="008574E1" w:rsidRDefault="008574E1" w:rsidP="007245F7">
      <w:pPr>
        <w:spacing w:before="240" w:after="80"/>
        <w:rPr>
          <w:bCs/>
        </w:rPr>
      </w:pPr>
      <w:r>
        <w:rPr>
          <w:bCs/>
        </w:rPr>
        <w:t>SCE1234.01 – SCE</w:t>
      </w:r>
      <w:r w:rsidRPr="00577297">
        <w:rPr>
          <w:bCs/>
        </w:rPr>
        <w:t xml:space="preserve"> </w:t>
      </w:r>
      <w:r>
        <w:rPr>
          <w:bCs/>
        </w:rPr>
        <w:t>2016 Non Residential New Construction Impact Evaluation Report</w:t>
      </w:r>
    </w:p>
    <w:p w:rsidR="008574E1" w:rsidRDefault="008574E1" w:rsidP="007245F7">
      <w:pPr>
        <w:spacing w:before="240" w:after="80"/>
        <w:ind w:left="720"/>
        <w:rPr>
          <w:bCs/>
        </w:rPr>
      </w:pPr>
      <w:r>
        <w:rPr>
          <w:bCs/>
        </w:rPr>
        <w:t>SCE1234.02 – SCE</w:t>
      </w:r>
      <w:r w:rsidRPr="00577297">
        <w:rPr>
          <w:bCs/>
        </w:rPr>
        <w:t xml:space="preserve"> </w:t>
      </w:r>
      <w:r>
        <w:rPr>
          <w:bCs/>
        </w:rPr>
        <w:t>2016 Non Residential New Construction Impact Evaluation Report – Appendices Volume 1</w:t>
      </w:r>
    </w:p>
    <w:p w:rsidR="008574E1" w:rsidRDefault="008574E1" w:rsidP="007245F7">
      <w:pPr>
        <w:spacing w:before="240" w:after="80"/>
        <w:ind w:left="720"/>
        <w:rPr>
          <w:bCs/>
        </w:rPr>
      </w:pPr>
      <w:r>
        <w:rPr>
          <w:bCs/>
        </w:rPr>
        <w:t>SCE1234.03 – SCE</w:t>
      </w:r>
      <w:r w:rsidRPr="00577297">
        <w:rPr>
          <w:bCs/>
        </w:rPr>
        <w:t xml:space="preserve"> </w:t>
      </w:r>
      <w:r>
        <w:rPr>
          <w:bCs/>
        </w:rPr>
        <w:t>2016 Non Residential New Construction Impact Evaluation Report – Appendices Volume 2</w:t>
      </w:r>
    </w:p>
    <w:p w:rsidR="008574E1" w:rsidRDefault="008574E1" w:rsidP="007245F7">
      <w:pPr>
        <w:spacing w:before="240" w:after="80"/>
        <w:ind w:left="720"/>
        <w:rPr>
          <w:bCs/>
        </w:rPr>
      </w:pPr>
      <w:r>
        <w:rPr>
          <w:bCs/>
        </w:rPr>
        <w:t>SCE12</w:t>
      </w:r>
      <w:r>
        <w:rPr>
          <w:bCs/>
        </w:rPr>
        <w:t>34.</w:t>
      </w:r>
      <w:r w:rsidRPr="008574E1">
        <w:rPr>
          <w:bCs/>
          <w:highlight w:val="yellow"/>
        </w:rPr>
        <w:t>08</w:t>
      </w:r>
      <w:r>
        <w:rPr>
          <w:bCs/>
        </w:rPr>
        <w:t xml:space="preserve"> – </w:t>
      </w:r>
      <w:r>
        <w:rPr>
          <w:bCs/>
        </w:rPr>
        <w:t xml:space="preserve">Response to Recommendations for </w:t>
      </w:r>
      <w:r>
        <w:rPr>
          <w:bCs/>
        </w:rPr>
        <w:t>SCE</w:t>
      </w:r>
      <w:r w:rsidRPr="00577297">
        <w:rPr>
          <w:bCs/>
        </w:rPr>
        <w:t xml:space="preserve"> </w:t>
      </w:r>
      <w:r>
        <w:rPr>
          <w:bCs/>
        </w:rPr>
        <w:t xml:space="preserve">2016 Non Residential New Construction Impact Evaluation Report </w:t>
      </w:r>
    </w:p>
    <w:p w:rsidR="008574E1" w:rsidRDefault="008574E1" w:rsidP="007245F7">
      <w:pPr>
        <w:spacing w:before="240" w:after="80"/>
        <w:rPr>
          <w:bCs/>
        </w:rPr>
      </w:pPr>
      <w:r>
        <w:rPr>
          <w:bCs/>
        </w:rPr>
        <w:t>SCE1234.04 – SCE</w:t>
      </w:r>
      <w:r w:rsidRPr="00577297">
        <w:rPr>
          <w:bCs/>
        </w:rPr>
        <w:t xml:space="preserve"> </w:t>
      </w:r>
      <w:r>
        <w:rPr>
          <w:bCs/>
        </w:rPr>
        <w:t>2016 Non Residential New Construction Process Evaluation Report</w:t>
      </w:r>
    </w:p>
    <w:p w:rsidR="008574E1" w:rsidRDefault="008574E1" w:rsidP="007245F7">
      <w:pPr>
        <w:spacing w:before="240" w:after="80"/>
        <w:ind w:left="720"/>
        <w:rPr>
          <w:bCs/>
        </w:rPr>
      </w:pPr>
      <w:r>
        <w:rPr>
          <w:bCs/>
        </w:rPr>
        <w:t>SCE1234.05 – SCE</w:t>
      </w:r>
      <w:r w:rsidRPr="00577297">
        <w:rPr>
          <w:bCs/>
        </w:rPr>
        <w:t xml:space="preserve"> </w:t>
      </w:r>
      <w:r>
        <w:rPr>
          <w:bCs/>
        </w:rPr>
        <w:t>2016 Non Residential New Construction Process Evaluation Report – Appendices</w:t>
      </w:r>
    </w:p>
    <w:p w:rsidR="008574E1" w:rsidRDefault="008574E1" w:rsidP="007245F7">
      <w:pPr>
        <w:spacing w:before="240" w:after="80"/>
        <w:ind w:left="720"/>
        <w:rPr>
          <w:bCs/>
        </w:rPr>
      </w:pPr>
      <w:r>
        <w:rPr>
          <w:bCs/>
        </w:rPr>
        <w:t>SCE1234.</w:t>
      </w:r>
      <w:r w:rsidRPr="008574E1">
        <w:rPr>
          <w:bCs/>
          <w:highlight w:val="yellow"/>
        </w:rPr>
        <w:t>09</w:t>
      </w:r>
      <w:r>
        <w:rPr>
          <w:bCs/>
        </w:rPr>
        <w:t xml:space="preserve"> – Response to Recommendations for SCE</w:t>
      </w:r>
      <w:r w:rsidRPr="00577297">
        <w:rPr>
          <w:bCs/>
        </w:rPr>
        <w:t xml:space="preserve"> </w:t>
      </w:r>
      <w:r>
        <w:rPr>
          <w:bCs/>
        </w:rPr>
        <w:t xml:space="preserve">2016 Non Residential New Construction </w:t>
      </w:r>
      <w:r>
        <w:rPr>
          <w:bCs/>
        </w:rPr>
        <w:t>Process</w:t>
      </w:r>
      <w:r>
        <w:rPr>
          <w:bCs/>
        </w:rPr>
        <w:t xml:space="preserve"> Evaluation Report </w:t>
      </w:r>
    </w:p>
    <w:p w:rsidR="008574E1" w:rsidRDefault="008574E1" w:rsidP="007245F7">
      <w:pPr>
        <w:spacing w:before="240" w:after="80"/>
        <w:rPr>
          <w:bCs/>
        </w:rPr>
      </w:pPr>
      <w:r>
        <w:rPr>
          <w:bCs/>
        </w:rPr>
        <w:t>SCE1234.06 – SCE</w:t>
      </w:r>
      <w:r w:rsidRPr="00577297">
        <w:rPr>
          <w:bCs/>
        </w:rPr>
        <w:t xml:space="preserve"> </w:t>
      </w:r>
      <w:r>
        <w:rPr>
          <w:bCs/>
        </w:rPr>
        <w:t>2016 Non Residential New Construction Market Evaluation Report</w:t>
      </w:r>
    </w:p>
    <w:p w:rsidR="008574E1" w:rsidRDefault="008574E1" w:rsidP="007245F7">
      <w:pPr>
        <w:spacing w:before="240" w:after="80"/>
        <w:ind w:left="720"/>
        <w:rPr>
          <w:bCs/>
        </w:rPr>
      </w:pPr>
      <w:r>
        <w:rPr>
          <w:bCs/>
        </w:rPr>
        <w:t>SCE1234.07 – SCE</w:t>
      </w:r>
      <w:r w:rsidRPr="00577297">
        <w:rPr>
          <w:bCs/>
        </w:rPr>
        <w:t xml:space="preserve"> </w:t>
      </w:r>
      <w:r>
        <w:rPr>
          <w:bCs/>
        </w:rPr>
        <w:t>2016 Non Residential New Construction Market Evaluation Report – Appendices</w:t>
      </w:r>
    </w:p>
    <w:p w:rsidR="008574E1" w:rsidRDefault="007D78A2" w:rsidP="007245F7">
      <w:pPr>
        <w:spacing w:before="240" w:after="80"/>
        <w:ind w:left="720"/>
        <w:rPr>
          <w:bCs/>
        </w:rPr>
      </w:pPr>
      <w:r>
        <w:rPr>
          <w:bCs/>
        </w:rPr>
        <w:t>SCE1234.</w:t>
      </w:r>
      <w:r w:rsidRPr="007D78A2">
        <w:rPr>
          <w:bCs/>
          <w:highlight w:val="yellow"/>
        </w:rPr>
        <w:t>10</w:t>
      </w:r>
      <w:r>
        <w:rPr>
          <w:bCs/>
        </w:rPr>
        <w:t xml:space="preserve"> – Response to Recommendations for SCE</w:t>
      </w:r>
      <w:r w:rsidRPr="00577297">
        <w:rPr>
          <w:bCs/>
        </w:rPr>
        <w:t xml:space="preserve"> </w:t>
      </w:r>
      <w:r>
        <w:rPr>
          <w:bCs/>
        </w:rPr>
        <w:t xml:space="preserve">2016 Non Residential New Construction </w:t>
      </w:r>
      <w:r>
        <w:rPr>
          <w:bCs/>
        </w:rPr>
        <w:t>Market</w:t>
      </w:r>
      <w:r>
        <w:rPr>
          <w:bCs/>
        </w:rPr>
        <w:t xml:space="preserve"> Evaluation Report</w:t>
      </w:r>
    </w:p>
    <w:p w:rsidR="007D78A2" w:rsidRDefault="007D78A2" w:rsidP="007245F7">
      <w:pPr>
        <w:spacing w:before="240" w:after="80"/>
        <w:rPr>
          <w:bCs/>
        </w:rPr>
      </w:pPr>
      <w:r>
        <w:rPr>
          <w:bCs/>
        </w:rPr>
        <w:t>Under the second post decimal numbering scenario they might appear as follows:</w:t>
      </w:r>
    </w:p>
    <w:p w:rsidR="007D78A2" w:rsidRDefault="007D78A2" w:rsidP="007245F7">
      <w:pPr>
        <w:spacing w:before="240" w:after="80"/>
        <w:rPr>
          <w:bCs/>
        </w:rPr>
      </w:pPr>
      <w:r>
        <w:rPr>
          <w:bCs/>
        </w:rPr>
        <w:t>SCE1234.01 – SCE</w:t>
      </w:r>
      <w:r w:rsidRPr="00577297">
        <w:rPr>
          <w:bCs/>
        </w:rPr>
        <w:t xml:space="preserve"> </w:t>
      </w:r>
      <w:r>
        <w:rPr>
          <w:bCs/>
        </w:rPr>
        <w:t>2016 Non Residential New Construction Impact Evaluation Report</w:t>
      </w:r>
    </w:p>
    <w:p w:rsidR="007D78A2" w:rsidRDefault="007D78A2" w:rsidP="007245F7">
      <w:pPr>
        <w:spacing w:before="240" w:after="80"/>
        <w:ind w:left="720"/>
        <w:rPr>
          <w:bCs/>
        </w:rPr>
      </w:pPr>
      <w:r>
        <w:rPr>
          <w:bCs/>
        </w:rPr>
        <w:t>SCE1234.02 – SCE</w:t>
      </w:r>
      <w:r w:rsidRPr="00577297">
        <w:rPr>
          <w:bCs/>
        </w:rPr>
        <w:t xml:space="preserve"> </w:t>
      </w:r>
      <w:r>
        <w:rPr>
          <w:bCs/>
        </w:rPr>
        <w:t>2016 Non Residential New Construction Impact Evaluation Report – Appendices Volume 1</w:t>
      </w:r>
    </w:p>
    <w:p w:rsidR="007D78A2" w:rsidRDefault="007D78A2" w:rsidP="007245F7">
      <w:pPr>
        <w:spacing w:before="240" w:after="80"/>
        <w:ind w:left="720"/>
        <w:rPr>
          <w:bCs/>
        </w:rPr>
      </w:pPr>
      <w:r>
        <w:rPr>
          <w:bCs/>
        </w:rPr>
        <w:t>SCE1234.03 – SCE</w:t>
      </w:r>
      <w:r w:rsidRPr="00577297">
        <w:rPr>
          <w:bCs/>
        </w:rPr>
        <w:t xml:space="preserve"> </w:t>
      </w:r>
      <w:r>
        <w:rPr>
          <w:bCs/>
        </w:rPr>
        <w:t>2016 Non Residential New Construction Impact Evaluation Report – Appendices Volume 2</w:t>
      </w:r>
    </w:p>
    <w:p w:rsidR="007D78A2" w:rsidRDefault="007D78A2" w:rsidP="007245F7">
      <w:pPr>
        <w:spacing w:before="240" w:after="80"/>
        <w:ind w:left="720"/>
        <w:rPr>
          <w:bCs/>
        </w:rPr>
      </w:pPr>
      <w:r>
        <w:rPr>
          <w:bCs/>
        </w:rPr>
        <w:t>SCE1234.</w:t>
      </w:r>
      <w:r w:rsidRPr="007D78A2">
        <w:rPr>
          <w:bCs/>
          <w:highlight w:val="yellow"/>
        </w:rPr>
        <w:t>04</w:t>
      </w:r>
      <w:r>
        <w:rPr>
          <w:bCs/>
        </w:rPr>
        <w:t xml:space="preserve"> – Response to Recommendations for SCE</w:t>
      </w:r>
      <w:r w:rsidRPr="00577297">
        <w:rPr>
          <w:bCs/>
        </w:rPr>
        <w:t xml:space="preserve"> </w:t>
      </w:r>
      <w:r>
        <w:rPr>
          <w:bCs/>
        </w:rPr>
        <w:t xml:space="preserve">2016 Non Residential New Construction Impact Evaluation Report </w:t>
      </w:r>
    </w:p>
    <w:p w:rsidR="007D78A2" w:rsidRPr="007D78A2" w:rsidRDefault="007D78A2" w:rsidP="007245F7">
      <w:pPr>
        <w:spacing w:before="240" w:after="80"/>
        <w:rPr>
          <w:bCs/>
        </w:rPr>
      </w:pPr>
      <w:r w:rsidRPr="007D78A2">
        <w:rPr>
          <w:bCs/>
        </w:rPr>
        <w:t>SCE1234.10 – SCE 2016 Non Residential New Construction Process Evaluation Report</w:t>
      </w:r>
    </w:p>
    <w:p w:rsidR="007D78A2" w:rsidRDefault="007D78A2" w:rsidP="007245F7">
      <w:pPr>
        <w:spacing w:before="240" w:after="80"/>
        <w:ind w:left="720"/>
        <w:rPr>
          <w:bCs/>
        </w:rPr>
      </w:pPr>
      <w:r w:rsidRPr="007D78A2">
        <w:rPr>
          <w:bCs/>
        </w:rPr>
        <w:t>SCE1234.11</w:t>
      </w:r>
      <w:r>
        <w:rPr>
          <w:bCs/>
        </w:rPr>
        <w:t xml:space="preserve"> – SCE</w:t>
      </w:r>
      <w:r w:rsidRPr="00577297">
        <w:rPr>
          <w:bCs/>
        </w:rPr>
        <w:t xml:space="preserve"> </w:t>
      </w:r>
      <w:r>
        <w:rPr>
          <w:bCs/>
        </w:rPr>
        <w:t>2016 Non Residential New Construction Process Evaluation Report – Appendices</w:t>
      </w:r>
    </w:p>
    <w:p w:rsidR="007D78A2" w:rsidRDefault="007D78A2" w:rsidP="007245F7">
      <w:pPr>
        <w:spacing w:before="240" w:after="80"/>
        <w:ind w:left="720"/>
        <w:rPr>
          <w:bCs/>
        </w:rPr>
      </w:pPr>
      <w:r>
        <w:rPr>
          <w:bCs/>
        </w:rPr>
        <w:lastRenderedPageBreak/>
        <w:t>SCE1234.</w:t>
      </w:r>
      <w:r w:rsidRPr="007D78A2">
        <w:rPr>
          <w:bCs/>
          <w:highlight w:val="yellow"/>
        </w:rPr>
        <w:t>12</w:t>
      </w:r>
      <w:r>
        <w:rPr>
          <w:bCs/>
        </w:rPr>
        <w:t xml:space="preserve"> – Response to Recommendations for SCE</w:t>
      </w:r>
      <w:r w:rsidRPr="00577297">
        <w:rPr>
          <w:bCs/>
        </w:rPr>
        <w:t xml:space="preserve"> </w:t>
      </w:r>
      <w:r>
        <w:rPr>
          <w:bCs/>
        </w:rPr>
        <w:t xml:space="preserve">2016 Non Residential New Construction Process Evaluation Report </w:t>
      </w:r>
    </w:p>
    <w:p w:rsidR="007D78A2" w:rsidRPr="007D78A2" w:rsidRDefault="007D78A2" w:rsidP="007245F7">
      <w:pPr>
        <w:spacing w:before="240" w:after="80"/>
        <w:rPr>
          <w:bCs/>
        </w:rPr>
      </w:pPr>
      <w:r>
        <w:rPr>
          <w:bCs/>
        </w:rPr>
        <w:t>SCE1234</w:t>
      </w:r>
      <w:r w:rsidRPr="007D78A2">
        <w:rPr>
          <w:bCs/>
        </w:rPr>
        <w:t>.20 – SCE 2016 Non Residential New Construction Market Evaluation Report</w:t>
      </w:r>
    </w:p>
    <w:p w:rsidR="007D78A2" w:rsidRDefault="007D78A2" w:rsidP="007245F7">
      <w:pPr>
        <w:spacing w:before="240" w:after="80"/>
        <w:ind w:left="720"/>
        <w:rPr>
          <w:bCs/>
        </w:rPr>
      </w:pPr>
      <w:r w:rsidRPr="007D78A2">
        <w:rPr>
          <w:bCs/>
        </w:rPr>
        <w:t>SCE1234.21</w:t>
      </w:r>
      <w:r>
        <w:rPr>
          <w:bCs/>
        </w:rPr>
        <w:t xml:space="preserve"> – SCE</w:t>
      </w:r>
      <w:r w:rsidRPr="00577297">
        <w:rPr>
          <w:bCs/>
        </w:rPr>
        <w:t xml:space="preserve"> </w:t>
      </w:r>
      <w:r>
        <w:rPr>
          <w:bCs/>
        </w:rPr>
        <w:t>2016 Non Residential New Construction Market Evaluation Report – Appendices</w:t>
      </w:r>
    </w:p>
    <w:p w:rsidR="007D78A2" w:rsidRDefault="007D78A2" w:rsidP="007245F7">
      <w:pPr>
        <w:spacing w:before="240" w:after="80"/>
        <w:ind w:left="720"/>
        <w:rPr>
          <w:bCs/>
        </w:rPr>
      </w:pPr>
      <w:r>
        <w:rPr>
          <w:bCs/>
        </w:rPr>
        <w:t>SCE1234.</w:t>
      </w:r>
      <w:r w:rsidRPr="007D78A2">
        <w:rPr>
          <w:bCs/>
          <w:highlight w:val="yellow"/>
        </w:rPr>
        <w:t>22</w:t>
      </w:r>
      <w:r>
        <w:rPr>
          <w:bCs/>
        </w:rPr>
        <w:t xml:space="preserve"> – Response to Recommendations for SCE</w:t>
      </w:r>
      <w:r w:rsidRPr="00577297">
        <w:rPr>
          <w:bCs/>
        </w:rPr>
        <w:t xml:space="preserve"> </w:t>
      </w:r>
      <w:r>
        <w:rPr>
          <w:bCs/>
        </w:rPr>
        <w:t>2016 Non Residential New Construction Market Evaluation Report</w:t>
      </w:r>
    </w:p>
    <w:p w:rsidR="007D78A2" w:rsidRDefault="007D78A2" w:rsidP="007245F7">
      <w:pPr>
        <w:spacing w:before="240" w:after="80"/>
        <w:rPr>
          <w:b/>
          <w:bCs/>
        </w:rPr>
      </w:pPr>
      <w:r w:rsidRPr="007D78A2">
        <w:rPr>
          <w:b/>
          <w:bCs/>
        </w:rPr>
        <w:t xml:space="preserve">The important point is the either approach </w:t>
      </w:r>
      <w:r w:rsidR="005F5585">
        <w:rPr>
          <w:b/>
          <w:bCs/>
        </w:rPr>
        <w:t xml:space="preserve">to applying the post decimal code </w:t>
      </w:r>
      <w:r w:rsidRPr="007D78A2">
        <w:rPr>
          <w:b/>
          <w:bCs/>
        </w:rPr>
        <w:t>is fine. The approach to the application of the post decimal code is up to the end use</w:t>
      </w:r>
      <w:r w:rsidR="005F5585">
        <w:rPr>
          <w:b/>
          <w:bCs/>
        </w:rPr>
        <w:t>r</w:t>
      </w:r>
      <w:r w:rsidRPr="007D78A2">
        <w:rPr>
          <w:b/>
          <w:bCs/>
        </w:rPr>
        <w:t>.</w:t>
      </w:r>
    </w:p>
    <w:p w:rsidR="00CA26A1" w:rsidRPr="00CA26A1" w:rsidRDefault="00CA26A1" w:rsidP="007245F7">
      <w:pPr>
        <w:spacing w:before="240" w:after="80"/>
        <w:rPr>
          <w:bCs/>
        </w:rPr>
      </w:pPr>
      <w:r>
        <w:rPr>
          <w:bCs/>
        </w:rPr>
        <w:t>The advantage of the entire CALMAC Study ID structure is that all reports for a give</w:t>
      </w:r>
      <w:r w:rsidR="00976DFE">
        <w:rPr>
          <w:bCs/>
        </w:rPr>
        <w:t>n</w:t>
      </w:r>
      <w:r>
        <w:rPr>
          <w:bCs/>
        </w:rPr>
        <w:t xml:space="preserve"> “program” can be retrieve by typing the core </w:t>
      </w:r>
      <w:r w:rsidR="00976DFE">
        <w:rPr>
          <w:bCs/>
        </w:rPr>
        <w:t>Study ID</w:t>
      </w:r>
      <w:r>
        <w:rPr>
          <w:bCs/>
        </w:rPr>
        <w:t>, in this case SCE1234</w:t>
      </w:r>
      <w:r w:rsidR="00976DFE">
        <w:rPr>
          <w:bCs/>
        </w:rPr>
        <w:t>,</w:t>
      </w:r>
      <w:r>
        <w:rPr>
          <w:bCs/>
        </w:rPr>
        <w:t xml:space="preserve"> into the Search Text box on the CALMAC Searchable Database page. Individual reports and their appendices can be pulled up together by typing in the CALMAC Study ID for the main report (e.g., SCE1234.01).</w:t>
      </w:r>
    </w:p>
    <w:p w:rsidR="007D78A2" w:rsidRDefault="007D78A2" w:rsidP="007245F7">
      <w:pPr>
        <w:spacing w:before="240" w:after="80"/>
        <w:rPr>
          <w:bCs/>
        </w:rPr>
      </w:pPr>
      <w:r w:rsidRPr="00527B40">
        <w:rPr>
          <w:bCs/>
          <w:i/>
        </w:rPr>
        <w:t>Cross Referencing CPUC codes to CALMAC Study IDs</w:t>
      </w:r>
      <w:r>
        <w:rPr>
          <w:bCs/>
        </w:rPr>
        <w:t xml:space="preserve"> – The question was raised whether it was possible to somehow link CALMAC St</w:t>
      </w:r>
      <w:r w:rsidR="00527B40">
        <w:rPr>
          <w:bCs/>
        </w:rPr>
        <w:t xml:space="preserve">udy IDs to some other CPUC code. The purpose is </w:t>
      </w:r>
      <w:r>
        <w:rPr>
          <w:bCs/>
        </w:rPr>
        <w:t>to create a link to some of the work done before the final report. Several alternatives were discussed.</w:t>
      </w:r>
    </w:p>
    <w:p w:rsidR="007D78A2" w:rsidRDefault="00C42C42" w:rsidP="007245F7">
      <w:pPr>
        <w:pStyle w:val="ListParagraph"/>
        <w:numPr>
          <w:ilvl w:val="0"/>
          <w:numId w:val="38"/>
        </w:numPr>
        <w:spacing w:before="240" w:after="80"/>
        <w:contextualSpacing w:val="0"/>
        <w:rPr>
          <w:rFonts w:ascii="Times New Roman" w:hAnsi="Times New Roman" w:cs="Times New Roman"/>
          <w:bCs/>
          <w:sz w:val="24"/>
          <w:szCs w:val="24"/>
        </w:rPr>
      </w:pPr>
      <w:r w:rsidRPr="00C42C42">
        <w:rPr>
          <w:rFonts w:ascii="Times New Roman" w:hAnsi="Times New Roman" w:cs="Times New Roman"/>
          <w:bCs/>
          <w:sz w:val="24"/>
          <w:szCs w:val="24"/>
        </w:rPr>
        <w:t xml:space="preserve">Use the CALMAC Study ID </w:t>
      </w:r>
      <w:proofErr w:type="gramStart"/>
      <w:r w:rsidRPr="00C42C42">
        <w:rPr>
          <w:rFonts w:ascii="Times New Roman" w:hAnsi="Times New Roman" w:cs="Times New Roman"/>
          <w:bCs/>
          <w:sz w:val="24"/>
          <w:szCs w:val="24"/>
        </w:rPr>
        <w:t xml:space="preserve">right from the start </w:t>
      </w:r>
      <w:r>
        <w:rPr>
          <w:rFonts w:ascii="Times New Roman" w:hAnsi="Times New Roman" w:cs="Times New Roman"/>
          <w:bCs/>
          <w:sz w:val="24"/>
          <w:szCs w:val="24"/>
        </w:rPr>
        <w:t>–</w:t>
      </w:r>
      <w:r w:rsidRPr="00C42C42">
        <w:rPr>
          <w:rFonts w:ascii="Times New Roman" w:hAnsi="Times New Roman" w:cs="Times New Roman"/>
          <w:bCs/>
          <w:sz w:val="24"/>
          <w:szCs w:val="24"/>
        </w:rPr>
        <w:t xml:space="preserve"> </w:t>
      </w:r>
      <w:r w:rsidR="00527B40">
        <w:rPr>
          <w:rFonts w:ascii="Times New Roman" w:hAnsi="Times New Roman" w:cs="Times New Roman"/>
          <w:bCs/>
          <w:sz w:val="24"/>
          <w:szCs w:val="24"/>
        </w:rPr>
        <w:t>The CALMAC Study IDs were</w:t>
      </w:r>
      <w:proofErr w:type="gramEnd"/>
      <w:r w:rsidR="00527B40">
        <w:rPr>
          <w:rFonts w:ascii="Times New Roman" w:hAnsi="Times New Roman" w:cs="Times New Roman"/>
          <w:bCs/>
          <w:sz w:val="24"/>
          <w:szCs w:val="24"/>
        </w:rPr>
        <w:t xml:space="preserve"> always designed to be issued at the beginning of a study so that they could be applied to all documents as the study proceeded. In practice they have typically been issued at the time the final report is posted, but they could be applied to reports for the entire length of the study.</w:t>
      </w:r>
    </w:p>
    <w:p w:rsidR="00527B40" w:rsidRPr="00527B40" w:rsidRDefault="00527B40" w:rsidP="007245F7">
      <w:pPr>
        <w:spacing w:before="240" w:after="80"/>
        <w:rPr>
          <w:bCs/>
        </w:rPr>
      </w:pPr>
      <w:r>
        <w:rPr>
          <w:bCs/>
        </w:rPr>
        <w:t>If there is a desire to use another numbering system and link those numbers to the CALMAC Study ID, then there are two possible approaches:</w:t>
      </w:r>
    </w:p>
    <w:p w:rsidR="00527B40" w:rsidRPr="00527B40" w:rsidRDefault="00C42C42" w:rsidP="007245F7">
      <w:pPr>
        <w:pStyle w:val="ListParagraph"/>
        <w:numPr>
          <w:ilvl w:val="0"/>
          <w:numId w:val="38"/>
        </w:numPr>
        <w:spacing w:before="240" w:after="80"/>
        <w:contextualSpacing w:val="0"/>
        <w:rPr>
          <w:rFonts w:ascii="Times New Roman" w:hAnsi="Times New Roman" w:cs="Times New Roman"/>
          <w:bCs/>
          <w:sz w:val="24"/>
          <w:szCs w:val="24"/>
        </w:rPr>
      </w:pPr>
      <w:r>
        <w:rPr>
          <w:rFonts w:ascii="Times New Roman" w:hAnsi="Times New Roman" w:cs="Times New Roman"/>
          <w:bCs/>
          <w:sz w:val="24"/>
          <w:szCs w:val="24"/>
        </w:rPr>
        <w:t xml:space="preserve">Voluntarily have submitters enter CPUC code – </w:t>
      </w:r>
      <w:r w:rsidR="00527B40">
        <w:rPr>
          <w:rFonts w:ascii="Times New Roman" w:hAnsi="Times New Roman" w:cs="Times New Roman"/>
          <w:bCs/>
          <w:sz w:val="24"/>
          <w:szCs w:val="24"/>
        </w:rPr>
        <w:t>The CALMAC report submission form, and the CALMAC data base, already have a place where a submitter can list five separate “Other IDs”. These fields can accept any format, and are searchable. So if submitters were instructed to list a code such as the CPUC Work Order Number, they could be entered in this field. The weakness of this approach is that the data field is not mandatory, so if a submitter does not enter a value, the report will still be accepted by the submission process.</w:t>
      </w:r>
    </w:p>
    <w:p w:rsidR="00C42C42" w:rsidRDefault="00C42C42" w:rsidP="007245F7">
      <w:pPr>
        <w:pStyle w:val="ListParagraph"/>
        <w:numPr>
          <w:ilvl w:val="0"/>
          <w:numId w:val="38"/>
        </w:numPr>
        <w:spacing w:before="240" w:after="80"/>
        <w:contextualSpacing w:val="0"/>
        <w:rPr>
          <w:rFonts w:ascii="Times New Roman" w:hAnsi="Times New Roman" w:cs="Times New Roman"/>
          <w:bCs/>
          <w:sz w:val="24"/>
          <w:szCs w:val="24"/>
        </w:rPr>
      </w:pPr>
      <w:r>
        <w:rPr>
          <w:rFonts w:ascii="Times New Roman" w:hAnsi="Times New Roman" w:cs="Times New Roman"/>
          <w:bCs/>
          <w:sz w:val="24"/>
          <w:szCs w:val="24"/>
        </w:rPr>
        <w:t xml:space="preserve">Add a mandatory field to the CALMAC database – </w:t>
      </w:r>
      <w:r w:rsidR="00527B40">
        <w:rPr>
          <w:rFonts w:ascii="Times New Roman" w:hAnsi="Times New Roman" w:cs="Times New Roman"/>
          <w:bCs/>
          <w:sz w:val="24"/>
          <w:szCs w:val="24"/>
        </w:rPr>
        <w:t>CALMAC could relatively easily add a mandatory field to the database and the report submission form with a defined format. In this case the field would require an entry of the proper</w:t>
      </w:r>
      <w:r w:rsidR="005F5585">
        <w:rPr>
          <w:rFonts w:ascii="Times New Roman" w:hAnsi="Times New Roman" w:cs="Times New Roman"/>
          <w:bCs/>
          <w:sz w:val="24"/>
          <w:szCs w:val="24"/>
        </w:rPr>
        <w:t xml:space="preserve"> format before the report would be accepted by the submission process. The advantage would be that, going forward, the data field would be 100% populated</w:t>
      </w:r>
      <w:r w:rsidR="00976DFE">
        <w:rPr>
          <w:rFonts w:ascii="Times New Roman" w:hAnsi="Times New Roman" w:cs="Times New Roman"/>
          <w:bCs/>
          <w:sz w:val="24"/>
          <w:szCs w:val="24"/>
        </w:rPr>
        <w:t xml:space="preserve">, </w:t>
      </w:r>
      <w:r w:rsidR="005F5585">
        <w:rPr>
          <w:rFonts w:ascii="Times New Roman" w:hAnsi="Times New Roman" w:cs="Times New Roman"/>
          <w:bCs/>
          <w:sz w:val="24"/>
          <w:szCs w:val="24"/>
        </w:rPr>
        <w:lastRenderedPageBreak/>
        <w:t>guaranteeing a link between the CPUC number and the CALMAC Study ID. The possible downside is that the submitters would need to know the CPUC number prior to being able to submit a report.</w:t>
      </w:r>
      <w:r w:rsidR="00976DFE">
        <w:rPr>
          <w:rFonts w:ascii="Times New Roman" w:hAnsi="Times New Roman" w:cs="Times New Roman"/>
          <w:bCs/>
          <w:sz w:val="24"/>
          <w:szCs w:val="24"/>
        </w:rPr>
        <w:t xml:space="preserve"> Additionally, if there were studies that didn’t have a CPUC number, they would be rejected.</w:t>
      </w:r>
      <w:bookmarkStart w:id="0" w:name="_GoBack"/>
      <w:bookmarkEnd w:id="0"/>
    </w:p>
    <w:p w:rsidR="005F5585" w:rsidRPr="005F5585" w:rsidRDefault="005F5585" w:rsidP="007245F7">
      <w:pPr>
        <w:spacing w:before="240" w:after="80"/>
        <w:rPr>
          <w:bCs/>
        </w:rPr>
      </w:pPr>
      <w:r>
        <w:rPr>
          <w:bCs/>
        </w:rPr>
        <w:t>The Committee agreed that this information on linking study ID would be taken under advisement.</w:t>
      </w:r>
    </w:p>
    <w:p w:rsidR="00577297" w:rsidRPr="0024596D" w:rsidRDefault="005F5585" w:rsidP="007245F7">
      <w:pPr>
        <w:spacing w:before="240" w:after="80"/>
        <w:rPr>
          <w:bCs/>
        </w:rPr>
      </w:pPr>
      <w:r>
        <w:rPr>
          <w:bCs/>
        </w:rPr>
        <w:t>The conference call was ended approxi</w:t>
      </w:r>
      <w:r w:rsidR="007245F7">
        <w:rPr>
          <w:bCs/>
        </w:rPr>
        <w:t>mately</w:t>
      </w:r>
      <w:r>
        <w:rPr>
          <w:bCs/>
        </w:rPr>
        <w:t xml:space="preserve"> 2:40 PM PDT.</w:t>
      </w:r>
    </w:p>
    <w:sectPr w:rsidR="00577297" w:rsidRPr="0024596D"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9B" w:rsidRDefault="0058649B">
      <w:r>
        <w:separator/>
      </w:r>
    </w:p>
  </w:endnote>
  <w:endnote w:type="continuationSeparator" w:id="0">
    <w:p w:rsidR="0058649B" w:rsidRDefault="0058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9B" w:rsidRDefault="0058649B">
      <w:r>
        <w:separator/>
      </w:r>
    </w:p>
  </w:footnote>
  <w:footnote w:type="continuationSeparator" w:id="0">
    <w:p w:rsidR="0058649B" w:rsidRDefault="0058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CCE"/>
    <w:multiLevelType w:val="hybridMultilevel"/>
    <w:tmpl w:val="9C3C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07AC1"/>
    <w:multiLevelType w:val="hybridMultilevel"/>
    <w:tmpl w:val="1B8E9D84"/>
    <w:lvl w:ilvl="0" w:tplc="C0E4A3CE">
      <w:start w:val="1"/>
      <w:numFmt w:val="bullet"/>
      <w:lvlText w:val=""/>
      <w:lvlJc w:val="left"/>
      <w:pPr>
        <w:tabs>
          <w:tab w:val="num" w:pos="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21B11"/>
    <w:multiLevelType w:val="hybridMultilevel"/>
    <w:tmpl w:val="1400A6DE"/>
    <w:lvl w:ilvl="0" w:tplc="5C3CCB12">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67320E"/>
    <w:multiLevelType w:val="hybridMultilevel"/>
    <w:tmpl w:val="EC1A5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73491"/>
    <w:multiLevelType w:val="hybridMultilevel"/>
    <w:tmpl w:val="C43821A6"/>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1F3237"/>
    <w:multiLevelType w:val="hybridMultilevel"/>
    <w:tmpl w:val="52201BD2"/>
    <w:lvl w:ilvl="0" w:tplc="0E08A2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A2DED"/>
    <w:multiLevelType w:val="hybridMultilevel"/>
    <w:tmpl w:val="5382F1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9759D6"/>
    <w:multiLevelType w:val="hybridMultilevel"/>
    <w:tmpl w:val="6CA4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32159F"/>
    <w:multiLevelType w:val="hybridMultilevel"/>
    <w:tmpl w:val="364453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D18CF"/>
    <w:multiLevelType w:val="hybridMultilevel"/>
    <w:tmpl w:val="072ED892"/>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DD2844"/>
    <w:multiLevelType w:val="hybridMultilevel"/>
    <w:tmpl w:val="EBE2F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11FAB"/>
    <w:multiLevelType w:val="hybridMultilevel"/>
    <w:tmpl w:val="59FEFF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8168E"/>
    <w:multiLevelType w:val="hybridMultilevel"/>
    <w:tmpl w:val="F00CB8B0"/>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B4B2C80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7D69F8"/>
    <w:multiLevelType w:val="hybridMultilevel"/>
    <w:tmpl w:val="49E4F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B66B2"/>
    <w:multiLevelType w:val="hybridMultilevel"/>
    <w:tmpl w:val="0FD814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D24163"/>
    <w:multiLevelType w:val="hybridMultilevel"/>
    <w:tmpl w:val="937EE91C"/>
    <w:lvl w:ilvl="0" w:tplc="42064AB6">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7960D4"/>
    <w:multiLevelType w:val="hybridMultilevel"/>
    <w:tmpl w:val="D4FEB3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80FD2"/>
    <w:multiLevelType w:val="hybridMultilevel"/>
    <w:tmpl w:val="2EAA9964"/>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092195"/>
    <w:multiLevelType w:val="hybridMultilevel"/>
    <w:tmpl w:val="03E4AC14"/>
    <w:lvl w:ilvl="0" w:tplc="5C3CC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5900E2"/>
    <w:multiLevelType w:val="hybridMultilevel"/>
    <w:tmpl w:val="0178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3D4"/>
    <w:multiLevelType w:val="hybridMultilevel"/>
    <w:tmpl w:val="B9B02F8C"/>
    <w:lvl w:ilvl="0" w:tplc="138E71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A2AC5"/>
    <w:multiLevelType w:val="hybridMultilevel"/>
    <w:tmpl w:val="24A637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F78B1"/>
    <w:multiLevelType w:val="hybridMultilevel"/>
    <w:tmpl w:val="BE707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4302D4"/>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160A48"/>
    <w:multiLevelType w:val="hybridMultilevel"/>
    <w:tmpl w:val="44AE4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A4706"/>
    <w:multiLevelType w:val="hybridMultilevel"/>
    <w:tmpl w:val="C362F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912BB"/>
    <w:multiLevelType w:val="hybridMultilevel"/>
    <w:tmpl w:val="AB5ECB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9"/>
  </w:num>
  <w:num w:numId="4">
    <w:abstractNumId w:val="16"/>
  </w:num>
  <w:num w:numId="5">
    <w:abstractNumId w:val="29"/>
  </w:num>
  <w:num w:numId="6">
    <w:abstractNumId w:val="6"/>
  </w:num>
  <w:num w:numId="7">
    <w:abstractNumId w:val="37"/>
  </w:num>
  <w:num w:numId="8">
    <w:abstractNumId w:val="9"/>
  </w:num>
  <w:num w:numId="9">
    <w:abstractNumId w:val="14"/>
  </w:num>
  <w:num w:numId="10">
    <w:abstractNumId w:val="36"/>
  </w:num>
  <w:num w:numId="11">
    <w:abstractNumId w:val="34"/>
  </w:num>
  <w:num w:numId="12">
    <w:abstractNumId w:val="32"/>
  </w:num>
  <w:num w:numId="13">
    <w:abstractNumId w:val="13"/>
  </w:num>
  <w:num w:numId="14">
    <w:abstractNumId w:val="1"/>
  </w:num>
  <w:num w:numId="15">
    <w:abstractNumId w:val="27"/>
  </w:num>
  <w:num w:numId="16">
    <w:abstractNumId w:val="7"/>
  </w:num>
  <w:num w:numId="17">
    <w:abstractNumId w:val="18"/>
  </w:num>
  <w:num w:numId="18">
    <w:abstractNumId w:val="30"/>
  </w:num>
  <w:num w:numId="19">
    <w:abstractNumId w:val="2"/>
  </w:num>
  <w:num w:numId="20">
    <w:abstractNumId w:val="22"/>
  </w:num>
  <w:num w:numId="21">
    <w:abstractNumId w:val="25"/>
  </w:num>
  <w:num w:numId="22">
    <w:abstractNumId w:val="17"/>
  </w:num>
  <w:num w:numId="23">
    <w:abstractNumId w:val="10"/>
  </w:num>
  <w:num w:numId="24">
    <w:abstractNumId w:val="20"/>
  </w:num>
  <w:num w:numId="25">
    <w:abstractNumId w:val="26"/>
  </w:num>
  <w:num w:numId="26">
    <w:abstractNumId w:val="24"/>
  </w:num>
  <w:num w:numId="27">
    <w:abstractNumId w:val="15"/>
  </w:num>
  <w:num w:numId="28">
    <w:abstractNumId w:val="5"/>
  </w:num>
  <w:num w:numId="29">
    <w:abstractNumId w:val="11"/>
  </w:num>
  <w:num w:numId="30">
    <w:abstractNumId w:val="35"/>
  </w:num>
  <w:num w:numId="31">
    <w:abstractNumId w:val="4"/>
  </w:num>
  <w:num w:numId="32">
    <w:abstractNumId w:val="28"/>
  </w:num>
  <w:num w:numId="33">
    <w:abstractNumId w:val="12"/>
  </w:num>
  <w:num w:numId="34">
    <w:abstractNumId w:val="23"/>
  </w:num>
  <w:num w:numId="35">
    <w:abstractNumId w:val="21"/>
  </w:num>
  <w:num w:numId="36">
    <w:abstractNumId w:val="3"/>
  </w:num>
  <w:num w:numId="37">
    <w:abstractNumId w:val="8"/>
  </w:num>
  <w:num w:numId="3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6387"/>
    <w:rsid w:val="00087347"/>
    <w:rsid w:val="0009262A"/>
    <w:rsid w:val="00092752"/>
    <w:rsid w:val="000A282E"/>
    <w:rsid w:val="000A5CD3"/>
    <w:rsid w:val="000B37C2"/>
    <w:rsid w:val="000D261E"/>
    <w:rsid w:val="000D4D7D"/>
    <w:rsid w:val="000D54FB"/>
    <w:rsid w:val="000F3F10"/>
    <w:rsid w:val="000F72EF"/>
    <w:rsid w:val="001205BE"/>
    <w:rsid w:val="00122D10"/>
    <w:rsid w:val="00124A16"/>
    <w:rsid w:val="00141BB6"/>
    <w:rsid w:val="0014788C"/>
    <w:rsid w:val="0015112E"/>
    <w:rsid w:val="001770F8"/>
    <w:rsid w:val="00181950"/>
    <w:rsid w:val="00192929"/>
    <w:rsid w:val="0019750B"/>
    <w:rsid w:val="001A1B18"/>
    <w:rsid w:val="001A5588"/>
    <w:rsid w:val="001A68D0"/>
    <w:rsid w:val="001C730A"/>
    <w:rsid w:val="001D4EF5"/>
    <w:rsid w:val="00200A84"/>
    <w:rsid w:val="00202375"/>
    <w:rsid w:val="0022191D"/>
    <w:rsid w:val="00231146"/>
    <w:rsid w:val="00235ECC"/>
    <w:rsid w:val="0024596D"/>
    <w:rsid w:val="00261F24"/>
    <w:rsid w:val="00262E54"/>
    <w:rsid w:val="00270C3D"/>
    <w:rsid w:val="00272403"/>
    <w:rsid w:val="00280268"/>
    <w:rsid w:val="0028106E"/>
    <w:rsid w:val="00284C50"/>
    <w:rsid w:val="0028739D"/>
    <w:rsid w:val="00291244"/>
    <w:rsid w:val="002949B2"/>
    <w:rsid w:val="002A298F"/>
    <w:rsid w:val="002A658C"/>
    <w:rsid w:val="002B6D75"/>
    <w:rsid w:val="002C2A6B"/>
    <w:rsid w:val="002D08E4"/>
    <w:rsid w:val="002E7632"/>
    <w:rsid w:val="002F6DD4"/>
    <w:rsid w:val="00302129"/>
    <w:rsid w:val="00312B06"/>
    <w:rsid w:val="00313660"/>
    <w:rsid w:val="00325375"/>
    <w:rsid w:val="00325C9F"/>
    <w:rsid w:val="00334651"/>
    <w:rsid w:val="00334F58"/>
    <w:rsid w:val="00337603"/>
    <w:rsid w:val="003404AA"/>
    <w:rsid w:val="00340F54"/>
    <w:rsid w:val="003500AB"/>
    <w:rsid w:val="00363485"/>
    <w:rsid w:val="00374C12"/>
    <w:rsid w:val="00376714"/>
    <w:rsid w:val="00387A51"/>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19F"/>
    <w:rsid w:val="004312D1"/>
    <w:rsid w:val="004365F5"/>
    <w:rsid w:val="00446A9E"/>
    <w:rsid w:val="00446DA0"/>
    <w:rsid w:val="00450201"/>
    <w:rsid w:val="00450917"/>
    <w:rsid w:val="00455EF1"/>
    <w:rsid w:val="004605F2"/>
    <w:rsid w:val="00460B8E"/>
    <w:rsid w:val="00465C60"/>
    <w:rsid w:val="00466B03"/>
    <w:rsid w:val="00482531"/>
    <w:rsid w:val="00485BC9"/>
    <w:rsid w:val="004862E5"/>
    <w:rsid w:val="00492471"/>
    <w:rsid w:val="00496C88"/>
    <w:rsid w:val="004B027B"/>
    <w:rsid w:val="004B28F5"/>
    <w:rsid w:val="004B4377"/>
    <w:rsid w:val="004B46E2"/>
    <w:rsid w:val="004B5B97"/>
    <w:rsid w:val="004B74BE"/>
    <w:rsid w:val="004C4CC2"/>
    <w:rsid w:val="004C6328"/>
    <w:rsid w:val="004C725C"/>
    <w:rsid w:val="004D10E3"/>
    <w:rsid w:val="004D28AB"/>
    <w:rsid w:val="004D62A9"/>
    <w:rsid w:val="004E1962"/>
    <w:rsid w:val="004E29CD"/>
    <w:rsid w:val="004E3EF8"/>
    <w:rsid w:val="004F3C03"/>
    <w:rsid w:val="0050568C"/>
    <w:rsid w:val="00512A4B"/>
    <w:rsid w:val="00521FB2"/>
    <w:rsid w:val="00523560"/>
    <w:rsid w:val="00525CF6"/>
    <w:rsid w:val="00525F9A"/>
    <w:rsid w:val="00527B40"/>
    <w:rsid w:val="00532CF0"/>
    <w:rsid w:val="0053520E"/>
    <w:rsid w:val="00537544"/>
    <w:rsid w:val="00554F22"/>
    <w:rsid w:val="00555BD1"/>
    <w:rsid w:val="00556018"/>
    <w:rsid w:val="0057204D"/>
    <w:rsid w:val="00577297"/>
    <w:rsid w:val="005850C8"/>
    <w:rsid w:val="0058649B"/>
    <w:rsid w:val="0059413C"/>
    <w:rsid w:val="005A3242"/>
    <w:rsid w:val="005A608C"/>
    <w:rsid w:val="005B3B4E"/>
    <w:rsid w:val="005C3814"/>
    <w:rsid w:val="005D080F"/>
    <w:rsid w:val="005D1BA5"/>
    <w:rsid w:val="005D328D"/>
    <w:rsid w:val="005D48D1"/>
    <w:rsid w:val="005E5C9C"/>
    <w:rsid w:val="005E6629"/>
    <w:rsid w:val="005F5217"/>
    <w:rsid w:val="005F5585"/>
    <w:rsid w:val="005F67EC"/>
    <w:rsid w:val="00603ABC"/>
    <w:rsid w:val="00607731"/>
    <w:rsid w:val="00610263"/>
    <w:rsid w:val="00620572"/>
    <w:rsid w:val="006250D8"/>
    <w:rsid w:val="00626D4E"/>
    <w:rsid w:val="00633A5E"/>
    <w:rsid w:val="0063703F"/>
    <w:rsid w:val="006514D1"/>
    <w:rsid w:val="00664C5A"/>
    <w:rsid w:val="006661E9"/>
    <w:rsid w:val="006662DE"/>
    <w:rsid w:val="006737FF"/>
    <w:rsid w:val="006743C1"/>
    <w:rsid w:val="00676423"/>
    <w:rsid w:val="00676539"/>
    <w:rsid w:val="006809A4"/>
    <w:rsid w:val="006825FD"/>
    <w:rsid w:val="00682D8B"/>
    <w:rsid w:val="006843EA"/>
    <w:rsid w:val="0068554F"/>
    <w:rsid w:val="00686780"/>
    <w:rsid w:val="0068750C"/>
    <w:rsid w:val="006A28ED"/>
    <w:rsid w:val="006A3575"/>
    <w:rsid w:val="006B1411"/>
    <w:rsid w:val="006B18E8"/>
    <w:rsid w:val="006C5017"/>
    <w:rsid w:val="006D3207"/>
    <w:rsid w:val="006D5C2F"/>
    <w:rsid w:val="006D7138"/>
    <w:rsid w:val="006E0FC3"/>
    <w:rsid w:val="006F2C78"/>
    <w:rsid w:val="006F6157"/>
    <w:rsid w:val="00701DA6"/>
    <w:rsid w:val="0070221E"/>
    <w:rsid w:val="007074F3"/>
    <w:rsid w:val="007133C9"/>
    <w:rsid w:val="0071515D"/>
    <w:rsid w:val="00717184"/>
    <w:rsid w:val="00717BE2"/>
    <w:rsid w:val="007245F7"/>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D78A2"/>
    <w:rsid w:val="007E2F7B"/>
    <w:rsid w:val="007E302C"/>
    <w:rsid w:val="007E6E73"/>
    <w:rsid w:val="007F290A"/>
    <w:rsid w:val="007F4930"/>
    <w:rsid w:val="007F7A50"/>
    <w:rsid w:val="00807A1A"/>
    <w:rsid w:val="00811270"/>
    <w:rsid w:val="00817555"/>
    <w:rsid w:val="008332AA"/>
    <w:rsid w:val="008370EE"/>
    <w:rsid w:val="00846C83"/>
    <w:rsid w:val="00846E87"/>
    <w:rsid w:val="00854A50"/>
    <w:rsid w:val="00856746"/>
    <w:rsid w:val="00856918"/>
    <w:rsid w:val="008574E1"/>
    <w:rsid w:val="00860492"/>
    <w:rsid w:val="00867708"/>
    <w:rsid w:val="008836EE"/>
    <w:rsid w:val="008853A5"/>
    <w:rsid w:val="008873E1"/>
    <w:rsid w:val="008876C9"/>
    <w:rsid w:val="00893BE2"/>
    <w:rsid w:val="00894AA1"/>
    <w:rsid w:val="008A1349"/>
    <w:rsid w:val="008A2192"/>
    <w:rsid w:val="008A232D"/>
    <w:rsid w:val="008A63E9"/>
    <w:rsid w:val="008C08BC"/>
    <w:rsid w:val="008D0553"/>
    <w:rsid w:val="008D0726"/>
    <w:rsid w:val="008D0FA5"/>
    <w:rsid w:val="008D41F3"/>
    <w:rsid w:val="008D7018"/>
    <w:rsid w:val="008D7DDE"/>
    <w:rsid w:val="008F58D8"/>
    <w:rsid w:val="009018D3"/>
    <w:rsid w:val="0090652C"/>
    <w:rsid w:val="0091090E"/>
    <w:rsid w:val="00922342"/>
    <w:rsid w:val="009231BE"/>
    <w:rsid w:val="00923A98"/>
    <w:rsid w:val="00927D07"/>
    <w:rsid w:val="009333DD"/>
    <w:rsid w:val="00942EA6"/>
    <w:rsid w:val="0094357D"/>
    <w:rsid w:val="0096343B"/>
    <w:rsid w:val="00965644"/>
    <w:rsid w:val="0097172D"/>
    <w:rsid w:val="009725EC"/>
    <w:rsid w:val="00976DFE"/>
    <w:rsid w:val="00990D63"/>
    <w:rsid w:val="00991CC6"/>
    <w:rsid w:val="00994CE3"/>
    <w:rsid w:val="00994D80"/>
    <w:rsid w:val="00994EF6"/>
    <w:rsid w:val="009A186F"/>
    <w:rsid w:val="009B2C59"/>
    <w:rsid w:val="009C1DA0"/>
    <w:rsid w:val="009C6068"/>
    <w:rsid w:val="009D3F26"/>
    <w:rsid w:val="009D6E3D"/>
    <w:rsid w:val="009E5BB2"/>
    <w:rsid w:val="009F474C"/>
    <w:rsid w:val="009F4EC7"/>
    <w:rsid w:val="00A06D60"/>
    <w:rsid w:val="00A07CF0"/>
    <w:rsid w:val="00A204CA"/>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5C73"/>
    <w:rsid w:val="00AF6FEC"/>
    <w:rsid w:val="00AF7B53"/>
    <w:rsid w:val="00B00C77"/>
    <w:rsid w:val="00B04C2A"/>
    <w:rsid w:val="00B173A5"/>
    <w:rsid w:val="00B329A9"/>
    <w:rsid w:val="00B44F63"/>
    <w:rsid w:val="00B47405"/>
    <w:rsid w:val="00B50128"/>
    <w:rsid w:val="00B50F2B"/>
    <w:rsid w:val="00B57542"/>
    <w:rsid w:val="00B6382D"/>
    <w:rsid w:val="00B63F34"/>
    <w:rsid w:val="00B65303"/>
    <w:rsid w:val="00B65E14"/>
    <w:rsid w:val="00B70DD5"/>
    <w:rsid w:val="00B80CD1"/>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F4D3A"/>
    <w:rsid w:val="00C15D87"/>
    <w:rsid w:val="00C27C29"/>
    <w:rsid w:val="00C31C2B"/>
    <w:rsid w:val="00C37DF7"/>
    <w:rsid w:val="00C41066"/>
    <w:rsid w:val="00C42156"/>
    <w:rsid w:val="00C42C42"/>
    <w:rsid w:val="00C51E2A"/>
    <w:rsid w:val="00C5369F"/>
    <w:rsid w:val="00C5602C"/>
    <w:rsid w:val="00C62079"/>
    <w:rsid w:val="00C63CEA"/>
    <w:rsid w:val="00C70E15"/>
    <w:rsid w:val="00C71927"/>
    <w:rsid w:val="00C743F9"/>
    <w:rsid w:val="00C74DDA"/>
    <w:rsid w:val="00C81304"/>
    <w:rsid w:val="00C81358"/>
    <w:rsid w:val="00C87D40"/>
    <w:rsid w:val="00C9327C"/>
    <w:rsid w:val="00CA167E"/>
    <w:rsid w:val="00CA26A1"/>
    <w:rsid w:val="00CA5B30"/>
    <w:rsid w:val="00CB42B3"/>
    <w:rsid w:val="00CB6DBA"/>
    <w:rsid w:val="00CC0758"/>
    <w:rsid w:val="00CC2873"/>
    <w:rsid w:val="00CC408D"/>
    <w:rsid w:val="00CD2A77"/>
    <w:rsid w:val="00CE2F48"/>
    <w:rsid w:val="00CE3884"/>
    <w:rsid w:val="00CE5D34"/>
    <w:rsid w:val="00CE6823"/>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5A3B"/>
    <w:rsid w:val="00D41D98"/>
    <w:rsid w:val="00D45710"/>
    <w:rsid w:val="00D47D8C"/>
    <w:rsid w:val="00D53632"/>
    <w:rsid w:val="00D565CA"/>
    <w:rsid w:val="00D56BF6"/>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3983"/>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109D"/>
    <w:rsid w:val="00F730BB"/>
    <w:rsid w:val="00F74F09"/>
    <w:rsid w:val="00F75664"/>
    <w:rsid w:val="00F76ECE"/>
    <w:rsid w:val="00F80509"/>
    <w:rsid w:val="00F87DDB"/>
    <w:rsid w:val="00F91A6F"/>
    <w:rsid w:val="00F94503"/>
    <w:rsid w:val="00FA0296"/>
    <w:rsid w:val="00FA72BC"/>
    <w:rsid w:val="00FB7360"/>
    <w:rsid w:val="00FC3379"/>
    <w:rsid w:val="00FC53C9"/>
    <w:rsid w:val="00FD2D60"/>
    <w:rsid w:val="00FD3B9C"/>
    <w:rsid w:val="00FD62AB"/>
    <w:rsid w:val="00FE3AA8"/>
    <w:rsid w:val="00FE4B25"/>
    <w:rsid w:val="00FE5891"/>
    <w:rsid w:val="00FF1EEC"/>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929A-71C2-4DA3-8EC8-0CB013C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10021</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4</cp:revision>
  <cp:lastPrinted>2004-03-23T13:58:00Z</cp:lastPrinted>
  <dcterms:created xsi:type="dcterms:W3CDTF">2016-04-06T20:48:00Z</dcterms:created>
  <dcterms:modified xsi:type="dcterms:W3CDTF">2016-04-07T21:10:00Z</dcterms:modified>
</cp:coreProperties>
</file>